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45" w:lineRule="exact"/>
        <w:rPr>
          <w:sz w:val="24"/>
          <w:szCs w:val="24"/>
          <w:color w:val="auto"/>
        </w:rPr>
      </w:pPr>
    </w:p>
    <w:p>
      <w:pPr>
        <w:jc w:val="center"/>
        <w:ind w:right="160"/>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111760</wp:posOffset>
            </wp:positionV>
            <wp:extent cx="30689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74295</wp:posOffset>
            </wp:positionV>
            <wp:extent cx="3068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26"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131"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period ended September 30, 2022</w:t>
      </w:r>
    </w:p>
    <w:p>
      <w:pPr>
        <w:spacing w:after="0" w:line="140" w:lineRule="exact"/>
        <w:rPr>
          <w:sz w:val="24"/>
          <w:szCs w:val="24"/>
          <w:color w:val="auto"/>
        </w:rPr>
      </w:pPr>
    </w:p>
    <w:p>
      <w:pPr>
        <w:ind w:left="820" w:hanging="488"/>
        <w:spacing w:after="0"/>
        <w:tabs>
          <w:tab w:leader="none" w:pos="8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33" w:right="339" w:bottom="1440" w:gutter="0" w:footer="0" w:header="0"/>
        </w:sectPr>
      </w:pPr>
    </w:p>
    <w:p>
      <w:pPr>
        <w:spacing w:after="0" w:line="66" w:lineRule="exact"/>
        <w:rPr>
          <w:sz w:val="24"/>
          <w:szCs w:val="24"/>
          <w:color w:val="auto"/>
        </w:rPr>
      </w:pPr>
    </w:p>
    <w:p>
      <w:pPr>
        <w:ind w:left="39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96" w:lineRule="exact"/>
        <w:rPr>
          <w:sz w:val="24"/>
          <w:szCs w:val="24"/>
          <w:color w:val="auto"/>
        </w:rPr>
      </w:pPr>
    </w:p>
    <w:p>
      <w:pPr>
        <w:sectPr>
          <w:pgSz w:w="11900" w:h="16838" w:orient="portrait"/>
          <w:cols w:equalWidth="0" w:num="2">
            <w:col w:w="6060" w:space="560"/>
            <w:col w:w="4620"/>
          </w:cols>
          <w:pgMar w:left="320" w:top="233" w:right="339" w:bottom="1440" w:gutter="0" w:footer="0" w:header="0"/>
          <w:type w:val="continuous"/>
        </w:sectPr>
      </w:pPr>
    </w:p>
    <w:p>
      <w:pPr>
        <w:jc w:val="center"/>
        <w:ind w:right="40"/>
        <w:spacing w:after="0"/>
        <w:rPr>
          <w:sz w:val="20"/>
          <w:szCs w:val="20"/>
          <w:color w:val="auto"/>
        </w:rPr>
      </w:pPr>
      <w:r>
        <w:rPr>
          <w:rFonts w:ascii="Arial" w:cs="Arial" w:eastAsia="Arial" w:hAnsi="Arial"/>
          <w:sz w:val="14"/>
          <w:szCs w:val="14"/>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137795</wp:posOffset>
            </wp:positionV>
            <wp:extent cx="3068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p>
      <w:pPr>
        <w:spacing w:after="0" w:line="280" w:lineRule="exact"/>
        <w:rPr>
          <w:sz w:val="24"/>
          <w:szCs w:val="24"/>
          <w:color w:val="auto"/>
        </w:rPr>
      </w:pPr>
    </w:p>
    <w:tbl>
      <w:tblPr>
        <w:tblLayout w:type="fixed"/>
        <w:tblInd w:w="1720" w:type="dxa"/>
        <w:tblCellMar>
          <w:top w:w="0" w:type="dxa"/>
          <w:left w:w="0" w:type="dxa"/>
          <w:bottom w:w="0" w:type="dxa"/>
          <w:right w:w="0" w:type="dxa"/>
        </w:tblCellMar>
      </w:tblPr>
      <w:tr>
        <w:trPr>
          <w:trHeight w:val="373"/>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40" w:type="dxa"/>
            <w:vAlign w:val="bottom"/>
            <w:gridSpan w:val="2"/>
          </w:tcPr>
          <w:p>
            <w:pPr>
              <w:jc w:val="center"/>
              <w:ind w:right="1800"/>
              <w:spacing w:after="0"/>
              <w:rPr>
                <w:sz w:val="20"/>
                <w:szCs w:val="20"/>
                <w:color w:val="auto"/>
              </w:rPr>
            </w:pPr>
            <w:r>
              <w:rPr>
                <w:rFonts w:ascii="Arial" w:cs="Arial" w:eastAsia="Arial" w:hAnsi="Arial"/>
                <w:sz w:val="29"/>
                <w:szCs w:val="29"/>
                <w:b w:val="1"/>
                <w:bCs w:val="1"/>
                <w:color w:val="auto"/>
                <w:w w:val="96"/>
              </w:rPr>
              <w:t>ESSENT GROUP LTD.</w:t>
            </w: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40" w:type="dxa"/>
            <w:vAlign w:val="bottom"/>
            <w:gridSpan w:val="2"/>
          </w:tcPr>
          <w:p>
            <w:pPr>
              <w:jc w:val="center"/>
              <w:ind w:right="1780"/>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168"/>
        </w:trPr>
        <w:tc>
          <w:tcPr>
            <w:tcW w:w="14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tcPr>
          <w:p>
            <w:pPr>
              <w:spacing w:after="0"/>
              <w:rPr>
                <w:sz w:val="14"/>
                <w:szCs w:val="14"/>
                <w:color w:val="auto"/>
              </w:rPr>
            </w:pPr>
          </w:p>
        </w:tc>
        <w:tc>
          <w:tcPr>
            <w:tcW w:w="1200" w:type="dxa"/>
            <w:vAlign w:val="bottom"/>
          </w:tcPr>
          <w:p>
            <w:pPr>
              <w:spacing w:after="0"/>
              <w:rPr>
                <w:sz w:val="14"/>
                <w:szCs w:val="14"/>
                <w:color w:val="auto"/>
              </w:rPr>
            </w:pPr>
          </w:p>
        </w:tc>
      </w:tr>
      <w:tr>
        <w:trPr>
          <w:trHeight w:val="325"/>
        </w:trPr>
        <w:tc>
          <w:tcPr>
            <w:tcW w:w="2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Bermuda</w:t>
            </w:r>
          </w:p>
        </w:tc>
        <w:tc>
          <w:tcPr>
            <w:tcW w:w="5440" w:type="dxa"/>
            <w:vAlign w:val="bottom"/>
            <w:gridSpan w:val="2"/>
          </w:tcPr>
          <w:p>
            <w:pPr>
              <w:jc w:val="center"/>
              <w:ind w:left="3869"/>
              <w:spacing w:after="0"/>
              <w:rPr>
                <w:sz w:val="20"/>
                <w:szCs w:val="20"/>
                <w:color w:val="auto"/>
              </w:rPr>
            </w:pPr>
            <w:r>
              <w:rPr>
                <w:rFonts w:ascii="Arial" w:cs="Arial" w:eastAsia="Arial" w:hAnsi="Arial"/>
                <w:sz w:val="16"/>
                <w:szCs w:val="16"/>
                <w:b w:val="1"/>
                <w:bCs w:val="1"/>
                <w:color w:val="auto"/>
                <w:w w:val="92"/>
              </w:rPr>
              <w:t>Not Applicable</w:t>
            </w:r>
          </w:p>
        </w:tc>
      </w:tr>
      <w:tr>
        <w:trPr>
          <w:trHeight w:val="172"/>
        </w:trPr>
        <w:tc>
          <w:tcPr>
            <w:tcW w:w="2080" w:type="dxa"/>
            <w:vAlign w:val="bottom"/>
            <w:gridSpan w:val="2"/>
          </w:tcPr>
          <w:p>
            <w:pPr>
              <w:jc w:val="center"/>
              <w:ind w:right="120"/>
              <w:spacing w:after="0" w:line="171" w:lineRule="exact"/>
              <w:rPr>
                <w:sz w:val="20"/>
                <w:szCs w:val="20"/>
                <w:color w:val="auto"/>
              </w:rPr>
            </w:pPr>
            <w:r>
              <w:rPr>
                <w:rFonts w:ascii="Arial" w:cs="Arial" w:eastAsia="Arial" w:hAnsi="Arial"/>
                <w:sz w:val="16"/>
                <w:szCs w:val="16"/>
                <w:color w:val="auto"/>
                <w:w w:val="93"/>
              </w:rPr>
              <w:t>(State or other jurisdiction of</w:t>
            </w:r>
          </w:p>
        </w:tc>
        <w:tc>
          <w:tcPr>
            <w:tcW w:w="5440" w:type="dxa"/>
            <w:vAlign w:val="bottom"/>
            <w:gridSpan w:val="2"/>
          </w:tcPr>
          <w:p>
            <w:pPr>
              <w:jc w:val="center"/>
              <w:ind w:left="3869"/>
              <w:spacing w:after="0" w:line="171" w:lineRule="exact"/>
              <w:rPr>
                <w:sz w:val="20"/>
                <w:szCs w:val="20"/>
                <w:color w:val="auto"/>
              </w:rPr>
            </w:pPr>
            <w:r>
              <w:rPr>
                <w:rFonts w:ascii="Arial" w:cs="Arial" w:eastAsia="Arial" w:hAnsi="Arial"/>
                <w:sz w:val="16"/>
                <w:szCs w:val="16"/>
                <w:color w:val="auto"/>
                <w:w w:val="95"/>
              </w:rPr>
              <w:t>(I.R.S. Employer</w:t>
            </w:r>
          </w:p>
        </w:tc>
      </w:tr>
      <w:tr>
        <w:trPr>
          <w:trHeight w:val="206"/>
        </w:trPr>
        <w:tc>
          <w:tcPr>
            <w:tcW w:w="20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incorporation or organization)</w:t>
            </w:r>
          </w:p>
        </w:tc>
        <w:tc>
          <w:tcPr>
            <w:tcW w:w="5440" w:type="dxa"/>
            <w:vAlign w:val="bottom"/>
            <w:gridSpan w:val="2"/>
          </w:tcPr>
          <w:p>
            <w:pPr>
              <w:jc w:val="center"/>
              <w:ind w:left="3869"/>
              <w:spacing w:after="0"/>
              <w:rPr>
                <w:sz w:val="20"/>
                <w:szCs w:val="20"/>
                <w:color w:val="auto"/>
              </w:rPr>
            </w:pPr>
            <w:r>
              <w:rPr>
                <w:rFonts w:ascii="Arial" w:cs="Arial" w:eastAsia="Arial" w:hAnsi="Arial"/>
                <w:sz w:val="16"/>
                <w:szCs w:val="16"/>
                <w:color w:val="auto"/>
                <w:w w:val="94"/>
              </w:rPr>
              <w:t>Identification Number)</w:t>
            </w:r>
          </w:p>
        </w:tc>
      </w:tr>
      <w:tr>
        <w:trPr>
          <w:trHeight w:val="283"/>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40" w:type="dxa"/>
            <w:vAlign w:val="bottom"/>
            <w:gridSpan w:val="2"/>
          </w:tcPr>
          <w:p>
            <w:pPr>
              <w:jc w:val="center"/>
              <w:ind w:right="1800"/>
              <w:spacing w:after="0"/>
              <w:rPr>
                <w:sz w:val="20"/>
                <w:szCs w:val="20"/>
                <w:color w:val="auto"/>
              </w:rPr>
            </w:pPr>
            <w:r>
              <w:rPr>
                <w:rFonts w:ascii="Arial" w:cs="Arial" w:eastAsia="Arial" w:hAnsi="Arial"/>
                <w:sz w:val="16"/>
                <w:szCs w:val="16"/>
                <w:b w:val="1"/>
                <w:bCs w:val="1"/>
                <w:color w:val="auto"/>
                <w:w w:val="90"/>
              </w:rPr>
              <w:t>Clarendon House</w:t>
            </w:r>
          </w:p>
        </w:tc>
      </w:tr>
    </w:tbl>
    <w:p>
      <w:pPr>
        <w:jc w:val="center"/>
        <w:spacing w:after="0"/>
        <w:rPr>
          <w:sz w:val="20"/>
          <w:szCs w:val="20"/>
          <w:color w:val="auto"/>
        </w:rPr>
      </w:pPr>
      <w:r>
        <w:rPr>
          <w:rFonts w:ascii="Arial" w:cs="Arial" w:eastAsia="Arial" w:hAnsi="Arial"/>
          <w:sz w:val="16"/>
          <w:szCs w:val="16"/>
          <w:b w:val="1"/>
          <w:bCs w:val="1"/>
          <w:color w:val="auto"/>
        </w:rPr>
        <w:t>2 Church Street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Hamilton HM11, Bermuda</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and zip code)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(441) 297-9901</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4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50" w:type="dxa"/>
        <w:tblCellMar>
          <w:top w:w="0" w:type="dxa"/>
          <w:left w:w="0" w:type="dxa"/>
          <w:bottom w:w="0" w:type="dxa"/>
          <w:right w:w="0" w:type="dxa"/>
        </w:tblCellMar>
      </w:tblPr>
      <w:tr>
        <w:trPr>
          <w:trHeight w:val="227"/>
        </w:trPr>
        <w:tc>
          <w:tcPr>
            <w:tcW w:w="4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26"/>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Shares, $0.015 par value</w:t>
            </w: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ESNT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23" w:lineRule="exact"/>
        <w:rPr>
          <w:sz w:val="24"/>
          <w:szCs w:val="24"/>
          <w:color w:val="auto"/>
        </w:rPr>
      </w:pPr>
    </w:p>
    <w:p>
      <w:pPr>
        <w:jc w:val="both"/>
        <w:ind w:right="60" w:firstLine="567"/>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left="580"/>
        <w:spacing w:after="0"/>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w:t>
      </w:r>
    </w:p>
    <w:p>
      <w:pPr>
        <w:spacing w:after="0" w:line="35" w:lineRule="exact"/>
        <w:rPr>
          <w:sz w:val="24"/>
          <w:szCs w:val="24"/>
          <w:color w:val="auto"/>
        </w:rPr>
      </w:pPr>
    </w:p>
    <w:p>
      <w:pPr>
        <w:jc w:val="both"/>
        <w:ind w:right="40"/>
        <w:spacing w:after="0" w:line="226" w:lineRule="exact"/>
        <w:rPr>
          <w:sz w:val="20"/>
          <w:szCs w:val="20"/>
          <w:color w:val="auto"/>
        </w:rPr>
      </w:pPr>
      <w:r>
        <w:rPr>
          <w:rFonts w:ascii="Arial" w:cs="Arial" w:eastAsia="Arial" w:hAnsi="Arial"/>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7" w:lineRule="exact"/>
        <w:rPr>
          <w:sz w:val="24"/>
          <w:szCs w:val="24"/>
          <w:color w:val="auto"/>
        </w:rPr>
      </w:pPr>
    </w:p>
    <w:p>
      <w:pPr>
        <w:ind w:right="160" w:firstLine="56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440" w:type="dxa"/>
        <w:tblCellMar>
          <w:top w:w="0" w:type="dxa"/>
          <w:left w:w="0" w:type="dxa"/>
          <w:bottom w:w="0" w:type="dxa"/>
          <w:right w:w="0" w:type="dxa"/>
        </w:tblCellMar>
      </w:tblPr>
      <w:tr>
        <w:trPr>
          <w:trHeight w:val="229"/>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0" w:type="dxa"/>
            <w:vAlign w:val="bottom"/>
          </w:tcPr>
          <w:p>
            <w:pPr>
              <w:ind w:left="440"/>
              <w:spacing w:after="0"/>
              <w:rPr>
                <w:sz w:val="20"/>
                <w:szCs w:val="20"/>
                <w:color w:val="auto"/>
              </w:rPr>
            </w:pPr>
            <w:r>
              <w:rPr>
                <w:rFonts w:ascii="Arial" w:cs="Arial" w:eastAsia="Arial" w:hAnsi="Arial"/>
                <w:sz w:val="16"/>
                <w:szCs w:val="16"/>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240" w:firstLine="567"/>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80" w:right="1420"/>
        <w:spacing w:after="0" w:line="21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the registrant’s common shares outstanding as of November 3, 2022 was 107,707,483.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40" w:type="dxa"/>
            <w:vAlign w:val="bottom"/>
            <w:gridSpan w:val="8"/>
          </w:tcPr>
          <w:p>
            <w:pPr>
              <w:spacing w:after="0"/>
              <w:rPr>
                <w:sz w:val="20"/>
                <w:szCs w:val="20"/>
                <w:color w:val="auto"/>
              </w:rPr>
            </w:pPr>
            <w:r>
              <w:rPr>
                <w:rFonts w:ascii="Arial" w:cs="Arial" w:eastAsia="Arial" w:hAnsi="Arial"/>
                <w:sz w:val="18"/>
                <w:szCs w:val="18"/>
                <w:color w:val="0000FF"/>
              </w:rPr>
              <w:t>Table of Contents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40"/>
              <w:spacing w:after="0"/>
              <w:rPr>
                <w:sz w:val="20"/>
                <w:szCs w:val="20"/>
                <w:color w:val="auto"/>
              </w:rPr>
            </w:pPr>
            <w:r>
              <w:rPr>
                <w:rFonts w:ascii="Arial" w:cs="Arial" w:eastAsia="Arial" w:hAnsi="Arial"/>
                <w:sz w:val="18"/>
                <w:szCs w:val="18"/>
                <w:b w:val="1"/>
                <w:bCs w:val="1"/>
                <w:color w:val="auto"/>
                <w:w w:val="89"/>
              </w:rPr>
              <w:t>Essent Group Ltd. and Subsidiaries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40"/>
              <w:spacing w:after="0"/>
              <w:rPr>
                <w:sz w:val="20"/>
                <w:szCs w:val="20"/>
                <w:color w:val="auto"/>
              </w:rPr>
            </w:pPr>
            <w:r>
              <w:rPr>
                <w:rFonts w:ascii="Arial" w:cs="Arial" w:eastAsia="Arial" w:hAnsi="Arial"/>
                <w:sz w:val="18"/>
                <w:szCs w:val="18"/>
                <w:b w:val="1"/>
                <w:bCs w:val="1"/>
                <w:color w:val="auto"/>
                <w:w w:val="95"/>
              </w:rPr>
              <w:t>Form 10-Q</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60"/>
              <w:spacing w:after="0"/>
              <w:rPr>
                <w:sz w:val="20"/>
                <w:szCs w:val="20"/>
                <w:color w:val="auto"/>
              </w:rPr>
            </w:pPr>
            <w:r>
              <w:rPr>
                <w:rFonts w:ascii="Arial" w:cs="Arial" w:eastAsia="Arial" w:hAnsi="Arial"/>
                <w:sz w:val="18"/>
                <w:szCs w:val="18"/>
                <w:b w:val="1"/>
                <w:bCs w:val="1"/>
                <w:color w:val="auto"/>
                <w:w w:val="93"/>
              </w:rPr>
              <w:t>Index</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6"/>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b w:val="1"/>
                <w:bCs w:val="1"/>
                <w:color w:val="0000FF"/>
                <w:w w:val="96"/>
              </w:rPr>
              <w:t>PART I.</w:t>
            </w:r>
          </w:p>
        </w:tc>
        <w:tc>
          <w:tcPr>
            <w:tcW w:w="880" w:type="dxa"/>
            <w:vAlign w:val="bottom"/>
            <w:gridSpan w:val="5"/>
          </w:tcPr>
          <w:p>
            <w:pPr>
              <w:spacing w:after="0"/>
              <w:rPr>
                <w:sz w:val="24"/>
                <w:szCs w:val="24"/>
                <w:color w:val="auto"/>
              </w:rPr>
            </w:pPr>
          </w:p>
        </w:tc>
        <w:tc>
          <w:tcPr>
            <w:tcW w:w="2380" w:type="dxa"/>
            <w:vAlign w:val="bottom"/>
            <w:gridSpan w:val="6"/>
          </w:tcPr>
          <w:p>
            <w:pPr>
              <w:spacing w:after="0"/>
              <w:rPr>
                <w:sz w:val="20"/>
                <w:szCs w:val="20"/>
                <w:color w:val="auto"/>
              </w:rPr>
            </w:pPr>
            <w:r>
              <w:rPr>
                <w:rFonts w:ascii="Arial" w:cs="Arial" w:eastAsia="Arial" w:hAnsi="Arial"/>
                <w:sz w:val="18"/>
                <w:szCs w:val="18"/>
                <w:b w:val="1"/>
                <w:bCs w:val="1"/>
                <w:color w:val="0000FF"/>
              </w:rPr>
              <w:t>FINANCIAL INFORMATION</w:t>
            </w:r>
          </w:p>
        </w:tc>
        <w:tc>
          <w:tcPr>
            <w:tcW w:w="5760" w:type="dxa"/>
            <w:vAlign w:val="bottom"/>
            <w:gridSpan w:val="10"/>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b w:val="1"/>
                <w:bCs w:val="1"/>
                <w:color w:val="0000FF"/>
              </w:rPr>
              <w:t>Item 1.</w:t>
            </w:r>
          </w:p>
        </w:tc>
        <w:tc>
          <w:tcPr>
            <w:tcW w:w="880" w:type="dxa"/>
            <w:vAlign w:val="bottom"/>
            <w:gridSpan w:val="5"/>
          </w:tcPr>
          <w:p>
            <w:pPr>
              <w:spacing w:after="0"/>
              <w:rPr>
                <w:sz w:val="24"/>
                <w:szCs w:val="24"/>
                <w:color w:val="auto"/>
              </w:rPr>
            </w:pPr>
          </w:p>
        </w:tc>
        <w:tc>
          <w:tcPr>
            <w:tcW w:w="8140" w:type="dxa"/>
            <w:vAlign w:val="bottom"/>
            <w:gridSpan w:val="16"/>
          </w:tcPr>
          <w:p>
            <w:pPr>
              <w:spacing w:after="0"/>
              <w:rPr>
                <w:sz w:val="20"/>
                <w:szCs w:val="20"/>
                <w:color w:val="auto"/>
              </w:rPr>
            </w:pPr>
            <w:r>
              <w:rPr>
                <w:rFonts w:ascii="Arial" w:cs="Arial" w:eastAsia="Arial" w:hAnsi="Arial"/>
                <w:sz w:val="18"/>
                <w:szCs w:val="18"/>
                <w:b w:val="1"/>
                <w:bCs w:val="1"/>
                <w:color w:val="0000FF"/>
              </w:rPr>
              <w:t>Financial Statements (Unaudited)</w:t>
            </w: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6"/>
          </w:tcPr>
          <w:p>
            <w:pPr>
              <w:spacing w:after="0"/>
              <w:rPr>
                <w:sz w:val="20"/>
                <w:szCs w:val="20"/>
                <w:color w:val="auto"/>
              </w:rPr>
            </w:pPr>
            <w:r>
              <w:rPr>
                <w:rFonts w:ascii="Arial" w:cs="Arial" w:eastAsia="Arial" w:hAnsi="Arial"/>
                <w:sz w:val="18"/>
                <w:szCs w:val="18"/>
                <w:b w:val="1"/>
                <w:bCs w:val="1"/>
                <w:color w:val="0000FF"/>
              </w:rPr>
              <w:t>Condensed Consolidated Balance Sheets (Unaudited)</w:t>
            </w: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6"/>
          </w:tcPr>
          <w:p>
            <w:pPr>
              <w:spacing w:after="0"/>
              <w:rPr>
                <w:sz w:val="20"/>
                <w:szCs w:val="20"/>
                <w:color w:val="auto"/>
              </w:rPr>
            </w:pPr>
            <w:r>
              <w:rPr>
                <w:rFonts w:ascii="Arial" w:cs="Arial" w:eastAsia="Arial" w:hAnsi="Arial"/>
                <w:sz w:val="18"/>
                <w:szCs w:val="18"/>
                <w:b w:val="1"/>
                <w:bCs w:val="1"/>
                <w:color w:val="0000FF"/>
              </w:rPr>
              <w:t>Condensed Consolidated Statements of Comprehensive Income (Unaudited)</w:t>
            </w: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40" w:type="dxa"/>
            <w:vAlign w:val="bottom"/>
            <w:gridSpan w:val="14"/>
          </w:tcPr>
          <w:p>
            <w:pPr>
              <w:spacing w:after="0"/>
              <w:rPr>
                <w:sz w:val="20"/>
                <w:szCs w:val="20"/>
                <w:color w:val="auto"/>
              </w:rPr>
            </w:pPr>
            <w:r>
              <w:rPr>
                <w:rFonts w:ascii="Arial" w:cs="Arial" w:eastAsia="Arial" w:hAnsi="Arial"/>
                <w:sz w:val="18"/>
                <w:szCs w:val="18"/>
                <w:b w:val="1"/>
                <w:bCs w:val="1"/>
                <w:color w:val="0000FF"/>
                <w:w w:val="89"/>
              </w:rPr>
              <w:t>Condensed Consolidated Statements of Changes in Stockholders’ Equity (Unaudited)</w:t>
            </w:r>
          </w:p>
        </w:tc>
        <w:tc>
          <w:tcPr>
            <w:tcW w:w="1600" w:type="dxa"/>
            <w:vAlign w:val="bottom"/>
            <w:gridSpan w:val="2"/>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gridSpan w:val="11"/>
          </w:tcPr>
          <w:p>
            <w:pPr>
              <w:spacing w:after="0"/>
              <w:rPr>
                <w:sz w:val="20"/>
                <w:szCs w:val="20"/>
                <w:color w:val="auto"/>
              </w:rPr>
            </w:pPr>
            <w:r>
              <w:rPr>
                <w:rFonts w:ascii="Arial" w:cs="Arial" w:eastAsia="Arial" w:hAnsi="Arial"/>
                <w:sz w:val="18"/>
                <w:szCs w:val="18"/>
                <w:b w:val="1"/>
                <w:bCs w:val="1"/>
                <w:color w:val="0000FF"/>
                <w:w w:val="88"/>
              </w:rPr>
              <w:t>Condensed Consolidated Statements of Cash Flows (Unaudited)</w:t>
            </w:r>
          </w:p>
        </w:tc>
        <w:tc>
          <w:tcPr>
            <w:tcW w:w="1640" w:type="dxa"/>
            <w:vAlign w:val="bottom"/>
            <w:gridSpan w:val="3"/>
          </w:tcPr>
          <w:p>
            <w:pPr>
              <w:spacing w:after="0"/>
              <w:rPr>
                <w:sz w:val="24"/>
                <w:szCs w:val="24"/>
                <w:color w:val="auto"/>
              </w:rPr>
            </w:pPr>
          </w:p>
        </w:tc>
        <w:tc>
          <w:tcPr>
            <w:tcW w:w="1600" w:type="dxa"/>
            <w:vAlign w:val="bottom"/>
            <w:gridSpan w:val="2"/>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6"/>
          </w:tcPr>
          <w:p>
            <w:pPr>
              <w:spacing w:after="0"/>
              <w:rPr>
                <w:sz w:val="20"/>
                <w:szCs w:val="20"/>
                <w:color w:val="auto"/>
              </w:rPr>
            </w:pPr>
            <w:r>
              <w:rPr>
                <w:rFonts w:ascii="Arial" w:cs="Arial" w:eastAsia="Arial" w:hAnsi="Arial"/>
                <w:sz w:val="18"/>
                <w:szCs w:val="18"/>
                <w:b w:val="1"/>
                <w:bCs w:val="1"/>
                <w:color w:val="0000FF"/>
              </w:rPr>
              <w:t>Notes to Condensed Consolidated Financial Statements (Unaudited)</w:t>
            </w: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Arial" w:cs="Arial" w:eastAsia="Arial" w:hAnsi="Arial"/>
                <w:sz w:val="18"/>
                <w:szCs w:val="18"/>
                <w:b w:val="1"/>
                <w:bCs w:val="1"/>
                <w:color w:val="0000FF"/>
              </w:rPr>
              <w:t>Item 2.</w:t>
            </w:r>
          </w:p>
        </w:tc>
        <w:tc>
          <w:tcPr>
            <w:tcW w:w="840" w:type="dxa"/>
            <w:vAlign w:val="bottom"/>
            <w:gridSpan w:val="4"/>
          </w:tcPr>
          <w:p>
            <w:pPr>
              <w:spacing w:after="0"/>
              <w:rPr>
                <w:sz w:val="24"/>
                <w:szCs w:val="24"/>
                <w:color w:val="auto"/>
              </w:rPr>
            </w:pPr>
          </w:p>
        </w:tc>
        <w:tc>
          <w:tcPr>
            <w:tcW w:w="8140" w:type="dxa"/>
            <w:vAlign w:val="bottom"/>
            <w:gridSpan w:val="16"/>
          </w:tcPr>
          <w:p>
            <w:pPr>
              <w:spacing w:after="0"/>
              <w:rPr>
                <w:sz w:val="20"/>
                <w:szCs w:val="20"/>
                <w:color w:val="auto"/>
              </w:rPr>
            </w:pPr>
            <w:r>
              <w:rPr>
                <w:rFonts w:ascii="Arial" w:cs="Arial" w:eastAsia="Arial" w:hAnsi="Arial"/>
                <w:sz w:val="18"/>
                <w:szCs w:val="18"/>
                <w:b w:val="1"/>
                <w:bCs w:val="1"/>
                <w:color w:val="0000FF"/>
              </w:rPr>
              <w:t>Management’s Discussion and Analysis of Financial Condition and Results of Operations</w:t>
            </w: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26</w:t>
            </w:r>
          </w:p>
        </w:tc>
      </w:tr>
      <w:tr>
        <w:trPr>
          <w:trHeight w:val="439"/>
        </w:trPr>
        <w:tc>
          <w:tcPr>
            <w:tcW w:w="20" w:type="dxa"/>
            <w:vAlign w:val="bottom"/>
          </w:tcPr>
          <w:p>
            <w:pPr>
              <w:spacing w:after="0"/>
              <w:rPr>
                <w:sz w:val="24"/>
                <w:szCs w:val="24"/>
                <w:color w:val="auto"/>
              </w:rPr>
            </w:pPr>
          </w:p>
        </w:tc>
        <w:tc>
          <w:tcPr>
            <w:tcW w:w="680" w:type="dxa"/>
            <w:vAlign w:val="bottom"/>
            <w:tcBorders>
              <w:top w:val="single" w:sz="8" w:color="0000FF"/>
            </w:tcBorders>
            <w:gridSpan w:val="3"/>
          </w:tcPr>
          <w:p>
            <w:pPr>
              <w:spacing w:after="0"/>
              <w:rPr>
                <w:sz w:val="20"/>
                <w:szCs w:val="20"/>
                <w:color w:val="auto"/>
              </w:rPr>
            </w:pPr>
            <w:r>
              <w:rPr>
                <w:rFonts w:ascii="Arial" w:cs="Arial" w:eastAsia="Arial" w:hAnsi="Arial"/>
                <w:sz w:val="18"/>
                <w:szCs w:val="18"/>
                <w:b w:val="1"/>
                <w:bCs w:val="1"/>
                <w:color w:val="0000FF"/>
              </w:rPr>
              <w:t>Item 3.</w:t>
            </w:r>
          </w:p>
        </w:tc>
        <w:tc>
          <w:tcPr>
            <w:tcW w:w="840" w:type="dxa"/>
            <w:vAlign w:val="bottom"/>
            <w:gridSpan w:val="4"/>
          </w:tcPr>
          <w:p>
            <w:pPr>
              <w:spacing w:after="0"/>
              <w:rPr>
                <w:sz w:val="24"/>
                <w:szCs w:val="24"/>
                <w:color w:val="auto"/>
              </w:rPr>
            </w:pPr>
          </w:p>
        </w:tc>
        <w:tc>
          <w:tcPr>
            <w:tcW w:w="6820" w:type="dxa"/>
            <w:vAlign w:val="bottom"/>
            <w:tcBorders>
              <w:top w:val="single" w:sz="8" w:color="0000FF"/>
            </w:tcBorders>
            <w:gridSpan w:val="15"/>
          </w:tcPr>
          <w:p>
            <w:pPr>
              <w:spacing w:after="0"/>
              <w:rPr>
                <w:sz w:val="20"/>
                <w:szCs w:val="20"/>
                <w:color w:val="auto"/>
              </w:rPr>
            </w:pPr>
            <w:r>
              <w:rPr>
                <w:rFonts w:ascii="Arial" w:cs="Arial" w:eastAsia="Arial" w:hAnsi="Arial"/>
                <w:sz w:val="18"/>
                <w:szCs w:val="18"/>
                <w:b w:val="1"/>
                <w:bCs w:val="1"/>
                <w:color w:val="0000FF"/>
              </w:rPr>
              <w:t>Quantitative and Qualitative Disclosures About Market Risk</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49</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Arial" w:cs="Arial" w:eastAsia="Arial" w:hAnsi="Arial"/>
                <w:sz w:val="18"/>
                <w:szCs w:val="18"/>
                <w:b w:val="1"/>
                <w:bCs w:val="1"/>
                <w:color w:val="0000FF"/>
              </w:rPr>
              <w:t>Item 4.</w:t>
            </w:r>
          </w:p>
        </w:tc>
        <w:tc>
          <w:tcPr>
            <w:tcW w:w="8140" w:type="dxa"/>
            <w:vAlign w:val="bottom"/>
            <w:gridSpan w:val="16"/>
          </w:tcPr>
          <w:p>
            <w:pPr>
              <w:spacing w:after="0"/>
              <w:rPr>
                <w:sz w:val="20"/>
                <w:szCs w:val="20"/>
                <w:color w:val="auto"/>
              </w:rPr>
            </w:pPr>
            <w:r>
              <w:rPr>
                <w:rFonts w:ascii="Arial" w:cs="Arial" w:eastAsia="Arial" w:hAnsi="Arial"/>
                <w:sz w:val="18"/>
                <w:szCs w:val="18"/>
                <w:b w:val="1"/>
                <w:bCs w:val="1"/>
                <w:color w:val="0000FF"/>
              </w:rPr>
              <w:t>Controls and Procedures</w:t>
            </w: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49</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Arial" w:cs="Arial" w:eastAsia="Arial" w:hAnsi="Arial"/>
                <w:sz w:val="18"/>
                <w:szCs w:val="18"/>
                <w:b w:val="1"/>
                <w:bCs w:val="1"/>
                <w:color w:val="0000FF"/>
              </w:rPr>
              <w:t>PART II.</w:t>
            </w:r>
          </w:p>
        </w:tc>
        <w:tc>
          <w:tcPr>
            <w:tcW w:w="8140" w:type="dxa"/>
            <w:vAlign w:val="bottom"/>
            <w:gridSpan w:val="16"/>
          </w:tcPr>
          <w:p>
            <w:pPr>
              <w:spacing w:after="0"/>
              <w:rPr>
                <w:sz w:val="20"/>
                <w:szCs w:val="20"/>
                <w:color w:val="auto"/>
              </w:rPr>
            </w:pPr>
            <w:r>
              <w:rPr>
                <w:rFonts w:ascii="Arial" w:cs="Arial" w:eastAsia="Arial" w:hAnsi="Arial"/>
                <w:sz w:val="18"/>
                <w:szCs w:val="18"/>
                <w:b w:val="1"/>
                <w:bCs w:val="1"/>
                <w:color w:val="0000FF"/>
              </w:rPr>
              <w:t>OTHER INFORMATION</w:t>
            </w: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50</w:t>
            </w:r>
          </w:p>
        </w:tc>
      </w:tr>
      <w:tr>
        <w:trPr>
          <w:trHeight w:val="439"/>
        </w:trPr>
        <w:tc>
          <w:tcPr>
            <w:tcW w:w="20" w:type="dxa"/>
            <w:vAlign w:val="bottom"/>
          </w:tcPr>
          <w:p>
            <w:pPr>
              <w:spacing w:after="0"/>
              <w:rPr>
                <w:sz w:val="24"/>
                <w:szCs w:val="24"/>
                <w:color w:val="auto"/>
              </w:rPr>
            </w:pPr>
          </w:p>
        </w:tc>
        <w:tc>
          <w:tcPr>
            <w:tcW w:w="700" w:type="dxa"/>
            <w:vAlign w:val="bottom"/>
            <w:tcBorders>
              <w:top w:val="single" w:sz="8" w:color="0000FF"/>
            </w:tcBorders>
            <w:gridSpan w:val="4"/>
          </w:tcPr>
          <w:p>
            <w:pPr>
              <w:spacing w:after="0"/>
              <w:rPr>
                <w:sz w:val="20"/>
                <w:szCs w:val="20"/>
                <w:color w:val="auto"/>
              </w:rPr>
            </w:pPr>
            <w:r>
              <w:rPr>
                <w:rFonts w:ascii="Arial" w:cs="Arial" w:eastAsia="Arial" w:hAnsi="Arial"/>
                <w:sz w:val="18"/>
                <w:szCs w:val="18"/>
                <w:b w:val="1"/>
                <w:bCs w:val="1"/>
                <w:color w:val="0000FF"/>
              </w:rPr>
              <w:t>Item 1.</w:t>
            </w:r>
          </w:p>
        </w:tc>
        <w:tc>
          <w:tcPr>
            <w:tcW w:w="820" w:type="dxa"/>
            <w:vAlign w:val="bottom"/>
            <w:gridSpan w:val="3"/>
          </w:tcPr>
          <w:p>
            <w:pPr>
              <w:spacing w:after="0"/>
              <w:rPr>
                <w:sz w:val="24"/>
                <w:szCs w:val="24"/>
                <w:color w:val="auto"/>
              </w:rPr>
            </w:pPr>
          </w:p>
        </w:tc>
        <w:tc>
          <w:tcPr>
            <w:tcW w:w="2020" w:type="dxa"/>
            <w:vAlign w:val="bottom"/>
            <w:tcBorders>
              <w:top w:val="single" w:sz="8" w:color="0000FF"/>
            </w:tcBorders>
            <w:gridSpan w:val="5"/>
          </w:tcPr>
          <w:p>
            <w:pPr>
              <w:spacing w:after="0"/>
              <w:rPr>
                <w:sz w:val="20"/>
                <w:szCs w:val="20"/>
                <w:color w:val="auto"/>
              </w:rPr>
            </w:pPr>
            <w:r>
              <w:rPr>
                <w:rFonts w:ascii="Arial" w:cs="Arial" w:eastAsia="Arial" w:hAnsi="Arial"/>
                <w:sz w:val="18"/>
                <w:szCs w:val="18"/>
                <w:b w:val="1"/>
                <w:bCs w:val="1"/>
                <w:color w:val="0000FF"/>
              </w:rPr>
              <w:t>Legal Proceedings</w:t>
            </w:r>
          </w:p>
        </w:tc>
        <w:tc>
          <w:tcPr>
            <w:tcW w:w="6120" w:type="dxa"/>
            <w:vAlign w:val="bottom"/>
            <w:gridSpan w:val="11"/>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50</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4"/>
              </w:rPr>
              <w:t>Item 1A.</w:t>
            </w:r>
          </w:p>
        </w:tc>
        <w:tc>
          <w:tcPr>
            <w:tcW w:w="840" w:type="dxa"/>
            <w:vAlign w:val="bottom"/>
            <w:gridSpan w:val="4"/>
          </w:tcPr>
          <w:p>
            <w:pPr>
              <w:spacing w:after="0"/>
              <w:rPr>
                <w:sz w:val="24"/>
                <w:szCs w:val="24"/>
                <w:color w:val="auto"/>
              </w:rPr>
            </w:pPr>
          </w:p>
        </w:tc>
        <w:tc>
          <w:tcPr>
            <w:tcW w:w="9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88"/>
              </w:rPr>
              <w:t>Risk Factors</w:t>
            </w:r>
          </w:p>
        </w:tc>
        <w:tc>
          <w:tcPr>
            <w:tcW w:w="7160" w:type="dxa"/>
            <w:vAlign w:val="bottom"/>
            <w:gridSpan w:val="14"/>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50</w:t>
            </w:r>
          </w:p>
        </w:tc>
      </w:tr>
      <w:tr>
        <w:trPr>
          <w:trHeight w:val="439"/>
        </w:trPr>
        <w:tc>
          <w:tcPr>
            <w:tcW w:w="20" w:type="dxa"/>
            <w:vAlign w:val="bottom"/>
          </w:tcPr>
          <w:p>
            <w:pPr>
              <w:spacing w:after="0"/>
              <w:rPr>
                <w:sz w:val="24"/>
                <w:szCs w:val="24"/>
                <w:color w:val="auto"/>
              </w:rPr>
            </w:pPr>
          </w:p>
        </w:tc>
        <w:tc>
          <w:tcPr>
            <w:tcW w:w="1160" w:type="dxa"/>
            <w:vAlign w:val="bottom"/>
            <w:gridSpan w:val="5"/>
          </w:tcPr>
          <w:p>
            <w:pPr>
              <w:spacing w:after="0"/>
              <w:rPr>
                <w:sz w:val="20"/>
                <w:szCs w:val="20"/>
                <w:color w:val="auto"/>
              </w:rPr>
            </w:pPr>
            <w:r>
              <w:rPr>
                <w:rFonts w:ascii="Arial" w:cs="Arial" w:eastAsia="Arial" w:hAnsi="Arial"/>
                <w:sz w:val="18"/>
                <w:szCs w:val="18"/>
                <w:b w:val="1"/>
                <w:bCs w:val="1"/>
                <w:color w:val="0000FF"/>
              </w:rPr>
              <w:t>Item 2.</w:t>
            </w:r>
          </w:p>
        </w:tc>
        <w:tc>
          <w:tcPr>
            <w:tcW w:w="360" w:type="dxa"/>
            <w:vAlign w:val="bottom"/>
            <w:gridSpan w:val="2"/>
          </w:tcPr>
          <w:p>
            <w:pPr>
              <w:spacing w:after="0"/>
              <w:rPr>
                <w:sz w:val="24"/>
                <w:szCs w:val="24"/>
                <w:color w:val="auto"/>
              </w:rPr>
            </w:pPr>
          </w:p>
        </w:tc>
        <w:tc>
          <w:tcPr>
            <w:tcW w:w="8140" w:type="dxa"/>
            <w:vAlign w:val="bottom"/>
            <w:gridSpan w:val="16"/>
          </w:tcPr>
          <w:p>
            <w:pPr>
              <w:spacing w:after="0"/>
              <w:rPr>
                <w:sz w:val="20"/>
                <w:szCs w:val="20"/>
                <w:color w:val="auto"/>
              </w:rPr>
            </w:pPr>
            <w:r>
              <w:rPr>
                <w:rFonts w:ascii="Arial" w:cs="Arial" w:eastAsia="Arial" w:hAnsi="Arial"/>
                <w:sz w:val="18"/>
                <w:szCs w:val="18"/>
                <w:b w:val="1"/>
                <w:bCs w:val="1"/>
                <w:color w:val="0000FF"/>
              </w:rPr>
              <w:t>Unregistered Sales of Equity Securities and Use of Proceeds</w:t>
            </w: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50</w:t>
            </w:r>
          </w:p>
        </w:tc>
      </w:tr>
      <w:tr>
        <w:trPr>
          <w:trHeight w:val="439"/>
        </w:trPr>
        <w:tc>
          <w:tcPr>
            <w:tcW w:w="20" w:type="dxa"/>
            <w:vAlign w:val="bottom"/>
          </w:tcPr>
          <w:p>
            <w:pPr>
              <w:spacing w:after="0"/>
              <w:rPr>
                <w:sz w:val="24"/>
                <w:szCs w:val="24"/>
                <w:color w:val="auto"/>
              </w:rPr>
            </w:pPr>
          </w:p>
        </w:tc>
        <w:tc>
          <w:tcPr>
            <w:tcW w:w="1160" w:type="dxa"/>
            <w:vAlign w:val="bottom"/>
            <w:tcBorders>
              <w:top w:val="single" w:sz="8" w:color="0000FF"/>
            </w:tcBorders>
            <w:gridSpan w:val="5"/>
          </w:tcPr>
          <w:p>
            <w:pPr>
              <w:spacing w:after="0"/>
              <w:rPr>
                <w:sz w:val="20"/>
                <w:szCs w:val="20"/>
                <w:color w:val="auto"/>
              </w:rPr>
            </w:pPr>
            <w:r>
              <w:rPr>
                <w:rFonts w:ascii="Arial" w:cs="Arial" w:eastAsia="Arial" w:hAnsi="Arial"/>
                <w:sz w:val="18"/>
                <w:szCs w:val="18"/>
                <w:b w:val="1"/>
                <w:bCs w:val="1"/>
                <w:color w:val="0000FF"/>
              </w:rPr>
              <w:t>Item 6.</w:t>
            </w:r>
          </w:p>
        </w:tc>
        <w:tc>
          <w:tcPr>
            <w:tcW w:w="360" w:type="dxa"/>
            <w:vAlign w:val="bottom"/>
            <w:gridSpan w:val="2"/>
          </w:tcPr>
          <w:p>
            <w:pPr>
              <w:spacing w:after="0"/>
              <w:rPr>
                <w:sz w:val="24"/>
                <w:szCs w:val="24"/>
                <w:color w:val="auto"/>
              </w:rPr>
            </w:pPr>
          </w:p>
        </w:tc>
        <w:tc>
          <w:tcPr>
            <w:tcW w:w="4560" w:type="dxa"/>
            <w:vAlign w:val="bottom"/>
            <w:tcBorders>
              <w:top w:val="single" w:sz="8" w:color="0000FF"/>
            </w:tcBorders>
            <w:gridSpan w:val="9"/>
          </w:tcPr>
          <w:p>
            <w:pPr>
              <w:spacing w:after="0"/>
              <w:rPr>
                <w:sz w:val="20"/>
                <w:szCs w:val="20"/>
                <w:color w:val="auto"/>
              </w:rPr>
            </w:pPr>
            <w:r>
              <w:rPr>
                <w:rFonts w:ascii="Arial" w:cs="Arial" w:eastAsia="Arial" w:hAnsi="Arial"/>
                <w:sz w:val="18"/>
                <w:szCs w:val="18"/>
                <w:b w:val="1"/>
                <w:bCs w:val="1"/>
                <w:color w:val="0000FF"/>
              </w:rPr>
              <w:t>Exhibits</w:t>
            </w:r>
          </w:p>
        </w:tc>
        <w:tc>
          <w:tcPr>
            <w:tcW w:w="3580" w:type="dxa"/>
            <w:vAlign w:val="bottom"/>
            <w:gridSpan w:val="7"/>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50</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Arial" w:cs="Arial" w:eastAsia="Arial" w:hAnsi="Arial"/>
                <w:sz w:val="18"/>
                <w:szCs w:val="18"/>
                <w:b w:val="1"/>
                <w:bCs w:val="1"/>
                <w:color w:val="0000FF"/>
              </w:rPr>
              <w:t>SIGNATURES</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51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indicates or requires, the terms “we,” “our,” “us,” “Essent,” and the “Company,” as used in this Quarterly Report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10-Q, refer to Essent Group Ltd. and its directly and indirectly owned subsidiaries, including our primary operating subsidiaries, Essent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Guaranty, Inc. and Essent Reinsurance Ltd., as a combined entity, except where otherwise stated or where it is clear that the terms mean only Essent Group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Ltd. exclusive of its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9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2021 filed with the Securities and Exchange Commission. These factors include, without limitation, the following:</w:t>
      </w:r>
    </w:p>
    <w:p>
      <w:pPr>
        <w:spacing w:after="0" w:line="178" w:lineRule="exact"/>
        <w:rPr>
          <w:sz w:val="20"/>
          <w:szCs w:val="20"/>
          <w:color w:val="auto"/>
        </w:rPr>
      </w:pPr>
    </w:p>
    <w:p>
      <w:pPr>
        <w:ind w:left="660" w:right="60" w:hanging="328"/>
        <w:spacing w:after="0" w:line="271"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duration, spread and severity of the outbreak of novel coronavirus disease 2019 ("COVID-19"), which is currently ongoing and still evolving; the actions taken to contain the virus or treat its impact, including government and GSE actions to mitigate the economic impact of the outbreak; the nature and extent of the forbearance and modification options available to borrowers affected by the outbreak on mortgages we insure; reserve and other accounting estimates relating to the impact of the COVID-19 outbreak; borrower behavior in response to the outbreak and its economic impact; how quickly and to what extent normal economic and operating conditions can resume, including whether any future outbreaks interrupt economic recovery; how quickly and to what extent affected borrowers can recover from the negative economic impact of the outbreak; and whether and to what extent the outbreak and related economic conditions will exacerbate other risks and uncertainties facing our business, financial condition and business strategy;</w:t>
      </w:r>
    </w:p>
    <w:p>
      <w:pPr>
        <w:spacing w:after="0" w:line="205" w:lineRule="exact"/>
        <w:rPr>
          <w:rFonts w:ascii="Arial" w:cs="Arial" w:eastAsia="Arial" w:hAnsi="Arial"/>
          <w:sz w:val="17"/>
          <w:szCs w:val="17"/>
          <w:color w:val="auto"/>
        </w:rPr>
      </w:pPr>
    </w:p>
    <w:p>
      <w:pPr>
        <w:ind w:left="660" w:right="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52"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6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8"/>
          <w:szCs w:val="18"/>
          <w:color w:val="auto"/>
        </w:rPr>
        <w:t>deteriorating economic conditions (including inflation, rising interest rates and other adverse economic trends);</w:t>
      </w:r>
    </w:p>
    <w:p>
      <w:pPr>
        <w:spacing w:after="0" w:line="227"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recently enacted U.S. Federal tax reform and its impact on us, our shareholders and our operations;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2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9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 or reinsurance;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 as a result of COVID-19 or otherwise;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restrictions on the ability of our insurance subsidiaries to pay dividends.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Condensed Consolidated Balance Sheets (Unaudited)</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9803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2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spacing w:after="0" w:line="3" w:lineRule="exact"/>
        <w:rPr>
          <w:sz w:val="20"/>
          <w:szCs w:val="20"/>
          <w:color w:val="auto"/>
        </w:rPr>
      </w:pPr>
    </w:p>
    <w:p>
      <w:pPr>
        <w:ind w:left="500" w:right="920" w:hanging="215"/>
        <w:spacing w:after="0" w:line="234" w:lineRule="auto"/>
        <w:rPr>
          <w:sz w:val="20"/>
          <w:szCs w:val="20"/>
          <w:color w:val="auto"/>
        </w:rPr>
      </w:pPr>
      <w:r>
        <w:rPr>
          <w:rFonts w:ascii="Arial" w:cs="Arial" w:eastAsia="Arial" w:hAnsi="Arial"/>
          <w:sz w:val="18"/>
          <w:szCs w:val="18"/>
          <w:color w:val="auto"/>
        </w:rPr>
        <w:t>Fixed maturities available for sale, at fair value (amortized cost: 2022 — $4,744,377; 2021 — $4,584,521)</w:t>
      </w:r>
    </w:p>
    <w:p>
      <w:pPr>
        <w:spacing w:after="0" w:line="14" w:lineRule="exact"/>
        <w:rPr>
          <w:sz w:val="20"/>
          <w:szCs w:val="20"/>
          <w:color w:val="auto"/>
        </w:rPr>
      </w:pPr>
    </w:p>
    <w:p>
      <w:pPr>
        <w:ind w:left="500" w:right="1320" w:hanging="215"/>
        <w:spacing w:after="0" w:line="235" w:lineRule="auto"/>
        <w:rPr>
          <w:sz w:val="20"/>
          <w:szCs w:val="20"/>
          <w:color w:val="auto"/>
        </w:rPr>
      </w:pPr>
      <w:r>
        <w:rPr>
          <w:rFonts w:ascii="Arial" w:cs="Arial" w:eastAsia="Arial" w:hAnsi="Arial"/>
          <w:sz w:val="18"/>
          <w:szCs w:val="18"/>
          <w:color w:val="auto"/>
        </w:rPr>
        <w:t>Short-term investments available for sale, at fair value (amortized cost: 2022 — $331,605; 2021 — $313,086)</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871"/>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4,253,705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4,649,800</w:t>
            </w:r>
          </w:p>
        </w:tc>
      </w:tr>
      <w:tr>
        <w:trPr>
          <w:trHeight w:val="417"/>
        </w:trPr>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331,139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313,087</w:t>
            </w:r>
          </w:p>
        </w:tc>
      </w:tr>
    </w:tbl>
    <w:p>
      <w:pPr>
        <w:spacing w:after="0" w:line="1" w:lineRule="exact"/>
        <w:rPr>
          <w:sz w:val="20"/>
          <w:szCs w:val="20"/>
          <w:color w:val="auto"/>
        </w:rPr>
      </w:pPr>
    </w:p>
    <w:p>
      <w:pPr>
        <w:sectPr>
          <w:pgSz w:w="11900" w:h="16838" w:orient="portrait"/>
          <w:cols w:equalWidth="0" w:num="2">
            <w:col w:w="7340" w:space="720"/>
            <w:col w:w="3160"/>
          </w:cols>
          <w:pgMar w:left="320" w:top="125" w:right="359" w:bottom="1440" w:gutter="0" w:footer="0" w:header="0"/>
          <w:type w:val="continuous"/>
        </w:sectPr>
      </w:pPr>
    </w:p>
    <w:tbl>
      <w:tblPr>
        <w:tblLayout w:type="fixed"/>
        <w:tblInd w:w="40" w:type="dxa"/>
        <w:tblCellMar>
          <w:top w:w="0" w:type="dxa"/>
          <w:left w:w="0" w:type="dxa"/>
          <w:bottom w:w="0" w:type="dxa"/>
          <w:right w:w="0" w:type="dxa"/>
        </w:tblCellMar>
      </w:tblPr>
      <w:tr>
        <w:trPr>
          <w:trHeight w:val="225"/>
        </w:trPr>
        <w:tc>
          <w:tcPr>
            <w:tcW w:w="80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investments available for sale</w:t>
            </w:r>
          </w:p>
        </w:tc>
        <w:tc>
          <w:tcPr>
            <w:tcW w:w="4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4,584,844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4,962,887</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invested assets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170,472</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4,847,970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5,133,359</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Cash</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79,467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81,491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investment income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26,546</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59,069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46,157</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policy acquisition costs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12,178</w:t>
            </w:r>
          </w:p>
        </w:tc>
      </w:tr>
      <w:tr>
        <w:trPr>
          <w:trHeight w:val="176"/>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rPr>
              <w:t>Property and equipment (at cost, less accumulated depreciation of $66,562 in 2022 and</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020" w:type="dxa"/>
            <w:vAlign w:val="bottom"/>
          </w:tcPr>
          <w:p>
            <w:pPr>
              <w:ind w:left="260"/>
              <w:spacing w:after="0"/>
              <w:rPr>
                <w:sz w:val="20"/>
                <w:szCs w:val="20"/>
                <w:color w:val="auto"/>
              </w:rPr>
            </w:pPr>
            <w:r>
              <w:rPr>
                <w:rFonts w:ascii="Arial" w:cs="Arial" w:eastAsia="Arial" w:hAnsi="Arial"/>
                <w:sz w:val="18"/>
                <w:szCs w:val="18"/>
                <w:color w:val="auto"/>
              </w:rPr>
              <w:t>$64,340 in 2021)</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11,921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federal income tax</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360,810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104,704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49,712</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5,556,904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5,722,174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for losses and LAE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407,445</w:t>
            </w: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Unearned premium reserve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169,413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185,385</w:t>
            </w: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deferred tax liability</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373,654</w:t>
            </w:r>
          </w:p>
        </w:tc>
      </w:tr>
      <w:tr>
        <w:trPr>
          <w:trHeight w:val="175"/>
        </w:trPr>
        <w:tc>
          <w:tcPr>
            <w:tcW w:w="8020" w:type="dxa"/>
            <w:vAlign w:val="bottom"/>
          </w:tcPr>
          <w:p>
            <w:pPr>
              <w:ind w:left="220"/>
              <w:spacing w:after="0" w:line="176" w:lineRule="exact"/>
              <w:rPr>
                <w:sz w:val="20"/>
                <w:szCs w:val="20"/>
                <w:color w:val="auto"/>
              </w:rPr>
            </w:pPr>
            <w:r>
              <w:rPr>
                <w:rFonts w:ascii="Arial" w:cs="Arial" w:eastAsia="Arial" w:hAnsi="Arial"/>
                <w:sz w:val="18"/>
                <w:szCs w:val="18"/>
                <w:color w:val="auto"/>
                <w:w w:val="99"/>
              </w:rPr>
              <w:t>Credit facility borrowings (at carrying value, less unamortized deferred costs of $4,400 in 2022 and</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020" w:type="dxa"/>
            <w:vAlign w:val="bottom"/>
          </w:tcPr>
          <w:p>
            <w:pPr>
              <w:ind w:left="460"/>
              <w:spacing w:after="0"/>
              <w:rPr>
                <w:sz w:val="20"/>
                <w:szCs w:val="20"/>
                <w:color w:val="auto"/>
              </w:rPr>
            </w:pPr>
            <w:r>
              <w:rPr>
                <w:rFonts w:ascii="Arial" w:cs="Arial" w:eastAsia="Arial" w:hAnsi="Arial"/>
                <w:sz w:val="18"/>
                <w:szCs w:val="18"/>
                <w:color w:val="auto"/>
              </w:rPr>
              <w:t>$5,177 in 2021)</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420,600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419,823</w:t>
            </w: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accrued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119,562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99,753</w:t>
            </w:r>
          </w:p>
        </w:tc>
      </w:tr>
      <w:tr>
        <w:trPr>
          <w:trHeight w:val="223"/>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1,262,696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1,486,060</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(see Note 7)</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shares, $0.015 par value: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76"/>
        </w:trPr>
        <w:tc>
          <w:tcPr>
            <w:tcW w:w="8020" w:type="dxa"/>
            <w:vAlign w:val="bottom"/>
          </w:tcPr>
          <w:p>
            <w:pPr>
              <w:ind w:left="420"/>
              <w:spacing w:after="0" w:line="176" w:lineRule="exact"/>
              <w:rPr>
                <w:sz w:val="20"/>
                <w:szCs w:val="20"/>
                <w:color w:val="auto"/>
              </w:rPr>
            </w:pPr>
            <w:r>
              <w:rPr>
                <w:rFonts w:ascii="Arial" w:cs="Arial" w:eastAsia="Arial" w:hAnsi="Arial"/>
                <w:sz w:val="18"/>
                <w:szCs w:val="18"/>
                <w:color w:val="auto"/>
              </w:rPr>
              <w:t>Authorized - 233,333; issued and outstanding - 107,697 shares in 2022 and 109,377</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020" w:type="dxa"/>
            <w:vAlign w:val="bottom"/>
          </w:tcPr>
          <w:p>
            <w:pPr>
              <w:ind w:left="660"/>
              <w:spacing w:after="0"/>
              <w:rPr>
                <w:sz w:val="20"/>
                <w:szCs w:val="20"/>
                <w:color w:val="auto"/>
              </w:rPr>
            </w:pPr>
            <w:r>
              <w:rPr>
                <w:rFonts w:ascii="Arial" w:cs="Arial" w:eastAsia="Arial" w:hAnsi="Arial"/>
                <w:sz w:val="18"/>
                <w:szCs w:val="18"/>
                <w:color w:val="auto"/>
              </w:rPr>
              <w:t>shares in 2021</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1,641</w:t>
            </w: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1,345,598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1,428,952</w:t>
            </w: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(423,577)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50,707</w:t>
            </w: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3,370,572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2,754,814</w:t>
            </w:r>
          </w:p>
        </w:tc>
      </w:tr>
      <w:tr>
        <w:trPr>
          <w:trHeight w:val="223"/>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4,294,208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4,236,114</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5,556,904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5,722,174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5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5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Net premiums written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209,230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202,348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619,303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608,996</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Decrease (increase) in unearned premiums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46,226</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Net premiums earned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207,934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218,718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635,275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655,222</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65,104</w:t>
            </w: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Realized investment (losses) gains,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other invested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41,389</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261,767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770,787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771,594</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Losses and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(Benefit) provision for losses and LAE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(178,805)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34,490</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underwriting and operating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125,625</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losses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166,302</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605,292</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104,496</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683,987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500,796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106,870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111,001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107,314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111,708</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112,070</w:t>
            </w:r>
          </w:p>
        </w:tc>
        <w:tc>
          <w:tcPr>
            <w:tcW w:w="0" w:type="dxa"/>
            <w:vAlign w:val="bottom"/>
          </w:tcPr>
          <w:p>
            <w:pPr>
              <w:spacing w:after="0"/>
              <w:rPr>
                <w:sz w:val="1"/>
                <w:szCs w:val="1"/>
                <w:color w:val="auto"/>
              </w:rPr>
            </w:pPr>
          </w:p>
        </w:tc>
      </w:tr>
      <w:tr>
        <w:trPr>
          <w:trHeight w:val="256"/>
        </w:trPr>
        <w:tc>
          <w:tcPr>
            <w:tcW w:w="5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500,796</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4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2"/>
              </w:rPr>
              <w:t>Change in unrealized appreciation (depreciation) of investments, net</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gridSpan w:val="2"/>
          </w:tcPr>
          <w:p>
            <w:pPr>
              <w:ind w:left="420"/>
              <w:spacing w:after="0" w:line="176" w:lineRule="exact"/>
              <w:rPr>
                <w:sz w:val="20"/>
                <w:szCs w:val="20"/>
                <w:color w:val="auto"/>
              </w:rPr>
            </w:pPr>
            <w:r>
              <w:rPr>
                <w:rFonts w:ascii="Arial" w:cs="Arial" w:eastAsia="Arial" w:hAnsi="Arial"/>
                <w:sz w:val="18"/>
                <w:szCs w:val="18"/>
                <w:color w:val="auto"/>
                <w:w w:val="97"/>
              </w:rPr>
              <w:t>of tax expense (benefit) of ($22,000) and ($8,599) in the three</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240" w:type="dxa"/>
            <w:vAlign w:val="bottom"/>
            <w:gridSpan w:val="2"/>
          </w:tcPr>
          <w:p>
            <w:pPr>
              <w:ind w:left="420"/>
              <w:spacing w:after="0" w:line="189" w:lineRule="exact"/>
              <w:rPr>
                <w:sz w:val="20"/>
                <w:szCs w:val="20"/>
                <w:color w:val="auto"/>
              </w:rPr>
            </w:pPr>
            <w:r>
              <w:rPr>
                <w:rFonts w:ascii="Arial" w:cs="Arial" w:eastAsia="Arial" w:hAnsi="Arial"/>
                <w:sz w:val="18"/>
                <w:szCs w:val="18"/>
                <w:color w:val="auto"/>
                <w:w w:val="93"/>
              </w:rPr>
              <w:t>months ended September 30, 2022 and 2021 and ($82,132) and</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40" w:type="dxa"/>
            <w:vAlign w:val="bottom"/>
            <w:gridSpan w:val="2"/>
          </w:tcPr>
          <w:p>
            <w:pPr>
              <w:ind w:left="420"/>
              <w:spacing w:after="0" w:line="176" w:lineRule="exact"/>
              <w:rPr>
                <w:sz w:val="20"/>
                <w:szCs w:val="20"/>
                <w:color w:val="auto"/>
              </w:rPr>
            </w:pPr>
            <w:r>
              <w:rPr>
                <w:rFonts w:ascii="Arial" w:cs="Arial" w:eastAsia="Arial" w:hAnsi="Arial"/>
                <w:sz w:val="18"/>
                <w:szCs w:val="18"/>
                <w:color w:val="auto"/>
                <w:w w:val="98"/>
              </w:rPr>
              <w:t>($10,944) in the nine months ended September 30, 2022 and</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(137,010)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(474,284)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(59,760)</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(59,760)</w:t>
            </w:r>
          </w:p>
        </w:tc>
        <w:tc>
          <w:tcPr>
            <w:tcW w:w="0" w:type="dxa"/>
            <w:vAlign w:val="bottom"/>
          </w:tcPr>
          <w:p>
            <w:pPr>
              <w:spacing w:after="0"/>
              <w:rPr>
                <w:sz w:val="1"/>
                <w:szCs w:val="1"/>
                <w:color w:val="auto"/>
              </w:rPr>
            </w:pPr>
          </w:p>
        </w:tc>
      </w:tr>
      <w:tr>
        <w:trPr>
          <w:trHeight w:val="223"/>
        </w:trPr>
        <w:tc>
          <w:tcPr>
            <w:tcW w:w="5240" w:type="dxa"/>
            <w:vAlign w:val="bottom"/>
            <w:gridSpan w:val="2"/>
          </w:tcPr>
          <w:p>
            <w:pPr>
              <w:ind w:left="14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168,436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441,036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Issuance of management incentive shares</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Cancellation of treasury stock</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34"/>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1,340,650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1,558,142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1,428,952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1,571,163</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Dividends and dividend equivalents declared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Issuance of management incentive shares</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16,075</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Cancellation of treasury stock</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(94,783)</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1,345,598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1,493,005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1,345,598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1,493,005</w:t>
            </w:r>
          </w:p>
        </w:tc>
        <w:tc>
          <w:tcPr>
            <w:tcW w:w="0" w:type="dxa"/>
            <w:vAlign w:val="bottom"/>
          </w:tcPr>
          <w:p>
            <w:pPr>
              <w:spacing w:after="0"/>
              <w:rPr>
                <w:sz w:val="1"/>
                <w:szCs w:val="1"/>
                <w:color w:val="auto"/>
              </w:rPr>
            </w:pPr>
          </w:p>
        </w:tc>
      </w:tr>
      <w:tr>
        <w:trPr>
          <w:trHeight w:val="34"/>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Income (Loss)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(286,567)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115,431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50,707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138,274</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(137,010)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(59,760)</w:t>
            </w:r>
          </w:p>
        </w:tc>
        <w:tc>
          <w:tcPr>
            <w:tcW w:w="0" w:type="dxa"/>
            <w:vAlign w:val="bottom"/>
          </w:tcPr>
          <w:p>
            <w:pPr>
              <w:spacing w:after="0"/>
              <w:rPr>
                <w:sz w:val="1"/>
                <w:szCs w:val="1"/>
                <w:color w:val="auto"/>
              </w:rPr>
            </w:pPr>
          </w:p>
        </w:tc>
      </w:tr>
      <w:tr>
        <w:trPr>
          <w:trHeight w:val="262"/>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(423,577)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(423,577)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78,514</w:t>
            </w:r>
          </w:p>
        </w:tc>
        <w:tc>
          <w:tcPr>
            <w:tcW w:w="0" w:type="dxa"/>
            <w:vAlign w:val="bottom"/>
          </w:tcPr>
          <w:p>
            <w:pPr>
              <w:spacing w:after="0"/>
              <w:rPr>
                <w:sz w:val="1"/>
                <w:szCs w:val="1"/>
                <w:color w:val="auto"/>
              </w:rPr>
            </w:pPr>
          </w:p>
        </w:tc>
      </w:tr>
      <w:tr>
        <w:trPr>
          <w:trHeight w:val="230"/>
        </w:trPr>
        <w:tc>
          <w:tcPr>
            <w:tcW w:w="52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3,216,297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2,409,568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2,754,814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2,151,510</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178,051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205,353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683,987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500,796</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Dividends and dividend equivalents declared</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(57,505)</w:t>
            </w:r>
          </w:p>
        </w:tc>
        <w:tc>
          <w:tcPr>
            <w:tcW w:w="0" w:type="dxa"/>
            <w:vAlign w:val="bottom"/>
          </w:tcPr>
          <w:p>
            <w:pPr>
              <w:spacing w:after="0"/>
              <w:rPr>
                <w:sz w:val="1"/>
                <w:szCs w:val="1"/>
                <w:color w:val="auto"/>
              </w:rPr>
            </w:pPr>
          </w:p>
        </w:tc>
      </w:tr>
      <w:tr>
        <w:trPr>
          <w:trHeight w:val="262"/>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3,370,572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2,594,801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3,370,572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2,594,801</w:t>
            </w:r>
          </w:p>
        </w:tc>
        <w:tc>
          <w:tcPr>
            <w:tcW w:w="0" w:type="dxa"/>
            <w:vAlign w:val="bottom"/>
          </w:tcPr>
          <w:p>
            <w:pPr>
              <w:spacing w:after="0"/>
              <w:rPr>
                <w:sz w:val="1"/>
                <w:szCs w:val="1"/>
                <w:color w:val="auto"/>
              </w:rPr>
            </w:pPr>
          </w:p>
        </w:tc>
      </w:tr>
      <w:tr>
        <w:trPr>
          <w:trHeight w:val="230"/>
        </w:trPr>
        <w:tc>
          <w:tcPr>
            <w:tcW w:w="52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Treasury Stock</w:t>
            </w:r>
          </w:p>
        </w:tc>
        <w:tc>
          <w:tcPr>
            <w:tcW w:w="24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Treasury stock acquired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(70,861)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(97,770)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(94,814)</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Cancellation of treasury stock</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94,814</w:t>
            </w:r>
          </w:p>
        </w:tc>
        <w:tc>
          <w:tcPr>
            <w:tcW w:w="0" w:type="dxa"/>
            <w:vAlign w:val="bottom"/>
          </w:tcPr>
          <w:p>
            <w:pPr>
              <w:spacing w:after="0"/>
              <w:rPr>
                <w:sz w:val="1"/>
                <w:szCs w:val="1"/>
                <w:color w:val="auto"/>
              </w:rPr>
            </w:pPr>
          </w:p>
        </w:tc>
      </w:tr>
      <w:tr>
        <w:trPr>
          <w:trHeight w:val="262"/>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top w:val="single" w:sz="8" w:color="CCEEFF"/>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4,294,208</w:t>
            </w: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4,167,984</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4,294,208</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4,167,984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41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8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683,987</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500,796</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Realized investment losses (gains), net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from other invested 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(41,389)</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Distribution of income from other invested assets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1,568</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16,075</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premium on investment securities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25,300</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Deferred income tax provision</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49,106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62,670</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 in: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480"/>
              <w:spacing w:after="0"/>
              <w:rPr>
                <w:sz w:val="20"/>
                <w:szCs w:val="20"/>
                <w:color w:val="auto"/>
              </w:rPr>
            </w:pPr>
            <w:r>
              <w:rPr>
                <w:rFonts w:ascii="Arial" w:cs="Arial" w:eastAsia="Arial" w:hAnsi="Arial"/>
                <w:sz w:val="16"/>
                <w:szCs w:val="16"/>
                <w:color w:val="auto"/>
              </w:rPr>
              <w:t>Accrued investment income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(4,694)</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213"/>
        </w:trPr>
        <w:tc>
          <w:tcPr>
            <w:tcW w:w="8080" w:type="dxa"/>
            <w:vAlign w:val="bottom"/>
            <w:gridSpan w:val="2"/>
          </w:tcPr>
          <w:p>
            <w:pPr>
              <w:ind w:left="480"/>
              <w:spacing w:after="0"/>
              <w:rPr>
                <w:sz w:val="20"/>
                <w:szCs w:val="20"/>
                <w:color w:val="auto"/>
              </w:rPr>
            </w:pPr>
            <w:r>
              <w:rPr>
                <w:rFonts w:ascii="Arial" w:cs="Arial" w:eastAsia="Arial" w:hAnsi="Arial"/>
                <w:sz w:val="16"/>
                <w:szCs w:val="16"/>
                <w:color w:val="auto"/>
              </w:rPr>
              <w:t>Deferred policy acquisition costs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3,698</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Prepaid federal income tax</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(45,650)</w:t>
            </w:r>
          </w:p>
        </w:tc>
        <w:tc>
          <w:tcPr>
            <w:tcW w:w="0" w:type="dxa"/>
            <w:vAlign w:val="bottom"/>
          </w:tcPr>
          <w:p>
            <w:pPr>
              <w:spacing w:after="0"/>
              <w:rPr>
                <w:sz w:val="1"/>
                <w:szCs w:val="1"/>
                <w:color w:val="auto"/>
              </w:rPr>
            </w:pPr>
          </w:p>
        </w:tc>
      </w:tr>
      <w:tr>
        <w:trPr>
          <w:trHeight w:val="213"/>
        </w:trPr>
        <w:tc>
          <w:tcPr>
            <w:tcW w:w="8080" w:type="dxa"/>
            <w:vAlign w:val="bottom"/>
            <w:gridSpan w:val="2"/>
          </w:tcPr>
          <w:p>
            <w:pPr>
              <w:ind w:left="48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(50,722)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(3,319)</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Reserve for losses and LAE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38,015</w:t>
            </w:r>
          </w:p>
        </w:tc>
        <w:tc>
          <w:tcPr>
            <w:tcW w:w="0" w:type="dxa"/>
            <w:vAlign w:val="bottom"/>
          </w:tcPr>
          <w:p>
            <w:pPr>
              <w:spacing w:after="0"/>
              <w:rPr>
                <w:sz w:val="1"/>
                <w:szCs w:val="1"/>
                <w:color w:val="auto"/>
              </w:rPr>
            </w:pPr>
          </w:p>
        </w:tc>
      </w:tr>
      <w:tr>
        <w:trPr>
          <w:trHeight w:val="213"/>
        </w:trPr>
        <w:tc>
          <w:tcPr>
            <w:tcW w:w="8080" w:type="dxa"/>
            <w:vAlign w:val="bottom"/>
            <w:gridSpan w:val="2"/>
          </w:tcPr>
          <w:p>
            <w:pPr>
              <w:ind w:left="480"/>
              <w:spacing w:after="0"/>
              <w:rPr>
                <w:sz w:val="20"/>
                <w:szCs w:val="20"/>
                <w:color w:val="auto"/>
              </w:rPr>
            </w:pPr>
            <w:r>
              <w:rPr>
                <w:rFonts w:ascii="Arial" w:cs="Arial" w:eastAsia="Arial" w:hAnsi="Arial"/>
                <w:sz w:val="16"/>
                <w:szCs w:val="16"/>
                <w:color w:val="auto"/>
              </w:rPr>
              <w:t>Unearned premium reserve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(46,226)</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7,574</w:t>
            </w:r>
          </w:p>
        </w:tc>
        <w:tc>
          <w:tcPr>
            <w:tcW w:w="0" w:type="dxa"/>
            <w:vAlign w:val="bottom"/>
          </w:tcPr>
          <w:p>
            <w:pPr>
              <w:spacing w:after="0"/>
              <w:rPr>
                <w:sz w:val="1"/>
                <w:szCs w:val="1"/>
                <w:color w:val="auto"/>
              </w:rPr>
            </w:pPr>
          </w:p>
        </w:tc>
      </w:tr>
      <w:tr>
        <w:trPr>
          <w:trHeight w:val="207"/>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416,456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518,167</w:t>
            </w:r>
          </w:p>
        </w:tc>
        <w:tc>
          <w:tcPr>
            <w:tcW w:w="0" w:type="dxa"/>
            <w:vAlign w:val="bottom"/>
          </w:tcPr>
          <w:p>
            <w:pPr>
              <w:spacing w:after="0"/>
              <w:rPr>
                <w:sz w:val="1"/>
                <w:szCs w:val="1"/>
                <w:color w:val="auto"/>
              </w:rPr>
            </w:pPr>
          </w:p>
        </w:tc>
      </w:tr>
      <w:tr>
        <w:trPr>
          <w:trHeight w:val="91"/>
        </w:trPr>
        <w:tc>
          <w:tcPr>
            <w:tcW w:w="7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change in short-term investments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417,078</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Purchase of investments available for sale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(1,022,095)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(1,503,051)</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maturities and paydowns of investments available for sale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214,424</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Proceeds from sales of investments available for sale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673,945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509,998</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 of other invested 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(56,166)</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Return of investment from other invested assets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16,000</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w:t>
            </w:r>
          </w:p>
        </w:tc>
        <w:tc>
          <w:tcPr>
            <w:tcW w:w="0" w:type="dxa"/>
            <w:vAlign w:val="bottom"/>
          </w:tcPr>
          <w:p>
            <w:pPr>
              <w:spacing w:after="0"/>
              <w:rPr>
                <w:sz w:val="1"/>
                <w:szCs w:val="1"/>
                <w:color w:val="auto"/>
              </w:rPr>
            </w:pPr>
          </w:p>
        </w:tc>
      </w:tr>
      <w:tr>
        <w:trPr>
          <w:trHeight w:val="206"/>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(253,010)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(403,412)</w:t>
            </w:r>
          </w:p>
        </w:tc>
        <w:tc>
          <w:tcPr>
            <w:tcW w:w="0" w:type="dxa"/>
            <w:vAlign w:val="bottom"/>
          </w:tcPr>
          <w:p>
            <w:pPr>
              <w:spacing w:after="0"/>
              <w:rPr>
                <w:sz w:val="1"/>
                <w:szCs w:val="1"/>
                <w:color w:val="auto"/>
              </w:rPr>
            </w:pPr>
          </w:p>
        </w:tc>
      </w:tr>
      <w:tr>
        <w:trPr>
          <w:trHeight w:val="91"/>
        </w:trPr>
        <w:tc>
          <w:tcPr>
            <w:tcW w:w="7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Credit facility borrowings</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Credit facility repayments</w:t>
            </w:r>
          </w:p>
        </w:tc>
        <w:tc>
          <w:tcPr>
            <w:tcW w:w="3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Treasury stock acquired</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(94,814)</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Payment of issuance costs for credit facility</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Dividends paid</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(67,546)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(56,946)</w:t>
            </w:r>
          </w:p>
        </w:tc>
        <w:tc>
          <w:tcPr>
            <w:tcW w:w="0" w:type="dxa"/>
            <w:vAlign w:val="bottom"/>
          </w:tcPr>
          <w:p>
            <w:pPr>
              <w:spacing w:after="0"/>
              <w:rPr>
                <w:sz w:val="1"/>
                <w:szCs w:val="1"/>
                <w:color w:val="auto"/>
              </w:rPr>
            </w:pPr>
          </w:p>
        </w:tc>
      </w:tr>
      <w:tr>
        <w:trPr>
          <w:trHeight w:val="206"/>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(165,470)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(151,760)</w:t>
            </w:r>
          </w:p>
        </w:tc>
        <w:tc>
          <w:tcPr>
            <w:tcW w:w="0" w:type="dxa"/>
            <w:vAlign w:val="bottom"/>
          </w:tcPr>
          <w:p>
            <w:pPr>
              <w:spacing w:after="0"/>
              <w:rPr>
                <w:sz w:val="1"/>
                <w:szCs w:val="1"/>
                <w:color w:val="auto"/>
              </w:rPr>
            </w:pPr>
          </w:p>
        </w:tc>
      </w:tr>
      <w:tr>
        <w:trPr>
          <w:trHeight w:val="91"/>
        </w:trPr>
        <w:tc>
          <w:tcPr>
            <w:tcW w:w="7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Net (decrease) increase in cash</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(37,005)</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at 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81,491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102,830</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at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79,467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65,825</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payments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Interest payments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(5,321)</w:t>
            </w:r>
          </w:p>
        </w:tc>
        <w:tc>
          <w:tcPr>
            <w:tcW w:w="0" w:type="dxa"/>
            <w:vAlign w:val="bottom"/>
          </w:tcPr>
          <w:p>
            <w:pPr>
              <w:spacing w:after="0"/>
              <w:rPr>
                <w:sz w:val="1"/>
                <w:szCs w:val="1"/>
                <w:color w:val="auto"/>
              </w:rPr>
            </w:pPr>
          </w:p>
        </w:tc>
      </w:tr>
      <w:tr>
        <w:trPr>
          <w:trHeight w:val="111"/>
        </w:trPr>
        <w:tc>
          <w:tcPr>
            <w:tcW w:w="7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20"/>
              <w:spacing w:after="0"/>
              <w:rPr>
                <w:sz w:val="20"/>
                <w:szCs w:val="20"/>
                <w:color w:val="auto"/>
              </w:rPr>
            </w:pPr>
            <w:r>
              <w:rPr>
                <w:rFonts w:ascii="Arial" w:cs="Arial" w:eastAsia="Arial" w:hAnsi="Arial"/>
                <w:sz w:val="16"/>
                <w:szCs w:val="16"/>
                <w:b w:val="1"/>
                <w:bCs w:val="1"/>
                <w:color w:val="auto"/>
              </w:rPr>
              <w:t>Noncash Transactions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 liabilities arising from obtaining right-of-use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214"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Essent Guaranty reinsures new insurance written ("NIW") to Essent Reinsurance Ltd. (“Essent Re”), an affiliated Bermuda domiciled Class 3A Insurer licensed pursuant to Section 4 of the Bermuda Insurance Act 1978 that provides insurance and reinsurance coverage of mortgage credit risk.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will continue to be 25%, the quota share percentage in effect at the time NIW was first ceded.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then in effect, Essent Guaranty also reinsures that portion of the risk that is in excess of 25% of the mortgage balance with respect to loans insured prior to April 1, 2019, after consideration of other reinsurance, to Essent Guaranty of PA, Inc. (“Essent PA”), an affiliate.</w:t>
      </w:r>
    </w:p>
    <w:p>
      <w:pPr>
        <w:spacing w:after="0" w:line="20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2021,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September 30, 2022 prior to the issuance of these condensed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amounts in prior years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52" w:lineRule="exact"/>
        <w:rPr>
          <w:sz w:val="20"/>
          <w:szCs w:val="20"/>
          <w:color w:val="auto"/>
        </w:rPr>
      </w:pPr>
    </w:p>
    <w:p>
      <w:pPr>
        <w:ind w:firstLine="180"/>
        <w:spacing w:after="0" w:line="272" w:lineRule="auto"/>
        <w:rPr>
          <w:sz w:val="20"/>
          <w:szCs w:val="20"/>
          <w:color w:val="auto"/>
        </w:rPr>
      </w:pPr>
      <w:r>
        <w:rPr>
          <w:rFonts w:ascii="Arial" w:cs="Arial" w:eastAsia="Arial" w:hAnsi="Arial"/>
          <w:sz w:val="17"/>
          <w:szCs w:val="17"/>
          <w:color w:val="auto"/>
        </w:rPr>
        <w:t xml:space="preserve">In March 2020, the Financial Accounting Standards Board ("FASB") issued ASU No. 2020-04, </w:t>
      </w:r>
      <w:r>
        <w:rPr>
          <w:rFonts w:ascii="Arial" w:cs="Arial" w:eastAsia="Arial" w:hAnsi="Arial"/>
          <w:sz w:val="17"/>
          <w:szCs w:val="17"/>
          <w:i w:val="1"/>
          <w:iCs w:val="1"/>
          <w:color w:val="auto"/>
        </w:rPr>
        <w:t>Reference Rate Reform (Topic 848): Facilitation of the</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of Reference Rate Reform on Financial Reporting</w:t>
      </w:r>
      <w:r>
        <w:rPr>
          <w:rFonts w:ascii="Arial" w:cs="Arial" w:eastAsia="Arial" w:hAnsi="Arial"/>
          <w:sz w:val="17"/>
          <w:szCs w:val="17"/>
          <w:color w:val="auto"/>
        </w:rPr>
        <w:t>. The amendments in this update provide temporary optional guidance to ease the potential burden</w:t>
      </w:r>
      <w:r>
        <w:rPr>
          <w:rFonts w:ascii="Arial" w:cs="Arial" w:eastAsia="Arial" w:hAnsi="Arial"/>
          <w:sz w:val="17"/>
          <w:szCs w:val="17"/>
          <w:i w:val="1"/>
          <w:iCs w:val="1"/>
          <w:color w:val="auto"/>
        </w:rPr>
        <w:t xml:space="preserve"> </w:t>
      </w:r>
      <w:r>
        <w:rPr>
          <w:rFonts w:ascii="Arial" w:cs="Arial" w:eastAsia="Arial" w:hAnsi="Arial"/>
          <w:sz w:val="17"/>
          <w:szCs w:val="17"/>
          <w:color w:val="auto"/>
        </w:rPr>
        <w:t>in accounting for (or recognizing the effects of) reference rate reform. It provides optional expedients and exceptions for applying generally accepted accounting principles to contract, hedging relationships and other transactions affected by reference rate reform if certain criteria are met. This standard may be elected and applied prospectively over time from March 12, 2020 through December 31, 2022 as reference rate reform activities occur. The adoption of, and future elections under, this ASU are not expected to have a material impact on our consolidated financial statements as the ASU will ease, if warranted, the requirements for accounting for the future effects of</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rate reform. We continue to monitor the impact the discontinuance of LIBOR or another reference rate will have on our contracts and other transactions.</w:t>
      </w:r>
    </w:p>
    <w:p>
      <w:pPr>
        <w:spacing w:after="0" w:line="262" w:lineRule="exact"/>
        <w:rPr>
          <w:sz w:val="20"/>
          <w:szCs w:val="20"/>
          <w:color w:val="auto"/>
        </w:rPr>
      </w:pPr>
    </w:p>
    <w:p>
      <w:pPr>
        <w:ind w:right="40" w:firstLine="648"/>
        <w:spacing w:after="0" w:line="258" w:lineRule="auto"/>
        <w:rPr>
          <w:sz w:val="20"/>
          <w:szCs w:val="20"/>
          <w:color w:val="auto"/>
        </w:rPr>
      </w:pPr>
      <w:r>
        <w:rPr>
          <w:rFonts w:ascii="Arial" w:cs="Arial" w:eastAsia="Arial" w:hAnsi="Arial"/>
          <w:sz w:val="16"/>
          <w:szCs w:val="16"/>
          <w:color w:val="auto"/>
        </w:rPr>
        <w:t xml:space="preserve">In June 2022, the FASB issued ASU No. 2022-03, </w:t>
      </w:r>
      <w:r>
        <w:rPr>
          <w:rFonts w:ascii="Arial" w:cs="Arial" w:eastAsia="Arial" w:hAnsi="Arial"/>
          <w:sz w:val="16"/>
          <w:szCs w:val="16"/>
          <w:i w:val="1"/>
          <w:iCs w:val="1"/>
          <w:color w:val="auto"/>
        </w:rPr>
        <w:t>Fair Value Measurement (Topic 820): Fair Value Measurement of Equity Securities Subject to</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Contractual Sale Restrictions</w:t>
      </w:r>
      <w:r>
        <w:rPr>
          <w:rFonts w:ascii="Arial" w:cs="Arial" w:eastAsia="Arial" w:hAnsi="Arial"/>
          <w:sz w:val="16"/>
          <w:szCs w:val="16"/>
          <w:color w:val="auto"/>
        </w:rPr>
        <w:t>. This update clarifies the guidance in ASC 820 on the fair value measurement of an equity security that is subject to a</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 sale restriction and requires specific disclosures related to such an equity security. The update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The update also requires specific disclosures related to equity securities that are subject to contractual sale restrictions, including (1) the fair value of such equity securities reflected in the balance sheet, (2) the nature and remaining duration of the corresponding restrictions, and (3) any circumstances that could cause a lapse in the restrictions. The ASU is effective for fiscal years beginning after December 15, 2023, and interim periods within those fiscal years, with early adoption permitted. The adoption of this ASU is not expected to have a material effect on the Company's consolidated operating results or financial position.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September 30, 2022 (In thousands)</w:t>
            </w:r>
          </w:p>
        </w:tc>
        <w:tc>
          <w:tcPr>
            <w:tcW w:w="280" w:type="dxa"/>
            <w:vAlign w:val="bottom"/>
          </w:tcPr>
          <w:p>
            <w:pPr>
              <w:spacing w:after="0"/>
              <w:rPr>
                <w:sz w:val="14"/>
                <w:szCs w:val="1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82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Gains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566,466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535,636</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879,028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752,236</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Municipal debt securities (1)</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627,772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(68,083)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559,784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60,834</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Corporate debt securities (2)</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1,501,150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(155,888)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1,345,269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523,608</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645,522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(37,207)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608,330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199,147</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5,075,982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(491,380)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4,584,844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December 31, 2021 (In thousands)</w:t>
            </w:r>
          </w:p>
        </w:tc>
        <w:tc>
          <w:tcPr>
            <w:tcW w:w="280" w:type="dxa"/>
            <w:vAlign w:val="bottom"/>
          </w:tcPr>
          <w:p>
            <w:pPr>
              <w:spacing w:after="0"/>
              <w:rPr>
                <w:sz w:val="21"/>
                <w:szCs w:val="21"/>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82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447,926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448,793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1,005,611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1,008,863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Municipal debt securities (1)</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598,764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627,599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Corporate debt securities (2)</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1,428,645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1,455,247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545,423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582,144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581,703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210,012</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4,897,607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(33,467)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4,962,887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9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(1) The following table summarizes municipal debt securities as of:</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Tax allocation bonds</w:t>
            </w:r>
          </w:p>
        </w:tc>
        <w:tc>
          <w:tcPr>
            <w:tcW w:w="2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center"/>
              <w:ind w:right="173"/>
              <w:spacing w:after="0"/>
              <w:rPr>
                <w:sz w:val="20"/>
                <w:szCs w:val="20"/>
                <w:color w:val="auto"/>
              </w:rPr>
            </w:pPr>
            <w:r>
              <w:rPr>
                <w:rFonts w:ascii="Arial" w:cs="Arial" w:eastAsia="Arial" w:hAnsi="Arial"/>
                <w:sz w:val="18"/>
                <w:szCs w:val="18"/>
                <w:color w:val="auto"/>
                <w:w w:val="79"/>
              </w:rPr>
              <w:t>6</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7" w:lineRule="exact"/>
        <w:rPr>
          <w:sz w:val="20"/>
          <w:szCs w:val="20"/>
          <w:color w:val="auto"/>
        </w:rPr>
      </w:pPr>
    </w:p>
    <w:tbl>
      <w:tblPr>
        <w:tblLayout w:type="fixed"/>
        <w:tblInd w:w="38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tcPr>
          <w:p>
            <w:pPr>
              <w:jc w:val="right"/>
              <w:ind w:right="173"/>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7960" w:type="dxa"/>
            <w:vAlign w:val="bottom"/>
            <w:gridSpan w:val="2"/>
          </w:tcPr>
          <w:p>
            <w:pPr>
              <w:ind w:left="20"/>
              <w:spacing w:after="0"/>
              <w:rPr>
                <w:sz w:val="20"/>
                <w:szCs w:val="20"/>
                <w:color w:val="auto"/>
              </w:rPr>
            </w:pPr>
            <w:r>
              <w:rPr>
                <w:rFonts w:ascii="Arial" w:cs="Arial" w:eastAsia="Arial" w:hAnsi="Arial"/>
                <w:sz w:val="14"/>
                <w:szCs w:val="14"/>
                <w:b w:val="1"/>
                <w:bCs w:val="1"/>
                <w:color w:val="auto"/>
              </w:rPr>
              <w:t>(2) The following table summarizes corporate debt securities as of:</w:t>
            </w:r>
          </w:p>
        </w:tc>
        <w:tc>
          <w:tcPr>
            <w:tcW w:w="13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38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26"/>
        </w:trPr>
        <w:tc>
          <w:tcPr>
            <w:tcW w:w="7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33.7 %</w:t>
            </w:r>
          </w:p>
        </w:tc>
      </w:tr>
      <w:tr>
        <w:trPr>
          <w:trHeight w:val="230"/>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Consumer, non-cyclical</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19.8</w:t>
            </w:r>
          </w:p>
        </w:tc>
      </w:tr>
      <w:tr>
        <w:trPr>
          <w:trHeight w:val="229"/>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11.4</w:t>
            </w:r>
          </w:p>
        </w:tc>
      </w:tr>
      <w:tr>
        <w:trPr>
          <w:trHeight w:val="230"/>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Industrial</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7.0</w:t>
            </w:r>
          </w:p>
        </w:tc>
      </w:tr>
      <w:tr>
        <w:trPr>
          <w:trHeight w:val="229"/>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cyclical</w:t>
            </w: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7.0</w:t>
            </w:r>
          </w:p>
        </w:tc>
      </w:tr>
      <w:tr>
        <w:trPr>
          <w:trHeight w:val="229"/>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Energy</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6.0</w:t>
            </w:r>
          </w:p>
        </w:tc>
      </w:tr>
      <w:tr>
        <w:trPr>
          <w:trHeight w:val="230"/>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6.8</w:t>
            </w:r>
          </w:p>
        </w:tc>
      </w:tr>
      <w:tr>
        <w:trPr>
          <w:trHeight w:val="229"/>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Utilities</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4.6</w:t>
            </w:r>
          </w:p>
        </w:tc>
      </w:tr>
      <w:tr>
        <w:trPr>
          <w:trHeight w:val="229"/>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3.7</w:t>
            </w:r>
          </w:p>
        </w:tc>
      </w:tr>
      <w:tr>
        <w:trPr>
          <w:trHeight w:val="223"/>
        </w:trPr>
        <w:tc>
          <w:tcPr>
            <w:tcW w:w="796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1"/>
        </w:trPr>
        <w:tc>
          <w:tcPr>
            <w:tcW w:w="7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amortized cost and fair value of investments available for sale at September 30, 2022,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Amortized</w:t>
            </w:r>
          </w:p>
        </w:tc>
        <w:tc>
          <w:tcPr>
            <w:tcW w:w="460" w:type="dxa"/>
            <w:vAlign w:val="bottom"/>
          </w:tcPr>
          <w:p>
            <w:pPr>
              <w:spacing w:after="0"/>
              <w:rPr>
                <w:sz w:val="14"/>
                <w:szCs w:val="14"/>
                <w:color w:val="auto"/>
              </w:rPr>
            </w:pPr>
          </w:p>
        </w:tc>
        <w:tc>
          <w:tcPr>
            <w:tcW w:w="1480" w:type="dxa"/>
            <w:vAlign w:val="bottom"/>
          </w:tcPr>
          <w:p>
            <w:pPr>
              <w:jc w:val="right"/>
              <w:ind w:right="75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6"/>
        </w:trPr>
        <w:tc>
          <w:tcPr>
            <w:tcW w:w="72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460" w:type="dxa"/>
            <w:vAlign w:val="bottom"/>
          </w:tcPr>
          <w:p>
            <w:pPr>
              <w:spacing w:after="0"/>
              <w:rPr>
                <w:sz w:val="17"/>
                <w:szCs w:val="17"/>
                <w:color w:val="auto"/>
              </w:rPr>
            </w:pPr>
          </w:p>
        </w:tc>
        <w:tc>
          <w:tcPr>
            <w:tcW w:w="1480" w:type="dxa"/>
            <w:vAlign w:val="bottom"/>
          </w:tcPr>
          <w:p>
            <w:pPr>
              <w:jc w:val="right"/>
              <w:ind w:right="71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0"/>
        </w:trPr>
        <w:tc>
          <w:tcPr>
            <w:tcW w:w="7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169,120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167,667</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330,053</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38,835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34,103</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566,466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535,636</w:t>
            </w:r>
          </w:p>
        </w:tc>
        <w:tc>
          <w:tcPr>
            <w:tcW w:w="0" w:type="dxa"/>
            <w:vAlign w:val="bottom"/>
          </w:tcPr>
          <w:p>
            <w:pPr>
              <w:spacing w:after="0"/>
              <w:rPr>
                <w:sz w:val="1"/>
                <w:szCs w:val="1"/>
                <w:color w:val="auto"/>
              </w:rPr>
            </w:pPr>
          </w:p>
        </w:tc>
      </w:tr>
      <w:tr>
        <w:trPr>
          <w:trHeight w:val="20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agency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137,108</w:t>
            </w: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164,538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151,508</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314,320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264,225</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627,772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559,784</w:t>
            </w:r>
          </w:p>
        </w:tc>
        <w:tc>
          <w:tcPr>
            <w:tcW w:w="0" w:type="dxa"/>
            <w:vAlign w:val="bottom"/>
          </w:tcPr>
          <w:p>
            <w:pPr>
              <w:spacing w:after="0"/>
              <w:rPr>
                <w:sz w:val="1"/>
                <w:szCs w:val="1"/>
                <w:color w:val="auto"/>
              </w:rPr>
            </w:pPr>
          </w:p>
        </w:tc>
      </w:tr>
      <w:tr>
        <w:trPr>
          <w:trHeight w:val="210"/>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10,452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10,396</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25,697</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8,893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16,762</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60,834</w:t>
            </w:r>
          </w:p>
        </w:tc>
        <w:tc>
          <w:tcPr>
            <w:tcW w:w="0" w:type="dxa"/>
            <w:vAlign w:val="bottom"/>
          </w:tcPr>
          <w:p>
            <w:pPr>
              <w:spacing w:after="0"/>
              <w:rPr>
                <w:sz w:val="1"/>
                <w:szCs w:val="1"/>
                <w:color w:val="auto"/>
              </w:rPr>
            </w:pPr>
          </w:p>
        </w:tc>
      </w:tr>
      <w:tr>
        <w:trPr>
          <w:trHeight w:val="210"/>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235,975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233,177</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657,186</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419,294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345,569</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149,858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109,337</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1,501,150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1,345,269</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879,028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752,236</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586,771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523,608</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645,522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608,330</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199,147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199,147</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5,075,982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4,584,844</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realized investment (losses) gains, net on the condensed consolidated statements of comprehensive income were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5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Realized gross gains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Realized gross losses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Impairment loss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fair value of investments available for sale in an unrealized loss position and the related unrealized losses for which no allowance for credit loss has been recorded were as follows: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8"/>
          </w:tcPr>
          <w:p>
            <w:pPr>
              <w:ind w:left="320"/>
              <w:spacing w:after="0"/>
              <w:rPr>
                <w:sz w:val="20"/>
                <w:szCs w:val="20"/>
                <w:color w:val="auto"/>
              </w:rPr>
            </w:pPr>
            <w:r>
              <w:rPr>
                <w:rFonts w:ascii="Arial" w:cs="Arial" w:eastAsia="Arial" w:hAnsi="Arial"/>
                <w:sz w:val="14"/>
                <w:szCs w:val="14"/>
                <w:b w:val="1"/>
                <w:bCs w:val="1"/>
                <w:color w:val="auto"/>
              </w:rPr>
              <w:t>Less than 12 months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8"/>
          </w:tcPr>
          <w:p>
            <w:pPr>
              <w:ind w:left="340"/>
              <w:spacing w:after="0"/>
              <w:rPr>
                <w:sz w:val="20"/>
                <w:szCs w:val="20"/>
                <w:color w:val="auto"/>
              </w:rPr>
            </w:pPr>
            <w:r>
              <w:rPr>
                <w:rFonts w:ascii="Arial" w:cs="Arial" w:eastAsia="Arial" w:hAnsi="Arial"/>
                <w:sz w:val="14"/>
                <w:szCs w:val="14"/>
                <w:b w:val="1"/>
                <w:bCs w:val="1"/>
                <w:color w:val="auto"/>
              </w:rPr>
              <w:t>12 months or more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ind w:left="200"/>
              <w:spacing w:after="0" w:line="133" w:lineRule="exact"/>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ind w:left="180"/>
              <w:spacing w:after="0"/>
              <w:rPr>
                <w:sz w:val="20"/>
                <w:szCs w:val="20"/>
                <w:color w:val="auto"/>
              </w:rPr>
            </w:pPr>
            <w:r>
              <w:rPr>
                <w:rFonts w:ascii="Arial" w:cs="Arial" w:eastAsia="Arial" w:hAnsi="Arial"/>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4"/>
        </w:trPr>
        <w:tc>
          <w:tcPr>
            <w:tcW w:w="3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2022 (In thousands)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300"/>
              <w:spacing w:after="0" w:line="145"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5"/>
              <w:spacing w:after="0" w:line="145"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7"/>
        </w:trPr>
        <w:tc>
          <w:tcPr>
            <w:tcW w:w="38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ind w:left="18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ind w:left="140"/>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9"/>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361,655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161,968</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523,623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(30,832)</w:t>
            </w:r>
          </w:p>
        </w:tc>
        <w:tc>
          <w:tcPr>
            <w:tcW w:w="0" w:type="dxa"/>
            <w:vAlign w:val="bottom"/>
          </w:tcPr>
          <w:p>
            <w:pPr>
              <w:spacing w:after="0"/>
              <w:rPr>
                <w:sz w:val="1"/>
                <w:szCs w:val="1"/>
                <w:color w:val="auto"/>
              </w:rPr>
            </w:pPr>
          </w:p>
        </w:tc>
      </w:tr>
      <w:tr>
        <w:trPr>
          <w:trHeight w:val="229"/>
        </w:trPr>
        <w:tc>
          <w:tcPr>
            <w:tcW w:w="3820" w:type="dxa"/>
            <w:vAlign w:val="bottom"/>
            <w:gridSpan w:val="3"/>
          </w:tcPr>
          <w:p>
            <w:pPr>
              <w:ind w:left="20"/>
              <w:spacing w:after="0"/>
              <w:rPr>
                <w:sz w:val="20"/>
                <w:szCs w:val="20"/>
                <w:color w:val="auto"/>
              </w:rPr>
            </w:pPr>
            <w:r>
              <w:rPr>
                <w:rFonts w:ascii="Arial" w:cs="Arial" w:eastAsia="Arial" w:hAnsi="Arial"/>
                <w:sz w:val="18"/>
                <w:szCs w:val="18"/>
                <w:color w:val="auto"/>
              </w:rPr>
              <w:t>U.S. agency mortgage-backed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508,415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(74,350)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243,821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(52,442)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752,236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(126,792)</w:t>
            </w:r>
          </w:p>
        </w:tc>
        <w:tc>
          <w:tcPr>
            <w:tcW w:w="0" w:type="dxa"/>
            <w:vAlign w:val="bottom"/>
          </w:tcPr>
          <w:p>
            <w:pPr>
              <w:spacing w:after="0"/>
              <w:rPr>
                <w:sz w:val="1"/>
                <w:szCs w:val="1"/>
                <w:color w:val="auto"/>
              </w:rPr>
            </w:pPr>
          </w:p>
        </w:tc>
      </w:tr>
      <w:tr>
        <w:trPr>
          <w:trHeight w:val="230"/>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(68,083)</w:t>
            </w:r>
          </w:p>
        </w:tc>
        <w:tc>
          <w:tcPr>
            <w:tcW w:w="0" w:type="dxa"/>
            <w:vAlign w:val="bottom"/>
          </w:tcPr>
          <w:p>
            <w:pPr>
              <w:spacing w:after="0"/>
              <w:rPr>
                <w:sz w:val="1"/>
                <w:szCs w:val="1"/>
                <w:color w:val="auto"/>
              </w:rPr>
            </w:pPr>
          </w:p>
        </w:tc>
      </w:tr>
      <w:tr>
        <w:trPr>
          <w:trHeight w:val="229"/>
        </w:trPr>
        <w:tc>
          <w:tcPr>
            <w:tcW w:w="3820" w:type="dxa"/>
            <w:vAlign w:val="bottom"/>
            <w:gridSpan w:val="3"/>
          </w:tcPr>
          <w:p>
            <w:pPr>
              <w:ind w:left="20"/>
              <w:spacing w:after="0"/>
              <w:rPr>
                <w:sz w:val="20"/>
                <w:szCs w:val="20"/>
                <w:color w:val="auto"/>
              </w:rPr>
            </w:pPr>
            <w:r>
              <w:rPr>
                <w:rFonts w:ascii="Arial" w:cs="Arial" w:eastAsia="Arial" w:hAnsi="Arial"/>
                <w:sz w:val="18"/>
                <w:szCs w:val="18"/>
                <w:color w:val="auto"/>
              </w:rPr>
              <w:t>Non-U.S. government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51,784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60,834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(9,292)</w:t>
            </w:r>
          </w:p>
        </w:tc>
        <w:tc>
          <w:tcPr>
            <w:tcW w:w="0" w:type="dxa"/>
            <w:vAlign w:val="bottom"/>
          </w:tcPr>
          <w:p>
            <w:pPr>
              <w:spacing w:after="0"/>
              <w:rPr>
                <w:sz w:val="1"/>
                <w:szCs w:val="1"/>
                <w:color w:val="auto"/>
              </w:rPr>
            </w:pPr>
          </w:p>
        </w:tc>
      </w:tr>
      <w:tr>
        <w:trPr>
          <w:trHeight w:val="229"/>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1,310,531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(155,888)</w:t>
            </w:r>
          </w:p>
        </w:tc>
        <w:tc>
          <w:tcPr>
            <w:tcW w:w="0" w:type="dxa"/>
            <w:vAlign w:val="bottom"/>
          </w:tcPr>
          <w:p>
            <w:pPr>
              <w:spacing w:after="0"/>
              <w:rPr>
                <w:sz w:val="1"/>
                <w:szCs w:val="1"/>
                <w:color w:val="auto"/>
              </w:rPr>
            </w:pPr>
          </w:p>
        </w:tc>
      </w:tr>
      <w:tr>
        <w:trPr>
          <w:trHeight w:val="230"/>
        </w:trPr>
        <w:tc>
          <w:tcPr>
            <w:tcW w:w="3820" w:type="dxa"/>
            <w:vAlign w:val="bottom"/>
            <w:gridSpan w:val="3"/>
          </w:tcPr>
          <w:p>
            <w:pPr>
              <w:ind w:left="20"/>
              <w:spacing w:after="0"/>
              <w:rPr>
                <w:sz w:val="20"/>
                <w:szCs w:val="20"/>
                <w:color w:val="auto"/>
              </w:rPr>
            </w:pPr>
            <w:r>
              <w:rPr>
                <w:rFonts w:ascii="Arial" w:cs="Arial" w:eastAsia="Arial" w:hAnsi="Arial"/>
                <w:sz w:val="18"/>
                <w:szCs w:val="18"/>
                <w:color w:val="auto"/>
                <w:w w:val="98"/>
              </w:rPr>
              <w:t>Residential and commercial mortgage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376,356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143,118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519,474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(63,286)</w:t>
            </w:r>
          </w:p>
        </w:tc>
        <w:tc>
          <w:tcPr>
            <w:tcW w:w="0" w:type="dxa"/>
            <w:vAlign w:val="bottom"/>
          </w:tcPr>
          <w:p>
            <w:pPr>
              <w:spacing w:after="0"/>
              <w:rPr>
                <w:sz w:val="1"/>
                <w:szCs w:val="1"/>
                <w:color w:val="auto"/>
              </w:rPr>
            </w:pPr>
          </w:p>
        </w:tc>
      </w:tr>
      <w:tr>
        <w:trPr>
          <w:trHeight w:val="229"/>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122,339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603,444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(37,207)</w:t>
            </w:r>
          </w:p>
        </w:tc>
        <w:tc>
          <w:tcPr>
            <w:tcW w:w="0" w:type="dxa"/>
            <w:vAlign w:val="bottom"/>
          </w:tcPr>
          <w:p>
            <w:pPr>
              <w:spacing w:after="0"/>
              <w:rPr>
                <w:sz w:val="1"/>
                <w:szCs w:val="1"/>
                <w:color w:val="auto"/>
              </w:rPr>
            </w:pPr>
          </w:p>
        </w:tc>
      </w:tr>
      <w:tr>
        <w:trPr>
          <w:trHeight w:val="223"/>
        </w:trPr>
        <w:tc>
          <w:tcPr>
            <w:tcW w:w="382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3,473,897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838,629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4,312,526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(491,380)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8"/>
          </w:tcPr>
          <w:p>
            <w:pPr>
              <w:ind w:left="340"/>
              <w:spacing w:after="0"/>
              <w:rPr>
                <w:sz w:val="20"/>
                <w:szCs w:val="20"/>
                <w:color w:val="auto"/>
              </w:rPr>
            </w:pPr>
            <w:r>
              <w:rPr>
                <w:rFonts w:ascii="Arial" w:cs="Arial" w:eastAsia="Arial" w:hAnsi="Arial"/>
                <w:sz w:val="14"/>
                <w:szCs w:val="14"/>
                <w:b w:val="1"/>
                <w:bCs w:val="1"/>
                <w:color w:val="auto"/>
              </w:rPr>
              <w:t>Less than 12 months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8"/>
          </w:tcPr>
          <w:p>
            <w:pPr>
              <w:ind w:left="360"/>
              <w:spacing w:after="0"/>
              <w:rPr>
                <w:sz w:val="20"/>
                <w:szCs w:val="20"/>
                <w:color w:val="auto"/>
              </w:rPr>
            </w:pPr>
            <w:r>
              <w:rPr>
                <w:rFonts w:ascii="Arial" w:cs="Arial" w:eastAsia="Arial" w:hAnsi="Arial"/>
                <w:sz w:val="14"/>
                <w:szCs w:val="14"/>
                <w:b w:val="1"/>
                <w:bCs w:val="1"/>
                <w:color w:val="auto"/>
              </w:rPr>
              <w:t>12 months or more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ind w:left="200"/>
              <w:spacing w:after="0"/>
              <w:rPr>
                <w:sz w:val="20"/>
                <w:szCs w:val="20"/>
                <w:color w:val="auto"/>
              </w:rPr>
            </w:pPr>
            <w:r>
              <w:rPr>
                <w:rFonts w:ascii="Arial" w:cs="Arial" w:eastAsia="Arial" w:hAnsi="Arial"/>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8"/>
        </w:trPr>
        <w:tc>
          <w:tcPr>
            <w:tcW w:w="3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2021 (In thousands)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ind w:left="22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tcPr>
          <w:p>
            <w:pPr>
              <w:ind w:left="160"/>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9"/>
        </w:trPr>
        <w:tc>
          <w:tcPr>
            <w:tcW w:w="37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207,122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(2,170)</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28,012</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235,134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30"/>
        </w:trPr>
        <w:tc>
          <w:tcPr>
            <w:tcW w:w="3820" w:type="dxa"/>
            <w:vAlign w:val="bottom"/>
            <w:gridSpan w:val="3"/>
          </w:tcPr>
          <w:p>
            <w:pPr>
              <w:ind w:left="20"/>
              <w:spacing w:after="0"/>
              <w:rPr>
                <w:sz w:val="20"/>
                <w:szCs w:val="20"/>
                <w:color w:val="auto"/>
              </w:rPr>
            </w:pPr>
            <w:r>
              <w:rPr>
                <w:rFonts w:ascii="Arial" w:cs="Arial" w:eastAsia="Arial" w:hAnsi="Arial"/>
                <w:sz w:val="18"/>
                <w:szCs w:val="18"/>
                <w:color w:val="auto"/>
              </w:rPr>
              <w:t>U.S. agency mortgage-backed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582,108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(9,414)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608,239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(10,113)</w:t>
            </w:r>
          </w:p>
        </w:tc>
        <w:tc>
          <w:tcPr>
            <w:tcW w:w="0" w:type="dxa"/>
            <w:vAlign w:val="bottom"/>
          </w:tcPr>
          <w:p>
            <w:pPr>
              <w:spacing w:after="0"/>
              <w:rPr>
                <w:sz w:val="1"/>
                <w:szCs w:val="1"/>
                <w:color w:val="auto"/>
              </w:rPr>
            </w:pPr>
          </w:p>
        </w:tc>
      </w:tr>
      <w:tr>
        <w:trPr>
          <w:trHeight w:val="229"/>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30"/>
        </w:trPr>
        <w:tc>
          <w:tcPr>
            <w:tcW w:w="3820" w:type="dxa"/>
            <w:vAlign w:val="bottom"/>
            <w:gridSpan w:val="3"/>
          </w:tcPr>
          <w:p>
            <w:pPr>
              <w:ind w:left="20"/>
              <w:spacing w:after="0"/>
              <w:rPr>
                <w:sz w:val="20"/>
                <w:szCs w:val="20"/>
                <w:color w:val="auto"/>
              </w:rPr>
            </w:pPr>
            <w:r>
              <w:rPr>
                <w:rFonts w:ascii="Arial" w:cs="Arial" w:eastAsia="Arial" w:hAnsi="Arial"/>
                <w:sz w:val="18"/>
                <w:szCs w:val="18"/>
                <w:color w:val="auto"/>
              </w:rPr>
              <w:t>Non-U.S. government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(855)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30"/>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w:t>
            </w:r>
          </w:p>
        </w:tc>
        <w:tc>
          <w:tcPr>
            <w:tcW w:w="0" w:type="dxa"/>
            <w:vAlign w:val="bottom"/>
          </w:tcPr>
          <w:p>
            <w:pPr>
              <w:spacing w:after="0"/>
              <w:rPr>
                <w:sz w:val="1"/>
                <w:szCs w:val="1"/>
                <w:color w:val="auto"/>
              </w:rPr>
            </w:pPr>
          </w:p>
        </w:tc>
      </w:tr>
      <w:tr>
        <w:trPr>
          <w:trHeight w:val="230"/>
        </w:trPr>
        <w:tc>
          <w:tcPr>
            <w:tcW w:w="3820" w:type="dxa"/>
            <w:vAlign w:val="bottom"/>
            <w:gridSpan w:val="3"/>
          </w:tcPr>
          <w:p>
            <w:pPr>
              <w:ind w:left="20"/>
              <w:spacing w:after="0"/>
              <w:rPr>
                <w:sz w:val="20"/>
                <w:szCs w:val="20"/>
                <w:color w:val="auto"/>
              </w:rPr>
            </w:pPr>
            <w:r>
              <w:rPr>
                <w:rFonts w:ascii="Arial" w:cs="Arial" w:eastAsia="Arial" w:hAnsi="Arial"/>
                <w:sz w:val="18"/>
                <w:szCs w:val="18"/>
                <w:color w:val="auto"/>
                <w:w w:val="98"/>
              </w:rPr>
              <w:t>Residential and commercial mortgage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268,617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(5,200)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38,256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306,873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30"/>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339,137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352,238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23"/>
        </w:trPr>
        <w:tc>
          <w:tcPr>
            <w:tcW w:w="382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2,033,809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(28,074)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152,687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2,186,496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At September 30, 2022 and December 31, 2021, we held 2,720 and 1,180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September 30, 2022 of any of these securities resulted from a credit loss or other factors, we made inquiries of our investment managers to determine that each issuer was current on its scheduled interest and principal payments. We reviewed the credit rating of these securities noting that approximately 98% of the securities at September 30, 2022 had investment-grade ratings. We concluded that gross unrealized losses noted above were primarily associated with the changes in interest rates subsequent to purchase rather than due to credit. During the three and nine months ended September 30, 2022, we recorded impairments of $0.1 million and $7.4 million, respectively, due to our intent to sell securities in an unrealized loss position. There were no impairments recorded during the three or nine months ended September 30, 2021.</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Company's other invested assets at September 30, 2022 and December 31, 2021 totaled $263.1 million and $170.5 million, respectively. Other invested assets are principally comprised of limited partnership interests which are generally accounted for under the equity method or fair value using net asset value (or its equivalent) as a practical expedient. Our proportionate share of earnings or losses or changes in fair value are reported in income from other invested assets on the condensed consolidated statements of comprehensive income. For entities accounted for under the equity method that follow industry-specific guidance for investment companies, our proportionate share of earnings or losses includes changes in the fair value of the underlying assets of these entities. Due to the timing of receiving financial information from these partnerships, the results are generally reported on a one month or quarter lag.</w:t>
      </w:r>
    </w:p>
    <w:p>
      <w:pPr>
        <w:spacing w:after="0" w:line="22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Through June 30, 2021, unrealized gains and losses reported by these entities were included in other comprehensive income (“OCI”). Subsequent to June 30, 2021, management concluded that unrealized gains and losses on these investments should be reflected in earnings rather than OCI. Income from other invested assets for the three and nine months ended September 30, 2022, includes $9.9 million and $22.5 million of net unrealized gains, respectively.</w:t>
      </w:r>
    </w:p>
    <w:p>
      <w:pPr>
        <w:spacing w:after="0" w:line="21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Other invested assets that are accounted for at fair value using the net asset value (or its equivalent) as a practical expedient totaled $172.6 million as of September 30, 2022. The majority of these investments were in limited partnerships invested in real estate or technology. At September 30, 2022, maximum future funding commitments were $29.3 million. For limited partnership investments that have a contractual expiration date, we expect the liquidation of the underlying assets to occur over the next two to nine years. For certain of these investments, the Company does not have the contractual option to redeem, but receives distributions based on the liquidation of the underlying assets. In addition, the Company generally does not have the ability to sell or transfer these investments without the consent from the general partner of individual limited partnerships.</w:t>
      </w:r>
    </w:p>
    <w:p>
      <w:pPr>
        <w:spacing w:after="0" w:line="19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fair value of investments deposited with insurance regulatory authorities to meet statutory requirements was $9.1 million at September 30, 2022 and $9.7 million at December 31, 2021. In connection with its insurance and reinsurance activities, Essent Re is required to maintain assets in trusts for the benefit of its contractual counterparties. The fair value of the investments on deposit in these trusts was $1.0 billion at September 30, 2022 and $982.6 million at December 31, 2021. Essent Guaranty is required to maintain assets on deposit in connection with its fully collateralized reinsurance agreements (see Note 4). The fair value of the assets on deposit was $8.6 million at September 30, 2022 and $8.5 million at December 31, 2021. Essent Guaranty is also required to maintain assets on deposit for the benefit of the sponsor of a fixed income investment commitment. The fair value of the assets on deposit was $9.0 million at September 30, 2022 and $9.0 million at December 31, 2021.</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5"/>
        </w:trPr>
        <w:tc>
          <w:tcPr>
            <w:tcW w:w="5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91,245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69,037</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69,195</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65,104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Reinsurance</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condensed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reinsurance on net premiums written and earned is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76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4"/>
                <w:szCs w:val="14"/>
                <w:color w:val="auto"/>
              </w:rPr>
            </w:pPr>
          </w:p>
        </w:tc>
      </w:tr>
      <w:tr>
        <w:trPr>
          <w:trHeight w:val="192"/>
        </w:trPr>
        <w:tc>
          <w:tcPr>
            <w:tcW w:w="21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196"/>
        </w:trPr>
        <w:tc>
          <w:tcPr>
            <w:tcW w:w="52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1080" w:type="dxa"/>
            <w:vAlign w:val="bottom"/>
          </w:tcPr>
          <w:p>
            <w:pPr>
              <w:ind w:left="22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2021</w:t>
            </w:r>
          </w:p>
        </w:tc>
      </w:tr>
      <w:tr>
        <w:trPr>
          <w:trHeight w:val="230"/>
        </w:trPr>
        <w:tc>
          <w:tcPr>
            <w:tcW w:w="5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r>
      <w:tr>
        <w:trPr>
          <w:trHeight w:val="229"/>
        </w:trPr>
        <w:tc>
          <w:tcPr>
            <w:tcW w:w="5220" w:type="dxa"/>
            <w:vAlign w:val="bottom"/>
            <w:gridSpan w:val="3"/>
          </w:tcPr>
          <w:p>
            <w:pPr>
              <w:ind w:left="140"/>
              <w:spacing w:after="0"/>
              <w:rPr>
                <w:sz w:val="20"/>
                <w:szCs w:val="20"/>
                <w:color w:val="auto"/>
              </w:rPr>
            </w:pPr>
            <w:r>
              <w:rPr>
                <w:rFonts w:ascii="Arial" w:cs="Arial" w:eastAsia="Arial" w:hAnsi="Arial"/>
                <w:sz w:val="18"/>
                <w:szCs w:val="18"/>
                <w:color w:val="auto"/>
              </w:rPr>
              <w:t>Direct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420"/>
              <w:spacing w:after="0"/>
              <w:rPr>
                <w:sz w:val="20"/>
                <w:szCs w:val="20"/>
                <w:color w:val="auto"/>
              </w:rPr>
            </w:pPr>
            <w:r>
              <w:rPr>
                <w:rFonts w:ascii="Arial" w:cs="Arial" w:eastAsia="Arial" w:hAnsi="Arial"/>
                <w:sz w:val="18"/>
                <w:szCs w:val="18"/>
                <w:color w:val="auto"/>
                <w:w w:val="98"/>
              </w:rPr>
              <w:t>239,773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280"/>
              <w:spacing w:after="0"/>
              <w:rPr>
                <w:sz w:val="20"/>
                <w:szCs w:val="20"/>
                <w:color w:val="auto"/>
              </w:rPr>
            </w:pPr>
            <w:r>
              <w:rPr>
                <w:rFonts w:ascii="Arial" w:cs="Arial" w:eastAsia="Arial" w:hAnsi="Arial"/>
                <w:sz w:val="18"/>
                <w:szCs w:val="18"/>
                <w:color w:val="auto"/>
                <w:w w:val="98"/>
              </w:rPr>
              <w:t>229,228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440"/>
              <w:spacing w:after="0"/>
              <w:rPr>
                <w:sz w:val="20"/>
                <w:szCs w:val="20"/>
                <w:color w:val="auto"/>
              </w:rPr>
            </w:pPr>
            <w:r>
              <w:rPr>
                <w:rFonts w:ascii="Arial" w:cs="Arial" w:eastAsia="Arial" w:hAnsi="Arial"/>
                <w:sz w:val="18"/>
                <w:szCs w:val="18"/>
                <w:color w:val="auto"/>
                <w:w w:val="98"/>
              </w:rPr>
              <w:t>692,687</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220"/>
              <w:spacing w:after="0"/>
              <w:rPr>
                <w:sz w:val="20"/>
                <w:szCs w:val="20"/>
                <w:color w:val="auto"/>
              </w:rPr>
            </w:pPr>
            <w:r>
              <w:rPr>
                <w:rFonts w:ascii="Arial" w:cs="Arial" w:eastAsia="Arial" w:hAnsi="Arial"/>
                <w:sz w:val="18"/>
                <w:szCs w:val="18"/>
                <w:color w:val="auto"/>
                <w:w w:val="98"/>
              </w:rPr>
              <w:t>693,434</w:t>
            </w:r>
          </w:p>
        </w:tc>
      </w:tr>
      <w:tr>
        <w:trPr>
          <w:trHeight w:val="230"/>
        </w:trPr>
        <w:tc>
          <w:tcPr>
            <w:tcW w:w="52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Ceded (1)</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2"/>
              </w:rPr>
              <w:t>(30,543)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2"/>
              </w:rPr>
              <w:t>(26,880)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2"/>
              </w:rPr>
              <w:t>(73,384)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2"/>
              </w:rPr>
              <w:t>(84,438)</w:t>
            </w:r>
          </w:p>
        </w:tc>
      </w:tr>
      <w:tr>
        <w:trPr>
          <w:trHeight w:val="223"/>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Net premiums written</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8"/>
              </w:rPr>
              <w:t>209,230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8"/>
              </w:rPr>
              <w:t>202,348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8"/>
              </w:rPr>
              <w:t>619,303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8"/>
              </w:rPr>
              <w:t>608,996</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218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5220" w:type="dxa"/>
            <w:vAlign w:val="bottom"/>
            <w:gridSpan w:val="3"/>
          </w:tcPr>
          <w:p>
            <w:pPr>
              <w:ind w:left="20"/>
              <w:spacing w:after="0"/>
              <w:rPr>
                <w:sz w:val="20"/>
                <w:szCs w:val="20"/>
                <w:color w:val="auto"/>
              </w:rPr>
            </w:pPr>
            <w:r>
              <w:rPr>
                <w:rFonts w:ascii="Arial" w:cs="Arial" w:eastAsia="Arial" w:hAnsi="Arial"/>
                <w:sz w:val="18"/>
                <w:szCs w:val="18"/>
                <w:color w:val="auto"/>
              </w:rPr>
              <w:t>Net premiums earned: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2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238,477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245,598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708,659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739,660</w:t>
            </w:r>
          </w:p>
        </w:tc>
      </w:tr>
      <w:tr>
        <w:trPr>
          <w:trHeight w:val="230"/>
        </w:trPr>
        <w:tc>
          <w:tcPr>
            <w:tcW w:w="522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Ceded (1)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2"/>
              </w:rPr>
              <w:t>(30,543)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2"/>
              </w:rPr>
              <w:t>(26,880)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2"/>
              </w:rPr>
              <w:t>(73,384)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2"/>
              </w:rPr>
              <w:t>(84,438)</w:t>
            </w:r>
          </w:p>
        </w:tc>
      </w:tr>
      <w:tr>
        <w:trPr>
          <w:trHeight w:val="248"/>
        </w:trPr>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8"/>
              </w:rPr>
              <w:t>207,934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8"/>
              </w:rPr>
              <w:t>218,718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8"/>
              </w:rPr>
              <w:t>635,275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8"/>
              </w:rPr>
              <w:t>655,222</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Net of profit commission.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 Share Reinsurance</w:t>
      </w:r>
    </w:p>
    <w:p>
      <w:pPr>
        <w:spacing w:after="0" w:line="256" w:lineRule="exact"/>
        <w:rPr>
          <w:sz w:val="20"/>
          <w:szCs w:val="20"/>
          <w:color w:val="auto"/>
        </w:rPr>
      </w:pPr>
    </w:p>
    <w:p>
      <w:pPr>
        <w:ind w:right="60" w:firstLine="180"/>
        <w:spacing w:after="0" w:line="253" w:lineRule="auto"/>
        <w:rPr>
          <w:sz w:val="20"/>
          <w:szCs w:val="20"/>
          <w:color w:val="auto"/>
        </w:rPr>
      </w:pPr>
      <w:r>
        <w:rPr>
          <w:rFonts w:ascii="Arial" w:cs="Arial" w:eastAsia="Arial" w:hAnsi="Arial"/>
          <w:sz w:val="18"/>
          <w:szCs w:val="18"/>
          <w:color w:val="auto"/>
        </w:rPr>
        <w:t>Effective September 1, 2019, Essent Guaranty entered into a quota share reinsurance agreement with a panel of third-party reinsurers ("QSR 2019"). Each of the third-party reinsurers has an insurer financial strength rating of A or better by S&amp;P Global Ratings, A.M. Best or both. Under QSR 2019,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QSR 2019 is scheduled to terminate on December 31, 2030. Essent Guaranty has certain termination rights under QSR 2019, including the option to terminate QSR 2019 with no termination fee on December 31, 2021, and the option, subject to a termination fee, to terminate QSR 2019 on December 31, 2022, or annually thereafter. As Essent Guaranty did not exercise its option to terminate QSR 2019 effective December 31, 2021, the maximum profit commission that Essent Guaranty could earn will increase to 63% in 2022 and thereafter.</w:t>
      </w:r>
    </w:p>
    <w:p>
      <w:pPr>
        <w:spacing w:after="0" w:line="223"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Effective January 1, 2022, Essent Guaranty entered into a quota share reinsurance agreement with a panel of third-party reinsurers ("QSR 2022"). Each of the third-party reinsurers has an insurer minimum financial strength rating of A- or better by S&amp;P Global Ratings, A.M. Best or both. Under QSR 2022, Essent Guaranty will cede premiums earned related to 20% of risk on all eligible policies written January 1, 2022 through December 31, 2022, in exchange for reimbursement of ceded claims and claims expenses on covered policies, a 20% ceding commission, and a profit commission of up to 62% that varies directly and inversely with ceded claims. QSR 2022 is scheduled to terminate on December 31, 2032. Essent Guaranty has certain termination rights under QSR 2022, including the option to terminate QSR 2022, subject to a termination fee, on December 31, 2024, or quarterly thereafter.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RIF ceded under QSR 2019 and QSR 2022 was $6.5 billion as of September 30,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of Loss Reinsurance</w:t>
      </w:r>
    </w:p>
    <w:p>
      <w:pPr>
        <w:spacing w:after="0" w:line="25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LIBOR or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173"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Effective June 1, 2022, Essent Guaranty entered into a reinsurance agreement with a panel of reinsurers that provides excess of loss coverage on new insurance written from October 1, 2021 through December 31, 2022. For the reinsurance coverage period, Essent Guaranty and its affiliates retain the first layer of the respective aggregate losses, and the reinsurance panel will then provide second layer coverage up to the outstanding reinsurance coverage amount. Essent Guaranty and its affiliates retain losses in excess of the outstanding reinsurance coverage amount. Essent Guaranty has also entered into reinsurance agreements with panels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these reinsurance agreements.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Essent Guaranty's excess of loss reinsurance agreements as of September 30,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gridSpan w:val="2"/>
          </w:tcPr>
          <w:p>
            <w:pPr>
              <w:ind w:left="600"/>
              <w:spacing w:after="0"/>
              <w:rPr>
                <w:sz w:val="20"/>
                <w:szCs w:val="20"/>
                <w:color w:val="auto"/>
              </w:rPr>
            </w:pPr>
            <w:r>
              <w:rPr>
                <w:rFonts w:ascii="Arial" w:cs="Arial" w:eastAsia="Arial" w:hAnsi="Arial"/>
                <w:sz w:val="14"/>
                <w:szCs w:val="14"/>
                <w:b w:val="1"/>
                <w:bCs w:val="1"/>
                <w:color w:val="auto"/>
              </w:rPr>
              <w:t>Vintage Year</w:t>
            </w:r>
          </w:p>
        </w:tc>
        <w:tc>
          <w:tcPr>
            <w:tcW w:w="2920" w:type="dxa"/>
            <w:vAlign w:val="bottom"/>
            <w:gridSpan w:val="2"/>
          </w:tcPr>
          <w:p>
            <w:pPr>
              <w:ind w:left="1100"/>
              <w:spacing w:after="0"/>
              <w:rPr>
                <w:sz w:val="20"/>
                <w:szCs w:val="20"/>
                <w:color w:val="auto"/>
              </w:rPr>
            </w:pPr>
            <w:r>
              <w:rPr>
                <w:rFonts w:ascii="Arial" w:cs="Arial" w:eastAsia="Arial" w:hAnsi="Arial"/>
                <w:sz w:val="14"/>
                <w:szCs w:val="14"/>
                <w:b w:val="1"/>
                <w:bCs w:val="1"/>
                <w:color w:val="auto"/>
              </w:rPr>
              <w:t>Reinsurer</w:t>
            </w:r>
          </w:p>
        </w:tc>
        <w:tc>
          <w:tcPr>
            <w:tcW w:w="2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2640" w:type="dxa"/>
            <w:vAlign w:val="bottom"/>
          </w:tcPr>
          <w:p>
            <w:pPr>
              <w:ind w:left="780"/>
              <w:spacing w:after="0"/>
              <w:rPr>
                <w:sz w:val="20"/>
                <w:szCs w:val="20"/>
                <w:color w:val="auto"/>
              </w:rPr>
            </w:pPr>
            <w:r>
              <w:rPr>
                <w:rFonts w:ascii="Arial" w:cs="Arial" w:eastAsia="Arial" w:hAnsi="Arial"/>
                <w:sz w:val="14"/>
                <w:szCs w:val="14"/>
                <w:b w:val="1"/>
                <w:bCs w:val="1"/>
                <w:color w:val="auto"/>
              </w:rPr>
              <w:t>Optional Termination Date</w:t>
            </w:r>
          </w:p>
        </w:tc>
        <w:tc>
          <w:tcPr>
            <w:tcW w:w="580" w:type="dxa"/>
            <w:vAlign w:val="bottom"/>
          </w:tcPr>
          <w:p>
            <w:pPr>
              <w:spacing w:after="0"/>
              <w:rPr>
                <w:sz w:val="16"/>
                <w:szCs w:val="16"/>
                <w:color w:val="auto"/>
              </w:rPr>
            </w:pPr>
          </w:p>
        </w:tc>
      </w:tr>
      <w:tr>
        <w:trPr>
          <w:trHeight w:val="26"/>
        </w:trPr>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2015 &amp; 2016</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100" w:type="dxa"/>
            <w:vAlign w:val="bottom"/>
            <w:shd w:val="clear" w:color="auto" w:fill="CCEEFF"/>
          </w:tcPr>
          <w:p>
            <w:pPr>
              <w:spacing w:after="0"/>
              <w:rPr>
                <w:sz w:val="19"/>
                <w:szCs w:val="19"/>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 2019</w:t>
            </w: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7"/>
              </w:rPr>
              <w:t>June 25, 2024</w:t>
            </w:r>
          </w:p>
        </w:tc>
        <w:tc>
          <w:tcPr>
            <w:tcW w:w="580" w:type="dxa"/>
            <w:vAlign w:val="bottom"/>
            <w:shd w:val="clear" w:color="auto" w:fill="CCEEFF"/>
          </w:tcPr>
          <w:p>
            <w:pPr>
              <w:spacing w:after="0"/>
              <w:rPr>
                <w:sz w:val="19"/>
                <w:szCs w:val="19"/>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2018-1 Ltd.</w:t>
            </w: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March 22, 2018</w:t>
            </w:r>
          </w:p>
        </w:tc>
        <w:tc>
          <w:tcPr>
            <w:tcW w:w="2640" w:type="dxa"/>
            <w:vAlign w:val="bottom"/>
          </w:tcPr>
          <w:p>
            <w:pPr>
              <w:jc w:val="center"/>
              <w:ind w:left="92"/>
              <w:spacing w:after="0"/>
              <w:rPr>
                <w:sz w:val="20"/>
                <w:szCs w:val="20"/>
                <w:color w:val="auto"/>
              </w:rPr>
            </w:pPr>
            <w:r>
              <w:rPr>
                <w:rFonts w:ascii="Arial" w:cs="Arial" w:eastAsia="Arial" w:hAnsi="Arial"/>
                <w:sz w:val="18"/>
                <w:szCs w:val="18"/>
                <w:color w:val="auto"/>
                <w:w w:val="91"/>
              </w:rPr>
              <w:t>March 25, 2023</w:t>
            </w: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rPr>
              <w:t>(1)</w:t>
            </w:r>
          </w:p>
        </w:tc>
      </w:tr>
      <w:tr>
        <w:trPr>
          <w:trHeight w:val="229"/>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November 1, 2018</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October 1, 2023</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w:t>
            </w:r>
          </w:p>
        </w:tc>
      </w:tr>
      <w:tr>
        <w:trPr>
          <w:trHeight w:val="229"/>
        </w:trPr>
        <w:tc>
          <w:tcPr>
            <w:tcW w:w="20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28, 2019</w:t>
            </w:r>
          </w:p>
        </w:tc>
        <w:tc>
          <w:tcPr>
            <w:tcW w:w="2640" w:type="dxa"/>
            <w:vAlign w:val="bottom"/>
          </w:tcPr>
          <w:p>
            <w:pPr>
              <w:jc w:val="center"/>
              <w:ind w:left="72"/>
              <w:spacing w:after="0"/>
              <w:rPr>
                <w:sz w:val="20"/>
                <w:szCs w:val="20"/>
                <w:color w:val="auto"/>
              </w:rPr>
            </w:pPr>
            <w:r>
              <w:rPr>
                <w:rFonts w:ascii="Arial" w:cs="Arial" w:eastAsia="Arial" w:hAnsi="Arial"/>
                <w:sz w:val="18"/>
                <w:szCs w:val="18"/>
                <w:color w:val="auto"/>
                <w:w w:val="89"/>
              </w:rPr>
              <w:t>February 25, 2026</w:t>
            </w:r>
          </w:p>
        </w:tc>
        <w:tc>
          <w:tcPr>
            <w:tcW w:w="580" w:type="dxa"/>
            <w:vAlign w:val="bottom"/>
          </w:tcPr>
          <w:p>
            <w:pPr>
              <w:spacing w:after="0"/>
              <w:rPr>
                <w:sz w:val="19"/>
                <w:szCs w:val="19"/>
                <w:color w:val="auto"/>
              </w:rPr>
            </w:pPr>
          </w:p>
        </w:tc>
      </w:tr>
      <w:tr>
        <w:trPr>
          <w:trHeight w:val="230"/>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February 28, 2019</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February 25, 2026</w:t>
            </w:r>
          </w:p>
        </w:tc>
        <w:tc>
          <w:tcPr>
            <w:tcW w:w="580" w:type="dxa"/>
            <w:vAlign w:val="bottom"/>
            <w:shd w:val="clear" w:color="auto" w:fill="CCEEFF"/>
          </w:tcPr>
          <w:p>
            <w:pPr>
              <w:spacing w:after="0"/>
              <w:rPr>
                <w:sz w:val="19"/>
                <w:szCs w:val="19"/>
                <w:color w:val="auto"/>
              </w:rPr>
            </w:pPr>
          </w:p>
        </w:tc>
      </w:tr>
      <w:tr>
        <w:trPr>
          <w:trHeight w:val="229"/>
        </w:trPr>
        <w:tc>
          <w:tcPr>
            <w:tcW w:w="20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2020-1 Ltd.</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January 30, 2020</w:t>
            </w:r>
          </w:p>
        </w:tc>
        <w:tc>
          <w:tcPr>
            <w:tcW w:w="2640" w:type="dxa"/>
            <w:vAlign w:val="bottom"/>
          </w:tcPr>
          <w:p>
            <w:pPr>
              <w:jc w:val="center"/>
              <w:ind w:left="72"/>
              <w:spacing w:after="0"/>
              <w:rPr>
                <w:sz w:val="20"/>
                <w:szCs w:val="20"/>
                <w:color w:val="auto"/>
              </w:rPr>
            </w:pPr>
            <w:r>
              <w:rPr>
                <w:rFonts w:ascii="Arial" w:cs="Arial" w:eastAsia="Arial" w:hAnsi="Arial"/>
                <w:sz w:val="18"/>
                <w:szCs w:val="18"/>
                <w:color w:val="auto"/>
                <w:w w:val="89"/>
              </w:rPr>
              <w:t>January 25, 2027</w:t>
            </w:r>
          </w:p>
        </w:tc>
        <w:tc>
          <w:tcPr>
            <w:tcW w:w="580" w:type="dxa"/>
            <w:vAlign w:val="bottom"/>
          </w:tcPr>
          <w:p>
            <w:pPr>
              <w:spacing w:after="0"/>
              <w:rPr>
                <w:sz w:val="19"/>
                <w:szCs w:val="19"/>
                <w:color w:val="auto"/>
              </w:rPr>
            </w:pPr>
          </w:p>
        </w:tc>
      </w:tr>
      <w:tr>
        <w:trPr>
          <w:trHeight w:val="229"/>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January 30, 2020</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January 25, 2027</w:t>
            </w:r>
          </w:p>
        </w:tc>
        <w:tc>
          <w:tcPr>
            <w:tcW w:w="580" w:type="dxa"/>
            <w:vAlign w:val="bottom"/>
            <w:shd w:val="clear" w:color="auto" w:fill="CCEEFF"/>
          </w:tcPr>
          <w:p>
            <w:pPr>
              <w:spacing w:after="0"/>
              <w:rPr>
                <w:sz w:val="19"/>
                <w:szCs w:val="19"/>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92"/>
              </w:rPr>
              <w:t>2020 &amp; 2021</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2021-1 Ltd.</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23, 2021</w:t>
            </w:r>
          </w:p>
        </w:tc>
        <w:tc>
          <w:tcPr>
            <w:tcW w:w="2640" w:type="dxa"/>
            <w:vAlign w:val="bottom"/>
          </w:tcPr>
          <w:p>
            <w:pPr>
              <w:jc w:val="center"/>
              <w:ind w:left="72"/>
              <w:spacing w:after="0"/>
              <w:rPr>
                <w:sz w:val="20"/>
                <w:szCs w:val="20"/>
                <w:color w:val="auto"/>
              </w:rPr>
            </w:pPr>
            <w:r>
              <w:rPr>
                <w:rFonts w:ascii="Arial" w:cs="Arial" w:eastAsia="Arial" w:hAnsi="Arial"/>
                <w:sz w:val="18"/>
                <w:szCs w:val="18"/>
                <w:color w:val="auto"/>
                <w:w w:val="87"/>
              </w:rPr>
              <w:t>June 26, 2028</w:t>
            </w:r>
          </w:p>
        </w:tc>
        <w:tc>
          <w:tcPr>
            <w:tcW w:w="580" w:type="dxa"/>
            <w:vAlign w:val="bottom"/>
          </w:tcPr>
          <w:p>
            <w:pPr>
              <w:spacing w:after="0"/>
              <w:rPr>
                <w:sz w:val="19"/>
                <w:szCs w:val="19"/>
                <w:color w:val="auto"/>
              </w:rPr>
            </w:pPr>
          </w:p>
        </w:tc>
      </w:tr>
      <w:tr>
        <w:trPr>
          <w:trHeight w:val="229"/>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Radnor Re 2021-2 Ltd.</w:t>
            </w: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November 10, 2021</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1"/>
              </w:rPr>
              <w:t>November 25, 2027</w:t>
            </w:r>
          </w:p>
        </w:tc>
        <w:tc>
          <w:tcPr>
            <w:tcW w:w="580" w:type="dxa"/>
            <w:vAlign w:val="bottom"/>
            <w:shd w:val="clear" w:color="auto" w:fill="CCEEFF"/>
          </w:tcPr>
          <w:p>
            <w:pPr>
              <w:spacing w:after="0"/>
              <w:rPr>
                <w:sz w:val="19"/>
                <w:szCs w:val="19"/>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92"/>
              </w:rPr>
              <w:t>2021 &amp; 2022</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Panel of Reinsurers</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June 1, 2022</w:t>
            </w:r>
          </w:p>
        </w:tc>
        <w:tc>
          <w:tcPr>
            <w:tcW w:w="2640" w:type="dxa"/>
            <w:vAlign w:val="bottom"/>
          </w:tcPr>
          <w:p>
            <w:pPr>
              <w:jc w:val="center"/>
              <w:ind w:left="92"/>
              <w:spacing w:after="0"/>
              <w:rPr>
                <w:sz w:val="20"/>
                <w:szCs w:val="20"/>
                <w:color w:val="auto"/>
              </w:rPr>
            </w:pPr>
            <w:r>
              <w:rPr>
                <w:rFonts w:ascii="Arial" w:cs="Arial" w:eastAsia="Arial" w:hAnsi="Arial"/>
                <w:sz w:val="18"/>
                <w:szCs w:val="18"/>
                <w:color w:val="auto"/>
                <w:w w:val="88"/>
              </w:rPr>
              <w:t>January 1, 2030</w:t>
            </w:r>
          </w:p>
        </w:tc>
        <w:tc>
          <w:tcPr>
            <w:tcW w:w="580" w:type="dxa"/>
            <w:vAlign w:val="bottom"/>
          </w:tcPr>
          <w:p>
            <w:pPr>
              <w:spacing w:after="0"/>
              <w:rPr>
                <w:sz w:val="19"/>
                <w:szCs w:val="19"/>
                <w:color w:val="auto"/>
              </w:rPr>
            </w:pPr>
          </w:p>
        </w:tc>
      </w:tr>
      <w:tr>
        <w:trPr>
          <w:trHeight w:val="229"/>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2021 &amp; 2022</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Radnor Re 2022-1 Ltd.</w:t>
            </w: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21, 2022</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8"/>
              </w:rPr>
              <w:t>September 25, 2028</w:t>
            </w:r>
          </w:p>
        </w:tc>
        <w:tc>
          <w:tcPr>
            <w:tcW w:w="58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6" w:lineRule="exact"/>
        <w:rPr>
          <w:sz w:val="20"/>
          <w:szCs w:val="20"/>
          <w:color w:val="auto"/>
        </w:rPr>
      </w:pPr>
    </w:p>
    <w:p>
      <w:pPr>
        <w:ind w:left="660" w:hanging="328"/>
        <w:spacing w:after="0" w:line="258" w:lineRule="auto"/>
        <w:tabs>
          <w:tab w:leader="none" w:pos="65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risk margin component of the reinsurance premium increases by 50%.</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reinsurance premium increases by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Essent Guaranty's excess of loss reinsurance coverages and retentions as of September 30, 2022:</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33"/>
              <w:spacing w:after="0"/>
              <w:rPr>
                <w:sz w:val="20"/>
                <w:szCs w:val="20"/>
                <w:color w:val="auto"/>
              </w:rPr>
            </w:pPr>
            <w:r>
              <w:rPr>
                <w:rFonts w:ascii="Arial" w:cs="Arial" w:eastAsia="Arial" w:hAnsi="Arial"/>
                <w:sz w:val="14"/>
                <w:szCs w:val="14"/>
                <w:b w:val="1"/>
                <w:bCs w:val="1"/>
                <w:color w:val="auto"/>
              </w:rPr>
              <w:t>Remaining</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w w:val="95"/>
              </w:rPr>
              <w:t>Reinsurance in Force</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3"/>
          </w:tcPr>
          <w:p>
            <w:pPr>
              <w:jc w:val="center"/>
              <w:ind w:right="340"/>
              <w:spacing w:after="0" w:line="126"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0"/>
                <w:szCs w:val="10"/>
                <w:color w:val="auto"/>
              </w:rPr>
            </w:pPr>
          </w:p>
        </w:tc>
        <w:tc>
          <w:tcPr>
            <w:tcW w:w="1260" w:type="dxa"/>
            <w:vAlign w:val="bottom"/>
            <w:gridSpan w:val="2"/>
          </w:tcPr>
          <w:p>
            <w:pPr>
              <w:jc w:val="center"/>
              <w:ind w:right="340"/>
              <w:spacing w:after="0" w:line="126" w:lineRule="exact"/>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35"/>
              <w:spacing w:after="0" w:line="126" w:lineRule="exact"/>
              <w:rPr>
                <w:sz w:val="20"/>
                <w:szCs w:val="20"/>
                <w:color w:val="auto"/>
              </w:rPr>
            </w:pPr>
            <w:r>
              <w:rPr>
                <w:rFonts w:ascii="Arial" w:cs="Arial" w:eastAsia="Arial" w:hAnsi="Arial"/>
                <w:sz w:val="14"/>
                <w:szCs w:val="14"/>
                <w:b w:val="1"/>
                <w:bCs w:val="1"/>
                <w:color w:val="auto"/>
                <w:w w:val="94"/>
              </w:rPr>
              <w:t>Remaining</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Vintage Year</w:t>
            </w:r>
          </w:p>
        </w:tc>
        <w:tc>
          <w:tcPr>
            <w:tcW w:w="240" w:type="dxa"/>
            <w:vAlign w:val="bottom"/>
          </w:tcPr>
          <w:p>
            <w:pPr>
              <w:spacing w:after="0"/>
              <w:rPr>
                <w:sz w:val="12"/>
                <w:szCs w:val="12"/>
                <w:color w:val="auto"/>
              </w:rPr>
            </w:pPr>
          </w:p>
        </w:tc>
        <w:tc>
          <w:tcPr>
            <w:tcW w:w="1260" w:type="dxa"/>
            <w:vAlign w:val="bottom"/>
            <w:gridSpan w:val="3"/>
          </w:tcPr>
          <w:p>
            <w:pPr>
              <w:jc w:val="center"/>
              <w:ind w:right="320"/>
              <w:spacing w:after="0" w:line="145" w:lineRule="exact"/>
              <w:rPr>
                <w:sz w:val="20"/>
                <w:szCs w:val="20"/>
                <w:color w:val="auto"/>
              </w:rPr>
            </w:pPr>
            <w:r>
              <w:rPr>
                <w:rFonts w:ascii="Arial" w:cs="Arial" w:eastAsia="Arial" w:hAnsi="Arial"/>
                <w:sz w:val="14"/>
                <w:szCs w:val="14"/>
                <w:b w:val="1"/>
                <w:bCs w:val="1"/>
                <w:color w:val="auto"/>
                <w:w w:val="93"/>
              </w:rPr>
              <w:t>Insurance</w:t>
            </w:r>
          </w:p>
        </w:tc>
        <w:tc>
          <w:tcPr>
            <w:tcW w:w="240" w:type="dxa"/>
            <w:vAlign w:val="bottom"/>
          </w:tcPr>
          <w:p>
            <w:pPr>
              <w:spacing w:after="0"/>
              <w:rPr>
                <w:sz w:val="12"/>
                <w:szCs w:val="12"/>
                <w:color w:val="auto"/>
              </w:rPr>
            </w:pPr>
          </w:p>
        </w:tc>
        <w:tc>
          <w:tcPr>
            <w:tcW w:w="126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4"/>
              </w:rPr>
              <w:t>Risk</w:t>
            </w:r>
          </w:p>
        </w:tc>
        <w:tc>
          <w:tcPr>
            <w:tcW w:w="340" w:type="dxa"/>
            <w:vAlign w:val="bottom"/>
          </w:tcPr>
          <w:p>
            <w:pPr>
              <w:spacing w:after="0"/>
              <w:rPr>
                <w:sz w:val="12"/>
                <w:szCs w:val="12"/>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ILN</w:t>
            </w: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Other Reinsurance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140" w:type="dxa"/>
            <w:vAlign w:val="bottom"/>
          </w:tcPr>
          <w:p>
            <w:pPr>
              <w:jc w:val="center"/>
              <w:ind w:right="135"/>
              <w:spacing w:after="0" w:line="145" w:lineRule="exact"/>
              <w:rPr>
                <w:sz w:val="20"/>
                <w:szCs w:val="20"/>
                <w:color w:val="auto"/>
              </w:rPr>
            </w:pPr>
            <w:r>
              <w:rPr>
                <w:rFonts w:ascii="Arial" w:cs="Arial" w:eastAsia="Arial" w:hAnsi="Arial"/>
                <w:sz w:val="14"/>
                <w:szCs w:val="14"/>
                <w:b w:val="1"/>
                <w:bCs w:val="1"/>
                <w:color w:val="auto"/>
                <w:w w:val="94"/>
              </w:rPr>
              <w:t>First Layer</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6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in Force</w:t>
            </w:r>
          </w:p>
        </w:tc>
        <w:tc>
          <w:tcPr>
            <w:tcW w:w="24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Force</w:t>
            </w:r>
          </w:p>
        </w:tc>
        <w:tc>
          <w:tcPr>
            <w:tcW w:w="3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Retention</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2015 &amp; 2016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6,415,924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1,740,167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61,478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61,478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206,925</w:t>
            </w:r>
          </w:p>
        </w:tc>
        <w:tc>
          <w:tcPr>
            <w:tcW w:w="4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60" w:type="dxa"/>
            <w:vAlign w:val="bottom"/>
          </w:tcPr>
          <w:p>
            <w:pPr>
              <w:jc w:val="center"/>
              <w:spacing w:after="0"/>
              <w:rPr>
                <w:sz w:val="20"/>
                <w:szCs w:val="20"/>
                <w:color w:val="auto"/>
              </w:rPr>
            </w:pPr>
            <w:r>
              <w:rPr>
                <w:rFonts w:ascii="Arial" w:cs="Arial" w:eastAsia="Arial" w:hAnsi="Arial"/>
                <w:sz w:val="16"/>
                <w:szCs w:val="16"/>
                <w:color w:val="auto"/>
                <w:w w:val="89"/>
              </w:rPr>
              <w:t>2017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6,129,801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1,610,026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242,123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127,770</w:t>
            </w:r>
          </w:p>
        </w:tc>
        <w:tc>
          <w:tcPr>
            <w:tcW w:w="42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369,893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216,632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6,961,516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1,791,216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76,144</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248,875</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60" w:type="dxa"/>
            <w:vAlign w:val="bottom"/>
          </w:tcPr>
          <w:p>
            <w:pPr>
              <w:jc w:val="center"/>
              <w:spacing w:after="0"/>
              <w:rPr>
                <w:sz w:val="20"/>
                <w:szCs w:val="20"/>
                <w:color w:val="auto"/>
              </w:rPr>
            </w:pPr>
            <w:r>
              <w:rPr>
                <w:rFonts w:ascii="Arial" w:cs="Arial" w:eastAsia="Arial" w:hAnsi="Arial"/>
                <w:sz w:val="16"/>
                <w:szCs w:val="16"/>
                <w:color w:val="auto"/>
                <w:w w:val="93"/>
              </w:rPr>
              <w:t xml:space="preserve">2019 </w:t>
            </w:r>
            <w:r>
              <w:rPr>
                <w:rFonts w:ascii="Arial" w:cs="Arial" w:eastAsia="Arial" w:hAnsi="Arial"/>
                <w:sz w:val="16"/>
                <w:szCs w:val="16"/>
                <w:b w:val="1"/>
                <w:bCs w:val="1"/>
                <w:color w:val="auto"/>
                <w:w w:val="93"/>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8,578,642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2,203,474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448,805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49,870</w:t>
            </w:r>
          </w:p>
        </w:tc>
        <w:tc>
          <w:tcPr>
            <w:tcW w:w="42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498,675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214,874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 xml:space="preserve">2020 &amp; 2021 </w:t>
            </w:r>
            <w:r>
              <w:rPr>
                <w:rFonts w:ascii="Arial" w:cs="Arial" w:eastAsia="Arial" w:hAnsi="Arial"/>
                <w:sz w:val="16"/>
                <w:szCs w:val="16"/>
                <w:b w:val="1"/>
                <w:bCs w:val="1"/>
                <w:color w:val="auto"/>
                <w:w w:val="94"/>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43,021,732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10,731,139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278,919</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6"/>
                <w:szCs w:val="16"/>
                <w:color w:val="auto"/>
                <w:w w:val="93"/>
              </w:rPr>
              <w:t xml:space="preserve">2021 </w:t>
            </w:r>
            <w:r>
              <w:rPr>
                <w:rFonts w:ascii="Arial" w:cs="Arial" w:eastAsia="Arial" w:hAnsi="Arial"/>
                <w:sz w:val="16"/>
                <w:szCs w:val="16"/>
                <w:b w:val="1"/>
                <w:bCs w:val="1"/>
                <w:color w:val="auto"/>
                <w:w w:val="93"/>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42,367,258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11,236,549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423,462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423,462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279,415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 xml:space="preserve">2021 &amp; 2022 </w:t>
            </w:r>
            <w:r>
              <w:rPr>
                <w:rFonts w:ascii="Arial" w:cs="Arial" w:eastAsia="Arial" w:hAnsi="Arial"/>
                <w:sz w:val="16"/>
                <w:szCs w:val="16"/>
                <w:b w:val="1"/>
                <w:bCs w:val="1"/>
                <w:color w:val="auto"/>
                <w:w w:val="94"/>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63,515,812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17,043,854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119,307</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426,096</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3"/>
              </w:rPr>
              <w:t xml:space="preserve">2021 &amp; 2022 </w:t>
            </w:r>
            <w:r>
              <w:rPr>
                <w:rFonts w:ascii="Arial" w:cs="Arial" w:eastAsia="Arial" w:hAnsi="Arial"/>
                <w:sz w:val="16"/>
                <w:szCs w:val="16"/>
                <w:b w:val="1"/>
                <w:bCs w:val="1"/>
                <w:color w:val="auto"/>
                <w:w w:val="93"/>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34,325,434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9,205,630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303,761</w:t>
            </w:r>
          </w:p>
        </w:tc>
        <w:tc>
          <w:tcPr>
            <w:tcW w:w="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211,316,119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55,562,055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2,226,206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373,091</w:t>
            </w:r>
          </w:p>
        </w:tc>
        <w:tc>
          <w:tcPr>
            <w:tcW w:w="4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2,599,297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1,940,960</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91"/>
              </w:rPr>
              <w:t>(11)</w:t>
            </w: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January 1, 2019 through August 31, 2019.</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August 1, 2020 through March 31, 2021.</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April 1, 2021 through September 30, 2021.</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immediately above the coverage provided by Radnor Re 2018-1 Ltd.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pari-passu to the coverage provided by Radnor Re 2019-1 Ltd.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pari-passu to the coverage provided by Radnor Re 2020-1 Ltd.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October 1, 2021 through December 31, 2022.</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Reinsurance coverage on new insurance written from October 1, 2021 through July 31, 2022.</w:t>
      </w:r>
    </w:p>
    <w:p>
      <w:pPr>
        <w:spacing w:after="0" w:line="20" w:lineRule="exact"/>
        <w:rPr>
          <w:rFonts w:ascii="Arial" w:cs="Arial" w:eastAsia="Arial" w:hAnsi="Arial"/>
          <w:sz w:val="17"/>
          <w:szCs w:val="17"/>
          <w:color w:val="auto"/>
        </w:rPr>
      </w:pPr>
    </w:p>
    <w:p>
      <w:pPr>
        <w:ind w:left="660" w:right="20" w:hanging="328"/>
        <w:spacing w:after="0" w:line="290" w:lineRule="auto"/>
        <w:tabs>
          <w:tab w:leader="none" w:pos="64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total remaining first layer retention differs from the sum of the individual reinsurance transactions as a result of overlapping coverage between certain transactions.</w:t>
      </w:r>
    </w:p>
    <w:p>
      <w:pPr>
        <w:spacing w:after="0" w:line="200" w:lineRule="exact"/>
        <w:rPr>
          <w:sz w:val="20"/>
          <w:szCs w:val="20"/>
          <w:color w:val="auto"/>
        </w:rPr>
      </w:pPr>
    </w:p>
    <w:p>
      <w:pPr>
        <w:spacing w:after="0" w:line="218" w:lineRule="exact"/>
        <w:rPr>
          <w:sz w:val="20"/>
          <w:szCs w:val="20"/>
          <w:color w:val="auto"/>
        </w:rPr>
      </w:pPr>
    </w:p>
    <w:p>
      <w:pPr>
        <w:jc w:val="both"/>
        <w:ind w:right="280" w:firstLine="180"/>
        <w:spacing w:after="0" w:line="284" w:lineRule="auto"/>
        <w:rPr>
          <w:sz w:val="20"/>
          <w:szCs w:val="20"/>
          <w:color w:val="auto"/>
        </w:rPr>
      </w:pPr>
      <w:r>
        <w:rPr>
          <w:rFonts w:ascii="Arial" w:cs="Arial" w:eastAsia="Arial" w:hAnsi="Arial"/>
          <w:sz w:val="16"/>
          <w:szCs w:val="16"/>
          <w:color w:val="auto"/>
        </w:rPr>
        <w:t>Based on the level of delinquencies reported to us, the ILN transactions entered into prior to March 31, 2020 became subject to a "trigger event" as of June 25, 2020. The amortization of principal of the notes issued by the unaffiliated special purpose insurers in connection with those ILN transactions is suspended and the aggregate excess of loss reinsurance coverage will not amortize during the continuation of a trigger event. As of November 26, 2021, Radnor Re 2019-2 was no longer subject to a trigger event. Radnor Re 2020-1 was no longer subject to a trigger event as of July 25, 2022.</w:t>
      </w:r>
    </w:p>
    <w:p>
      <w:pPr>
        <w:spacing w:after="0" w:line="19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amount of monthly reinsurance premium ceded to the Radnor Re entities will fluctuate due to changes in one-month LIBOR or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w:t>
      </w:r>
    </w:p>
    <w:p>
      <w:pPr>
        <w:spacing w:after="0" w:line="21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presents total assets of each Radnor Re special purpose insurer as well as our maximum exposure to loss associated with each Radnor Re entity, representing the fair value of the embedded derivative, using observable inputs in active markets (Level 2), included in other assets (other accrued liabilities) on our condensed consolidated balance sheet and the estimated net present value of investment earnings on the assets in the reinsurance trust, each as of September 30, 2022:</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Maximum Exposure to Loss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
                <w:szCs w:val="2"/>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VIE Assets</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On - Balance Sheet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Off - Balance Sheet</w:t>
            </w:r>
          </w:p>
        </w:tc>
        <w:tc>
          <w:tcPr>
            <w:tcW w:w="40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Radnor Re 2018-1 Ltd.</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242,123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9"/>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325,537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29"/>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Radnor Re 2020-1 Ltd.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448,805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Radnor Re 2021-1 Ltd.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29"/>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Radnor Re 2021-2 Ltd.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423,462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Radnor Re 2022-1 Ltd.</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237,868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2,226,206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assets of Radnor Re are the source of reinsurance claim payments to Essent Guaranty and provide capital relief under the PMIERs financial strength requirements (see Note 14). A decline in the assets available to pay claims would reduce the capital relief available to Essent Guaranty.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Reserve for Losses and Loss Adjustment Expenses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nine months ended September 30:</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Arial" w:cs="Arial" w:eastAsia="Arial" w:hAnsi="Arial"/>
                <w:sz w:val="14"/>
                <w:szCs w:val="14"/>
                <w:b w:val="1"/>
                <w:bCs w:val="1"/>
                <w:color w:val="auto"/>
              </w:rPr>
              <w:t>2021</w:t>
            </w:r>
          </w:p>
        </w:tc>
      </w:tr>
      <w:tr>
        <w:trPr>
          <w:trHeight w:val="25"/>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for losses and LAE at beginning of period</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374,941</w:t>
            </w: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Reinsurance recoverables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19,061</w:t>
            </w:r>
          </w:p>
        </w:tc>
      </w:tr>
      <w:tr>
        <w:trPr>
          <w:trHeight w:val="223"/>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reserve for losses and LAE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355,880</w:t>
            </w:r>
          </w:p>
        </w:tc>
      </w:tr>
      <w:tr>
        <w:trPr>
          <w:trHeight w:val="21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period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83,973</w:t>
            </w:r>
          </w:p>
        </w:tc>
      </w:tr>
      <w:tr>
        <w:trPr>
          <w:trHeight w:val="230"/>
        </w:trPr>
        <w:tc>
          <w:tcPr>
            <w:tcW w:w="78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(49,483)</w:t>
            </w:r>
          </w:p>
        </w:tc>
      </w:tr>
      <w:tr>
        <w:trPr>
          <w:trHeight w:val="223"/>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incurred losses and LAE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34,490</w:t>
            </w:r>
          </w:p>
        </w:tc>
      </w:tr>
      <w:tr>
        <w:trPr>
          <w:trHeight w:val="21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period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78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w:t>
            </w:r>
          </w:p>
        </w:tc>
      </w:tr>
      <w:tr>
        <w:trPr>
          <w:trHeight w:val="223"/>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and LAE payments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w:t>
            </w: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Net reserve for losses and LAE at end of period</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199,250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385,986</w:t>
            </w:r>
          </w:p>
        </w:tc>
      </w:tr>
      <w:tr>
        <w:trPr>
          <w:trHeight w:val="23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26,970</w:t>
            </w: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212,494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412,956</w:t>
            </w:r>
          </w:p>
        </w:tc>
      </w:tr>
      <w:tr>
        <w:trPr>
          <w:trHeight w:val="20"/>
        </w:trPr>
        <w:tc>
          <w:tcPr>
            <w:tcW w:w="7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 the nine months ended September 30, 2022, $3.3 million was paid for incurred claims and claim adjustment expenses attributable to insured events of prior years. There has been a $242.0 million favorable prior year development, including $164.1 million related to defaults notices received in April 2020 through September 2020 ("Early COVID Defaults"), during the nine months ended September 30, 2022. Net reserves remaining as of September 30, 2022 for prior years are $136.1 million as a result of re-estimation of unpaid losses and loss adjustment expenses. For the nine months ended September 30, 2021, $4.2 million was paid for incurred claims and claim adjustment expenses attributable to insured events of prior years. There was a $49.5 million favorable prior year development during the nine months ended September 30, 2021. Net reserves remaining as of September 30, 2021 for prior years were $302.2 million as a result of re-estimation of unpaid losses and loss adjustment expenses. In both periods, the favorable prior years' loss development was the result of a re-estimation of amounts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9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Due to business restrictions, stay-at-home orders and travel restrictions implemented in March 2020 as a result of COVID-19, unemployment in the United States increased significantly in the second quarter of 2020, declining during the second half of 2020 and throughout 2021. As unemployment is one of the most common reasons for borrowers to default on their mortgage, the increase in unemployment resulted in an increase in the number of delinquencies on the mortgages that we insure and has the potential to increase claim frequencies on defaults.</w:t>
      </w:r>
    </w:p>
    <w:p>
      <w:pPr>
        <w:spacing w:after="0" w:line="19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response to the COVID-19 pandemic, the United States government enacted a number of policies to provide fiscal stimulus to the economy and relief to those affected by this global disaster. Specifically, mortgage forbearance programs and foreclosure moratoriums were instituted by Federal legislation along with actions taken by the Federal Housing Finance Agency (“FHFA”), Fannie Mae and Freddie Mac (collectively the “GSEs”). The mortgage forbearance plans provide for eligible homeowners who were adversely impacted by COVID-19 to temporarily reduce or suspend their mortgage payments for up to 18 months for loans in an active COVID-19-related forbearance program as of February 28, 2021.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w:t>
      </w:r>
    </w:p>
    <w:p>
      <w:pPr>
        <w:spacing w:after="0" w:line="21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Based on the fiscal stimulus, forbearance programs and the foreclosure moratoriums put in place and the credit characteristics of the defaulted loans, we expected the ultimate number of Early COVID Defaults that result in claims would be less than our historical default-to-claim experience. Accordingly, we recorded a reserve equal to approximately 7% of the initial risk in force for the Early COVID Defaults. The reserve for the Early COVID Defaults had not been adjusted as of December 31, 2021.</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March 31, 2022, the defaulted loans reported to us in the second and third quarters of 2020 had reached the end of their forbearance periods. During the first quarter of 2022, the Early COVID Defaults cured at elevated levels, and the cumulative cure rate for the Early COVID Defaults at March 31, 2022 exceeded our initial estimated cure rate implied by our 7% estimate of ultimate loss for these defaults. Based on cure activity through March 31, 2022 and our expectations for future cure activity, we lowered our estimate of ultimate loss for the Early COVID Defaults from 7% to 4% of the initial risk in force. During the three months ended June 30, 2022, Early COVID Defaults cured at levels that exceeded our estimate as of March 31, 2022, and we further lowered our estimate of loss for these defaults as of June 30, 2022 to 2% of the initial risk in force. These revisions to our estimate of ultimate loss for the Early COVID Defaults resulted in a benefit recorded to the provision for losses of $164.1 million for the nine months ended September 30, 2022. As of September 30, 2022, approximately 98% of the Early COVID Defaults had cured. Due to the level of Early COVID Defaults remaining in the default inventory, as of September 30, 2022, we resumed reserving for the Early COVID Defaults using our normal reserve methodology. The transition of defaults to foreclosure or claim has not returned to pre-pandemic levels. As a result, the level of defaults in the default inventory that have missed twelve or more payments is above pre-pandemic levels.</w:t>
      </w:r>
    </w:p>
    <w:p>
      <w:pPr>
        <w:spacing w:after="0" w:line="20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economy in the United States is currently experiencing elevated levels of consumer price inflation. The Federal Reserve has increased the target federal funds rate several times during 2022 in an effort to reduce consumer price inflation. These rate increases have resulted in higher mortgage interest rates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w:t>
      </w:r>
    </w:p>
    <w:p>
      <w:pPr>
        <w:spacing w:after="0" w:line="21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September 2022, Hurricane Ian made landfall in Florida and caused property damage in certain counties. We expect to experience increased defaults in these areas beginning in the fourth quarter of 2022. We are currently unable to estimate how many claims we ultimately may have to pay associated with any defaults in the hurricane impacted areas. There are many factors contributing to the uncertainty surrounding these insured loans. Under our master policy, loan servicers are not required to notify us of a default until the borrower has missed two consecutive minimum payments. Also, the level of damage being reported in these areas varies significantly from region to region. Further,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These events have not materially affected our reserves as of September 30, 2022. The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impact on our reserves in future periods will be dependent upon the amount of delinquent notices received from loan servicers and our expectations for the amount of ultimate losses on these delinquencies.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5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Essent Group and its subsidiaries, Essent Irish Intermediate Holdings Limited and Essent US Holdings, Inc. (collectively, the "Borrowers"), are parties to a secured credit facility (the “Credit Facility”) with committed capacity of $825 million. The Credit Facility provides for a $400 million revolving credit facility and $425 million of term loans. The Credit Facility also provides for up to $175 million aggregate principal amount of uncommitted incremental term loan and/or revolving credit facilities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annual commitment fee rate at September 30, 2022 was 0.25%.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14). The borrowings under the Credit Facility contractually mature on December 10, 2026. As of September 30, 2022, the Company was in compliance with the covenants and $425 million had been borrowed under the Credit Facility with a weighted average interest rate of 4.39%. As of December 31, 2021, $425 million had been borrowed with a weighted average interest rate of 1.79%.</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less than $0.1 million related to remedies for each of the nine months ended September 30, 2022 and 2021. As of September 30, 2022, management believes any potential claims for indemnification related to contract underwriting services through September 30, 2022 are not material to our consolidated financial position or results of operations.</w:t>
      </w:r>
    </w:p>
    <w:p>
      <w:pPr>
        <w:spacing w:after="0" w:line="19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September 30, 2022,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29" w:lineRule="exact"/>
        <w:rPr>
          <w:sz w:val="20"/>
          <w:szCs w:val="20"/>
          <w:color w:val="auto"/>
        </w:rPr>
      </w:pPr>
    </w:p>
    <w:p>
      <w:pPr>
        <w:ind w:right="160" w:firstLine="648"/>
        <w:spacing w:after="0" w:line="285" w:lineRule="auto"/>
        <w:rPr>
          <w:sz w:val="20"/>
          <w:szCs w:val="20"/>
          <w:color w:val="auto"/>
        </w:rPr>
      </w:pPr>
      <w:r>
        <w:rPr>
          <w:rFonts w:ascii="Arial" w:cs="Arial" w:eastAsia="Arial" w:hAnsi="Arial"/>
          <w:sz w:val="16"/>
          <w:szCs w:val="16"/>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w:t>
      </w:r>
    </w:p>
    <w:p>
      <w:pPr>
        <w:spacing w:after="0" w:line="2"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amounts declared and paid per common share each quarter:</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4"/>
                <w:szCs w:val="14"/>
                <w:color w:val="auto"/>
              </w:rPr>
            </w:pPr>
          </w:p>
        </w:tc>
        <w:tc>
          <w:tcPr>
            <w:tcW w:w="1340" w:type="dxa"/>
            <w:vAlign w:val="bottom"/>
          </w:tcPr>
          <w:p>
            <w:pPr>
              <w:jc w:val="right"/>
              <w:ind w:right="653"/>
              <w:spacing w:after="0"/>
              <w:rPr>
                <w:sz w:val="20"/>
                <w:szCs w:val="20"/>
                <w:color w:val="auto"/>
              </w:rPr>
            </w:pPr>
            <w:r>
              <w:rPr>
                <w:rFonts w:ascii="Arial" w:cs="Arial" w:eastAsia="Arial" w:hAnsi="Arial"/>
                <w:sz w:val="14"/>
                <w:szCs w:val="14"/>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29"/>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June 30</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30"/>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83"/>
        </w:trPr>
        <w:tc>
          <w:tcPr>
            <w:tcW w:w="20" w:type="dxa"/>
            <w:vAlign w:val="bottom"/>
            <w:tcBorders>
              <w:bottom w:val="single" w:sz="8" w:color="CCEEFF"/>
            </w:tcBorders>
          </w:tcPr>
          <w:p>
            <w:pPr>
              <w:spacing w:after="0"/>
              <w:rPr>
                <w:sz w:val="24"/>
                <w:szCs w:val="24"/>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December 31</w:t>
            </w:r>
          </w:p>
        </w:tc>
        <w:tc>
          <w:tcPr>
            <w:tcW w:w="4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0.19</w:t>
            </w:r>
          </w:p>
        </w:tc>
      </w:tr>
      <w:tr>
        <w:trPr>
          <w:trHeight w:val="223"/>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Total dividends per common share declared and paid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9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2"/>
                <w:szCs w:val="12"/>
                <w:color w:val="auto"/>
              </w:rPr>
            </w:pPr>
          </w:p>
        </w:tc>
        <w:tc>
          <w:tcPr>
            <w:tcW w:w="1340" w:type="dxa"/>
            <w:vAlign w:val="bottom"/>
          </w:tcPr>
          <w:p>
            <w:pPr>
              <w:jc w:val="right"/>
              <w:ind w:right="653"/>
              <w:spacing w:after="0" w:line="149" w:lineRule="exact"/>
              <w:rPr>
                <w:sz w:val="20"/>
                <w:szCs w:val="20"/>
                <w:color w:val="auto"/>
              </w:rPr>
            </w:pPr>
            <w:r>
              <w:rPr>
                <w:rFonts w:ascii="Arial" w:cs="Arial" w:eastAsia="Arial" w:hAnsi="Arial"/>
                <w:sz w:val="14"/>
                <w:szCs w:val="14"/>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30"/>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June 30</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30"/>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r>
      <w:tr>
        <w:trPr>
          <w:trHeight w:val="54"/>
        </w:trPr>
        <w:tc>
          <w:tcPr>
            <w:tcW w:w="2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85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dividends per common share declared and paid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November 2022, the Board of Directors declared a quarterly cash dividend of $0.23 per common share payable on December 12, 2022, to shareholders of record on December 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5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May 2021, the Board of Directors approved a share repurchase plan that authorized the Company to repurchase $250 million of its common shares in the open market by the end of 2022. In April 2022, the Company repurchased 543,399 common shares, for a total year to date repurchase of 2,136,961 common shares at a cost of $92.2 million, completing the May 2021 repurchase plan. The shares repurchased were recorded at cost and included in treasury stock. All treasury stock has been cancelled as of September 30, 2022. In May 2022, the Board of Directors approved a new share repurchase plan that authorizes the Company to repurchase up to $250 million of its common shares in the open market by the end of 2023. There were no share repurchases under the 2022 plan, leaving $250.0 million remaining unused under the authorized repurchase plan as of September 30, 2022.</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29"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 xml:space="preserve">In connection with the IPO in 2013, Essent Group's Board of Directors adopted, and Essent Group's shareholders </w:t>
      </w:r>
      <w:r>
        <w:rPr>
          <w:rFonts w:ascii="Arial" w:cs="Arial" w:eastAsia="Arial" w:hAnsi="Arial"/>
          <w:sz w:val="17"/>
          <w:szCs w:val="17"/>
          <w:color w:val="242021"/>
        </w:rPr>
        <w:t>approved, the Essent Group Ltd.</w:t>
      </w:r>
      <w:r>
        <w:rPr>
          <w:rFonts w:ascii="Arial" w:cs="Arial" w:eastAsia="Arial" w:hAnsi="Arial"/>
          <w:sz w:val="17"/>
          <w:szCs w:val="17"/>
          <w:color w:val="auto"/>
        </w:rPr>
        <w:t xml:space="preserve"> </w:t>
      </w:r>
      <w:r>
        <w:rPr>
          <w:rFonts w:ascii="Arial" w:cs="Arial" w:eastAsia="Arial" w:hAnsi="Arial"/>
          <w:sz w:val="17"/>
          <w:szCs w:val="17"/>
          <w:color w:val="242021"/>
        </w:rPr>
        <w:t>2013 Long-Term Incentive Plan (the "2013 Plan"), which was effective upon completion of the initial public offering. The types of awards available under the 2013 Plan include nonvested shares, nonvested share units, non-</w:t>
      </w:r>
      <w:r>
        <w:rPr>
          <w:rFonts w:ascii="Arial" w:cs="Arial" w:eastAsia="Arial" w:hAnsi="Arial"/>
          <w:sz w:val="17"/>
          <w:szCs w:val="17"/>
          <w:color w:val="000000"/>
        </w:rPr>
        <w:t>qualified share options, incentive stock options, share appreciation rights, and other</w:t>
      </w:r>
      <w:r>
        <w:rPr>
          <w:rFonts w:ascii="Arial" w:cs="Arial" w:eastAsia="Arial" w:hAnsi="Arial"/>
          <w:sz w:val="17"/>
          <w:szCs w:val="17"/>
          <w:color w:val="242021"/>
        </w:rPr>
        <w:t xml:space="preserve"> </w:t>
      </w:r>
      <w:r>
        <w:rPr>
          <w:rFonts w:ascii="Arial" w:cs="Arial" w:eastAsia="Arial" w:hAnsi="Arial"/>
          <w:sz w:val="17"/>
          <w:szCs w:val="17"/>
          <w:color w:val="000000"/>
        </w:rPr>
        <w:t>share-based or 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w:t>
      </w:r>
    </w:p>
    <w:p>
      <w:pPr>
        <w:spacing w:after="0" w:line="4" w:lineRule="exact"/>
        <w:rPr>
          <w:sz w:val="20"/>
          <w:szCs w:val="20"/>
          <w:color w:val="auto"/>
        </w:rPr>
      </w:pPr>
    </w:p>
    <w:p>
      <w:pPr>
        <w:ind w:right="100" w:firstLine="648"/>
        <w:spacing w:after="0" w:line="260" w:lineRule="auto"/>
        <w:rPr>
          <w:sz w:val="20"/>
          <w:szCs w:val="20"/>
          <w:color w:val="auto"/>
        </w:rPr>
      </w:pPr>
      <w:r>
        <w:rPr>
          <w:rFonts w:ascii="Arial" w:cs="Arial" w:eastAsia="Arial" w:hAnsi="Arial"/>
          <w:sz w:val="18"/>
          <w:szCs w:val="18"/>
          <w:color w:val="auto"/>
        </w:rPr>
        <w:t>The following table summarizes nonvested common share, nonvested common share unit and DEU activity for the nine months ended September 30, 2022:</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Time and Performance-</w:t>
            </w:r>
          </w:p>
        </w:tc>
        <w:tc>
          <w:tcPr>
            <w:tcW w:w="2120" w:type="dxa"/>
            <w:vAlign w:val="bottom"/>
            <w:gridSpan w:val="5"/>
          </w:tcPr>
          <w:p>
            <w:pPr>
              <w:ind w:left="620"/>
              <w:spacing w:after="0"/>
              <w:rPr>
                <w:sz w:val="20"/>
                <w:szCs w:val="20"/>
                <w:color w:val="auto"/>
              </w:rPr>
            </w:pPr>
            <w:r>
              <w:rPr>
                <w:rFonts w:ascii="Arial" w:cs="Arial" w:eastAsia="Arial" w:hAnsi="Arial"/>
                <w:sz w:val="14"/>
                <w:szCs w:val="14"/>
                <w:b w:val="1"/>
                <w:bCs w:val="1"/>
                <w:color w:val="auto"/>
              </w:rPr>
              <w:t>Time-Based</w:t>
            </w:r>
          </w:p>
        </w:tc>
        <w:tc>
          <w:tcPr>
            <w:tcW w:w="210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Share Units</w:t>
            </w: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DEUs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Based Share Awards</w:t>
            </w:r>
          </w:p>
        </w:tc>
        <w:tc>
          <w:tcPr>
            <w:tcW w:w="2120" w:type="dxa"/>
            <w:vAlign w:val="bottom"/>
            <w:gridSpan w:val="5"/>
          </w:tcPr>
          <w:p>
            <w:pPr>
              <w:ind w:left="560"/>
              <w:spacing w:after="0"/>
              <w:rPr>
                <w:sz w:val="20"/>
                <w:szCs w:val="20"/>
                <w:color w:val="auto"/>
              </w:rPr>
            </w:pPr>
            <w:r>
              <w:rPr>
                <w:rFonts w:ascii="Arial" w:cs="Arial" w:eastAsia="Arial" w:hAnsi="Arial"/>
                <w:sz w:val="14"/>
                <w:szCs w:val="14"/>
                <w:b w:val="1"/>
                <w:bCs w:val="1"/>
                <w:color w:val="auto"/>
              </w:rPr>
              <w:t>Share Awards</w:t>
            </w:r>
          </w:p>
        </w:tc>
        <w:tc>
          <w:tcPr>
            <w:tcW w:w="2100" w:type="dxa"/>
            <w:vAlign w:val="bottom"/>
            <w:gridSpan w:val="5"/>
            <w:vMerge w:val="continue"/>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8"/>
              <w:spacing w:after="0" w:line="135" w:lineRule="exact"/>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1"/>
                <w:szCs w:val="11"/>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Dividend</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8"/>
              <w:spacing w:after="0" w:line="135"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Equivalent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6"/>
        </w:trPr>
        <w:tc>
          <w:tcPr>
            <w:tcW w:w="2820" w:type="dxa"/>
            <w:vAlign w:val="bottom"/>
            <w:gridSpan w:val="2"/>
            <w:vMerge w:val="continue"/>
          </w:tcPr>
          <w:p>
            <w:pPr>
              <w:spacing w:after="0"/>
              <w:rPr>
                <w:sz w:val="17"/>
                <w:szCs w:val="17"/>
                <w:color w:val="auto"/>
              </w:rPr>
            </w:pPr>
          </w:p>
        </w:tc>
        <w:tc>
          <w:tcPr>
            <w:tcW w:w="960" w:type="dxa"/>
            <w:vAlign w:val="bottom"/>
          </w:tcPr>
          <w:p>
            <w:pPr>
              <w:jc w:val="right"/>
              <w:ind w:right="19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960" w:type="dxa"/>
            <w:vAlign w:val="bottom"/>
          </w:tcPr>
          <w:p>
            <w:pPr>
              <w:jc w:val="right"/>
              <w:ind w:right="19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960" w:type="dxa"/>
            <w:vAlign w:val="bottom"/>
          </w:tcPr>
          <w:p>
            <w:pPr>
              <w:jc w:val="right"/>
              <w:ind w:right="5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30"/>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46.15</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42.65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48.71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7"/>
              </w:rPr>
              <w:t>Outstanding at September 30, 2022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February 2022, certain members of senior management were granted nonvested common shares under the Essent Group Ltd. 2013 Long-Term Incentive Plan ("2013 Plan") that are subject to time-based and performance-based vesting. The time-based share awards granted in February 2022 vest in three equal installments on March 1, 2023, 2024 and 2025. The performance-based share awards granted in February 2022 vest based upon our compounded annual book value per share growth percentage and relative total shareholder return during a three-year performance period that commenced on January 1, 2022 and vest on March 1, 2025. Shares were issued at the maximum 200% of target. The portion of these nonvested performance-based share awards that will be earned is as follows:</w:t>
      </w:r>
    </w:p>
    <w:p>
      <w:pPr>
        <w:spacing w:after="0" w:line="229" w:lineRule="exact"/>
        <w:rPr>
          <w:sz w:val="20"/>
          <w:szCs w:val="20"/>
          <w:color w:val="auto"/>
        </w:rPr>
      </w:pPr>
    </w:p>
    <w:p>
      <w:pPr>
        <w:jc w:val="center"/>
        <w:ind w:left="4180"/>
        <w:spacing w:after="0"/>
        <w:rPr>
          <w:sz w:val="20"/>
          <w:szCs w:val="20"/>
          <w:color w:val="auto"/>
        </w:rPr>
      </w:pPr>
      <w:r>
        <w:rPr>
          <w:rFonts w:ascii="Arial" w:cs="Arial" w:eastAsia="Arial" w:hAnsi="Arial"/>
          <w:sz w:val="18"/>
          <w:szCs w:val="18"/>
          <w:b w:val="1"/>
          <w:bCs w:val="1"/>
          <w:color w:val="auto"/>
        </w:rPr>
        <w:t>Relative Total Shareholder Return</w:t>
      </w:r>
    </w:p>
    <w:p>
      <w:pPr>
        <w:spacing w:after="0" w:line="2" w:lineRule="exact"/>
        <w:rPr>
          <w:sz w:val="20"/>
          <w:szCs w:val="20"/>
          <w:color w:val="auto"/>
        </w:rPr>
      </w:pPr>
    </w:p>
    <w:p>
      <w:pPr>
        <w:jc w:val="center"/>
        <w:ind w:left="4180"/>
        <w:spacing w:after="0"/>
        <w:rPr>
          <w:sz w:val="20"/>
          <w:szCs w:val="20"/>
          <w:color w:val="auto"/>
        </w:rPr>
      </w:pPr>
      <w:r>
        <w:rPr>
          <w:rFonts w:ascii="Arial" w:cs="Arial" w:eastAsia="Arial" w:hAnsi="Arial"/>
          <w:sz w:val="18"/>
          <w:szCs w:val="18"/>
          <w:b w:val="1"/>
          <w:bCs w:val="1"/>
          <w:color w:val="auto"/>
        </w:rPr>
        <w:t>vs. S&amp;P 1500 Financial Services Index</w:t>
      </w:r>
    </w:p>
    <w:p>
      <w:pPr>
        <w:spacing w:after="0" w:line="7" w:lineRule="exact"/>
        <w:rPr>
          <w:sz w:val="20"/>
          <w:szCs w:val="20"/>
          <w:color w:val="auto"/>
        </w:rPr>
      </w:pPr>
    </w:p>
    <w:tbl>
      <w:tblPr>
        <w:tblLayout w:type="fixed"/>
        <w:tblInd w:w="640" w:type="dxa"/>
        <w:tblCellMar>
          <w:top w:w="0" w:type="dxa"/>
          <w:left w:w="0" w:type="dxa"/>
          <w:bottom w:w="0" w:type="dxa"/>
          <w:right w:w="0" w:type="dxa"/>
        </w:tblCellMar>
      </w:tblPr>
      <w:tr>
        <w:trPr>
          <w:trHeight w:val="178"/>
        </w:trPr>
        <w:tc>
          <w:tcPr>
            <w:tcW w:w="1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380" w:type="dxa"/>
            <w:vAlign w:val="bottom"/>
            <w:tcBorders>
              <w:top w:val="single" w:sz="8" w:color="auto"/>
            </w:tcBorders>
            <w:gridSpan w:val="2"/>
            <w:vMerge w:val="restart"/>
          </w:tcPr>
          <w:p>
            <w:pPr>
              <w:ind w:left="520"/>
              <w:spacing w:after="0"/>
              <w:rPr>
                <w:sz w:val="20"/>
                <w:szCs w:val="20"/>
                <w:color w:val="auto"/>
              </w:rPr>
            </w:pPr>
            <w:r>
              <w:rPr>
                <w:rFonts w:ascii="Arial" w:cs="Arial" w:eastAsia="Arial" w:hAnsi="Arial"/>
                <w:sz w:val="18"/>
                <w:szCs w:val="18"/>
                <w:b w:val="1"/>
                <w:bCs w:val="1"/>
                <w:color w:val="auto"/>
              </w:rPr>
              <w:t>≤25th percentile</w:t>
            </w:r>
          </w:p>
        </w:tc>
        <w:tc>
          <w:tcPr>
            <w:tcW w:w="2380" w:type="dxa"/>
            <w:vAlign w:val="bottom"/>
            <w:tcBorders>
              <w:top w:val="single" w:sz="8" w:color="auto"/>
            </w:tcBorders>
            <w:gridSpan w:val="2"/>
          </w:tcPr>
          <w:p>
            <w:pPr>
              <w:jc w:val="center"/>
              <w:ind w:right="80"/>
              <w:spacing w:after="0" w:line="177" w:lineRule="exact"/>
              <w:rPr>
                <w:sz w:val="20"/>
                <w:szCs w:val="20"/>
                <w:color w:val="auto"/>
              </w:rPr>
            </w:pPr>
            <w:r>
              <w:rPr>
                <w:rFonts w:ascii="Arial" w:cs="Arial" w:eastAsia="Arial" w:hAnsi="Arial"/>
                <w:sz w:val="18"/>
                <w:szCs w:val="18"/>
                <w:b w:val="1"/>
                <w:bCs w:val="1"/>
                <w:color w:val="auto"/>
                <w:w w:val="89"/>
              </w:rPr>
              <w:t>50th percentile</w:t>
            </w:r>
          </w:p>
        </w:tc>
        <w:tc>
          <w:tcPr>
            <w:tcW w:w="228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auto"/>
              </w:rPr>
              <w:t>≥75th percentile</w:t>
            </w:r>
          </w:p>
        </w:tc>
        <w:tc>
          <w:tcPr>
            <w:tcW w:w="0" w:type="dxa"/>
            <w:vAlign w:val="bottom"/>
          </w:tcPr>
          <w:p>
            <w:pPr>
              <w:spacing w:after="0"/>
              <w:rPr>
                <w:sz w:val="1"/>
                <w:szCs w:val="1"/>
                <w:color w:val="auto"/>
              </w:rPr>
            </w:pPr>
          </w:p>
        </w:tc>
      </w:tr>
      <w:tr>
        <w:trPr>
          <w:trHeight w:val="140"/>
        </w:trPr>
        <w:tc>
          <w:tcPr>
            <w:tcW w:w="1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38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7"/>
              </w:rPr>
              <w:t>"Target"</w:t>
            </w: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940" w:type="dxa"/>
            <w:vAlign w:val="bottom"/>
          </w:tcPr>
          <w:p>
            <w:pPr>
              <w:spacing w:after="0"/>
              <w:rPr>
                <w:sz w:val="21"/>
                <w:szCs w:val="21"/>
                <w:color w:val="auto"/>
              </w:rPr>
            </w:pPr>
          </w:p>
        </w:tc>
        <w:tc>
          <w:tcPr>
            <w:tcW w:w="16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13% "Target"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72"/>
        </w:trPr>
        <w:tc>
          <w:tcPr>
            <w:tcW w:w="194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Three-Year Book</w:t>
            </w:r>
          </w:p>
        </w:tc>
        <w:tc>
          <w:tcPr>
            <w:tcW w:w="16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b w:val="1"/>
                <w:bCs w:val="1"/>
                <w:color w:val="auto"/>
                <w:w w:val="94"/>
              </w:rPr>
              <w:t>11%</w:t>
            </w:r>
          </w:p>
        </w:tc>
        <w:tc>
          <w:tcPr>
            <w:tcW w:w="2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Borders>
              <w:bottom w:val="single" w:sz="8" w:color="CCEEFF"/>
            </w:tcBorders>
          </w:tcPr>
          <w:p>
            <w:pPr>
              <w:spacing w:after="0"/>
              <w:rPr>
                <w:sz w:val="23"/>
                <w:szCs w:val="23"/>
                <w:color w:val="auto"/>
              </w:rPr>
            </w:pPr>
          </w:p>
        </w:tc>
        <w:tc>
          <w:tcPr>
            <w:tcW w:w="2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Borders>
              <w:bottom w:val="single" w:sz="8" w:color="CCEEFF"/>
            </w:tcBorders>
          </w:tcPr>
          <w:p>
            <w:pPr>
              <w:spacing w:after="0"/>
              <w:rPr>
                <w:sz w:val="23"/>
                <w:szCs w:val="23"/>
                <w:color w:val="auto"/>
              </w:rPr>
            </w:pPr>
          </w:p>
        </w:tc>
        <w:tc>
          <w:tcPr>
            <w:tcW w:w="2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28"/>
        </w:trPr>
        <w:tc>
          <w:tcPr>
            <w:tcW w:w="1940" w:type="dxa"/>
            <w:vAlign w:val="bottom"/>
          </w:tcPr>
          <w:p>
            <w:pPr>
              <w:jc w:val="center"/>
              <w:ind w:right="530"/>
              <w:spacing w:after="0" w:line="194" w:lineRule="exact"/>
              <w:rPr>
                <w:sz w:val="20"/>
                <w:szCs w:val="20"/>
                <w:color w:val="auto"/>
              </w:rPr>
            </w:pPr>
            <w:r>
              <w:rPr>
                <w:rFonts w:ascii="Arial" w:cs="Arial" w:eastAsia="Arial" w:hAnsi="Arial"/>
                <w:sz w:val="18"/>
                <w:szCs w:val="18"/>
                <w:b w:val="1"/>
                <w:bCs w:val="1"/>
                <w:color w:val="auto"/>
                <w:w w:val="90"/>
              </w:rPr>
              <w:t>Value Per Share</w:t>
            </w:r>
          </w:p>
        </w:tc>
        <w:tc>
          <w:tcPr>
            <w:tcW w:w="1620" w:type="dxa"/>
            <w:vAlign w:val="bottom"/>
            <w:tcBorders>
              <w:bottom w:val="single" w:sz="8" w:color="CCEEFF"/>
            </w:tcBorders>
            <w:shd w:val="clear" w:color="auto" w:fill="CCEEFF"/>
          </w:tcPr>
          <w:p>
            <w:pPr>
              <w:jc w:val="center"/>
              <w:spacing w:after="0" w:line="194" w:lineRule="exact"/>
              <w:rPr>
                <w:sz w:val="20"/>
                <w:szCs w:val="20"/>
                <w:color w:val="auto"/>
              </w:rPr>
            </w:pPr>
            <w:r>
              <w:rPr>
                <w:rFonts w:ascii="Arial" w:cs="Arial" w:eastAsia="Arial" w:hAnsi="Arial"/>
                <w:sz w:val="18"/>
                <w:szCs w:val="18"/>
                <w:b w:val="1"/>
                <w:bCs w:val="1"/>
                <w:color w:val="auto"/>
                <w:w w:val="99"/>
              </w:rPr>
              <w:t>9%</w:t>
            </w:r>
          </w:p>
        </w:tc>
        <w:tc>
          <w:tcPr>
            <w:tcW w:w="2280" w:type="dxa"/>
            <w:vAlign w:val="bottom"/>
            <w:tcBorders>
              <w:bottom w:val="single" w:sz="8" w:color="CCEEFF"/>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180"/>
        </w:trPr>
        <w:tc>
          <w:tcPr>
            <w:tcW w:w="1940" w:type="dxa"/>
            <w:vAlign w:val="bottom"/>
          </w:tcPr>
          <w:p>
            <w:pPr>
              <w:jc w:val="center"/>
              <w:ind w:right="550"/>
              <w:spacing w:after="0" w:line="181" w:lineRule="exact"/>
              <w:rPr>
                <w:sz w:val="20"/>
                <w:szCs w:val="20"/>
                <w:color w:val="auto"/>
              </w:rPr>
            </w:pPr>
            <w:r>
              <w:rPr>
                <w:rFonts w:ascii="Arial" w:cs="Arial" w:eastAsia="Arial" w:hAnsi="Arial"/>
                <w:sz w:val="18"/>
                <w:szCs w:val="18"/>
                <w:b w:val="1"/>
                <w:bCs w:val="1"/>
                <w:color w:val="auto"/>
              </w:rPr>
              <w:t>CAGR</w:t>
            </w: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7%</w:t>
            </w: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90"/>
        </w:trPr>
        <w:tc>
          <w:tcPr>
            <w:tcW w:w="194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the event that the compounded annual book value per share growth or the relative total shareholder return falls between the performance levels shown above, the nonvested common shares earned will be determined on a straight-line basis between the respective levels shown. In May 2022, additional shares were granted to a member of senior management that are subject to the same time-based and performance-based vesting as the February 2022 grants.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our incentive program covering bonus awards for performance year 2021, in February 2022, time-based share units were issued to certain employees that vest in three equal installments on March 1, 2023, 2024 and 2025.</w:t>
      </w:r>
    </w:p>
    <w:p>
      <w:pPr>
        <w:spacing w:after="0" w:line="19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Quoted market prices are used for the valuation of common shares granted that do not contain a market condition under ASC 718. The performance-based share awards granted in February 2022 and February 2021 contain a market condition and were valued based on analysis provided by a third-party valuation firm using a risk neutral simulation taking into effect the vesting conditions of the grant.</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February 2021, the performance-based share awards granted in 2019 and 2020 to certain members of senior management were amended to provide that such awards will no longer be subject to the achievement of the compounded annual book value per share growth metrics and will be subject to only service-based vesting. As a result, the unvested shares subject to the amended 2019 awards vested on March 1, 2022 and the amended 2020 awards will vest on March 1, 2023, subject to the continued service requirements and other terms and conditions set forth in the applicable award agreements, without taking into consideration any performance metrics. Total incremental compensation expense related to amending these awards is $4.0 million. As of September 30, 2022, there was $0.5 million of unrecognized compensation expense related to amending these awards and we expect to recognize the expense over a weighted average period of 0.4 years.</w:t>
      </w:r>
    </w:p>
    <w:p>
      <w:pPr>
        <w:spacing w:after="0" w:line="20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total fair value on the vesting date of nonvested shares, share units or DEUs that vested was $17.3 million and $18.4 million for the nine months ended September 30, 2022 and 2021, respectively. As of September 30, 2022, there was $21.2 million of total unrecognized compensation expense related to nonvested shares or share units outstanding at September 30, 2022 and we expect to recognize the expense over a weighted average period of 2.1 years.</w:t>
      </w:r>
    </w:p>
    <w:p>
      <w:pPr>
        <w:spacing w:after="0" w:line="187"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Employees have the option to tender shares to Essent Group to pay the minimum employee statutory withholding taxes associated with shares upon vesting. Common shares tendered by employees to pay employee withholding taxes totaled 129,965 in the nine months ended September 30, 2022. The tendered shares were recorded at cost and included in treasury stock. All treasury stock has been cancelled as of September 30, 2022.</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expense, net of forfeitures, and related tax effects recognized in connection with nonvested shares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5"/>
        </w:trPr>
        <w:tc>
          <w:tcPr>
            <w:tcW w:w="5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16,075</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Dividends Restrictions</w:t>
      </w:r>
    </w:p>
    <w:p>
      <w:pPr>
        <w:spacing w:after="0" w:line="25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ordinary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September 30, 2022, Essent Guaranty had unassigned surplus of approximately $318.1 million and Essent PA had unassigned surplus of approximately $18.5 million. In the three and nine months ended September 30, 2022, Essent Guaranty paid dividends of $60.0 million and $260.0 million, respectively, to its parent, Essent US Holdings, Inc. Essent Guaranty paid dividends of $47.2 million and $147.2 million to its parent, Essent US Holdings, Inc. in the three and nine months ended September 30, 2021. Essent PA did not pay a dividend in the three and nine months ended September 30, 2022 or 2021. As of September 30, 2022, Essent Guaranty and Essent PA could pay additional ordinary dividends in 2022 of $237.7 million and $5.6 million, respectively.</w:t>
      </w:r>
    </w:p>
    <w:p>
      <w:pPr>
        <w:spacing w:after="0" w:line="21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September 30, 2022, Essent Re had total equity of $1.4 billion.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30, 2022, our insurance subsidiaries were in compliance with these rules, regulations and agreements.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 (EPS)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r>
      <w:tr>
        <w:trPr>
          <w:trHeight w:val="196"/>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Pr>
          <w:p>
            <w:pPr>
              <w:spacing w:after="0"/>
              <w:rPr>
                <w:sz w:val="17"/>
                <w:szCs w:val="17"/>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473"/>
              <w:spacing w:after="0"/>
              <w:rPr>
                <w:sz w:val="20"/>
                <w:szCs w:val="20"/>
                <w:color w:val="auto"/>
              </w:rPr>
            </w:pPr>
            <w:r>
              <w:rPr>
                <w:rFonts w:ascii="Arial" w:cs="Arial" w:eastAsia="Arial" w:hAnsi="Arial"/>
                <w:sz w:val="14"/>
                <w:szCs w:val="14"/>
                <w:b w:val="1"/>
                <w:bCs w:val="1"/>
                <w:color w:val="auto"/>
                <w:w w:val="89"/>
              </w:rPr>
              <w:t>2021</w:t>
            </w:r>
          </w:p>
        </w:tc>
      </w:tr>
      <w:tr>
        <w:trPr>
          <w:trHeight w:val="230"/>
        </w:trPr>
        <w:tc>
          <w:tcPr>
            <w:tcW w:w="5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178,051</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205,353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683,987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500,796</w:t>
            </w:r>
          </w:p>
        </w:tc>
      </w:tr>
      <w:tr>
        <w:trPr>
          <w:trHeight w:val="54"/>
        </w:trPr>
        <w:tc>
          <w:tcPr>
            <w:tcW w:w="5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106,870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107,314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111,708</w:t>
            </w: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Dilutive effect of nonvested shares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112,070</w:t>
            </w:r>
          </w:p>
        </w:tc>
      </w:tr>
      <w:tr>
        <w:trPr>
          <w:trHeight w:val="54"/>
        </w:trPr>
        <w:tc>
          <w:tcPr>
            <w:tcW w:w="5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4.47</w:t>
            </w:r>
          </w:p>
        </w:tc>
      </w:tr>
    </w:tbl>
    <w:p>
      <w:pPr>
        <w:spacing w:after="0" w:line="28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There were 10,417 and 181,476 antidilutive shares for the three months ended September 30, 2022 and 2021, respectively, and 90,413 and 230,595 antidilutive shares for the nine months ended September 30, 2022 and 2021, respectively.</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nonvested performance-based share awards are considered contingently issuable for purposes of the EPS calculation. Based on the compounded annual book value per share growth and relative total shareholder return as of September 30, 2022, the 2022 performance-based share awards would be issuable at 146% of target under the terms of the arrangements if September 30, 2022 was the end of the contingency period, which is 73% of the shares issued and the 2021 performance-based share awards would be issuable at 100% of target under the terms of the arrangements if September 30, 2022 was the end of the contingency period, which is 50% of the shares issued.</w:t>
      </w:r>
    </w:p>
    <w:p>
      <w:pPr>
        <w:spacing w:after="0" w:line="203" w:lineRule="exact"/>
        <w:rPr>
          <w:sz w:val="20"/>
          <w:szCs w:val="20"/>
          <w:color w:val="auto"/>
        </w:rPr>
      </w:pPr>
    </w:p>
    <w:p>
      <w:pPr>
        <w:ind w:right="620" w:firstLine="648"/>
        <w:spacing w:after="0" w:line="263" w:lineRule="auto"/>
        <w:rPr>
          <w:sz w:val="20"/>
          <w:szCs w:val="20"/>
          <w:color w:val="auto"/>
        </w:rPr>
      </w:pPr>
      <w:r>
        <w:rPr>
          <w:rFonts w:ascii="Arial" w:cs="Arial" w:eastAsia="Arial" w:hAnsi="Arial"/>
          <w:sz w:val="18"/>
          <w:szCs w:val="18"/>
          <w:color w:val="auto"/>
        </w:rPr>
        <w:t>Based on the compounded annual book value per share growth and relative total shareholder return as of September 30, 2021, the 2021 performance-based share awards would be issuable at 100% of target under the terms of the arrangements if September 30, 2021 was the end of the contingency period, which is 50% of the shares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rollforward of accumulated other comprehensive income (loss) for the three and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Three Months Ended September 30,</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3"/>
        </w:trPr>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6"/>
        </w:trPr>
        <w:tc>
          <w:tcPr>
            <w:tcW w:w="21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0"/>
        </w:trPr>
        <w:tc>
          <w:tcPr>
            <w:tcW w:w="37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Tax Effect</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Tax Effect</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Net of Tax</w:t>
            </w:r>
          </w:p>
        </w:tc>
      </w:tr>
      <w:tr>
        <w:trPr>
          <w:trHeight w:val="229"/>
        </w:trPr>
        <w:tc>
          <w:tcPr>
            <w:tcW w:w="3780" w:type="dxa"/>
            <w:vAlign w:val="bottom"/>
            <w:tcBorders>
              <w:top w:val="single" w:sz="8" w:color="auto"/>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at beginning of period</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(332,126)</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45,559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(286,567)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143,136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115,431</w:t>
            </w:r>
          </w:p>
        </w:tc>
      </w:tr>
      <w:tr>
        <w:trPr>
          <w:trHeight w:val="210"/>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5"/>
        </w:trPr>
        <w:tc>
          <w:tcPr>
            <w:tcW w:w="388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Unrealized holding gains (losses) on</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7"/>
        </w:trPr>
        <w:tc>
          <w:tcPr>
            <w:tcW w:w="3880" w:type="dxa"/>
            <w:vAlign w:val="bottom"/>
            <w:gridSpan w:val="3"/>
          </w:tcPr>
          <w:p>
            <w:pPr>
              <w:ind w:left="40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82"/>
        </w:trPr>
        <w:tc>
          <w:tcPr>
            <w:tcW w:w="3880" w:type="dxa"/>
            <w:vAlign w:val="bottom"/>
            <w:gridSpan w:val="3"/>
            <w:shd w:val="clear" w:color="auto" w:fill="CCEEFF"/>
          </w:tcPr>
          <w:p>
            <w:pPr>
              <w:ind w:left="360"/>
              <w:spacing w:after="0" w:line="182" w:lineRule="exact"/>
              <w:rPr>
                <w:sz w:val="20"/>
                <w:szCs w:val="20"/>
                <w:color w:val="auto"/>
              </w:rPr>
            </w:pPr>
            <w:r>
              <w:rPr>
                <w:rFonts w:ascii="Arial" w:cs="Arial" w:eastAsia="Arial" w:hAnsi="Arial"/>
                <w:sz w:val="18"/>
                <w:szCs w:val="18"/>
                <w:color w:val="auto"/>
              </w:rPr>
              <w:t>Unrealized holding gains (losses) arising</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38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during the period</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(158,835)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(36,747)</w:t>
            </w:r>
          </w:p>
        </w:tc>
      </w:tr>
      <w:tr>
        <w:trPr>
          <w:trHeight w:val="175"/>
        </w:trPr>
        <w:tc>
          <w:tcPr>
            <w:tcW w:w="3880" w:type="dxa"/>
            <w:vAlign w:val="bottom"/>
            <w:gridSpan w:val="3"/>
          </w:tcPr>
          <w:p>
            <w:pPr>
              <w:ind w:left="360"/>
              <w:spacing w:after="0" w:line="176" w:lineRule="exact"/>
              <w:rPr>
                <w:sz w:val="20"/>
                <w:szCs w:val="20"/>
                <w:color w:val="auto"/>
              </w:rPr>
            </w:pPr>
            <w:r>
              <w:rPr>
                <w:rFonts w:ascii="Arial" w:cs="Arial" w:eastAsia="Arial" w:hAnsi="Arial"/>
                <w:sz w:val="18"/>
                <w:szCs w:val="18"/>
                <w:color w:val="auto"/>
              </w:rPr>
              <w:t>Less: Reclassification adjustment for losses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3880" w:type="dxa"/>
            <w:vAlign w:val="bottom"/>
            <w:tcBorders>
              <w:bottom w:val="single" w:sz="8" w:color="CCEEFF"/>
            </w:tcBorders>
            <w:gridSpan w:val="3"/>
          </w:tcPr>
          <w:p>
            <w:pPr>
              <w:ind w:left="520"/>
              <w:spacing w:after="0"/>
              <w:rPr>
                <w:sz w:val="20"/>
                <w:szCs w:val="20"/>
                <w:color w:val="auto"/>
              </w:rPr>
            </w:pPr>
            <w:r>
              <w:rPr>
                <w:rFonts w:ascii="Arial" w:cs="Arial" w:eastAsia="Arial" w:hAnsi="Arial"/>
                <w:sz w:val="18"/>
                <w:szCs w:val="18"/>
                <w:color w:val="auto"/>
              </w:rPr>
              <w:t>included in net income (1)</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3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Net unrealized losses on investments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(36,917)</w:t>
            </w:r>
          </w:p>
        </w:tc>
      </w:tr>
      <w:tr>
        <w:trPr>
          <w:trHeight w:val="223"/>
        </w:trPr>
        <w:tc>
          <w:tcPr>
            <w:tcW w:w="38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(36,917)</w:t>
            </w:r>
          </w:p>
        </w:tc>
      </w:tr>
      <w:tr>
        <w:trPr>
          <w:trHeight w:val="248"/>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78,514</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394"/>
        </w:trPr>
        <w:tc>
          <w:tcPr>
            <w:tcW w:w="2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Nine Months Ended September 30,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6"/>
        </w:trPr>
        <w:tc>
          <w:tcPr>
            <w:tcW w:w="21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9"/>
        </w:trPr>
        <w:tc>
          <w:tcPr>
            <w:tcW w:w="37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Tax Effect</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Tax Effect</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Net of Tax</w:t>
            </w:r>
          </w:p>
        </w:tc>
      </w:tr>
      <w:tr>
        <w:trPr>
          <w:trHeight w:val="230"/>
        </w:trPr>
        <w:tc>
          <w:tcPr>
            <w:tcW w:w="3780" w:type="dxa"/>
            <w:vAlign w:val="bottom"/>
            <w:tcBorders>
              <w:top w:val="single" w:sz="8" w:color="auto"/>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at beginning of year</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65,280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50,707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168,324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138,274</w:t>
            </w:r>
          </w:p>
        </w:tc>
      </w:tr>
      <w:tr>
        <w:trPr>
          <w:trHeight w:val="209"/>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6"/>
        </w:trPr>
        <w:tc>
          <w:tcPr>
            <w:tcW w:w="388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Unrealized holding gains (losses) on</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7"/>
        </w:trPr>
        <w:tc>
          <w:tcPr>
            <w:tcW w:w="3880" w:type="dxa"/>
            <w:vAlign w:val="bottom"/>
            <w:gridSpan w:val="3"/>
          </w:tcPr>
          <w:p>
            <w:pPr>
              <w:ind w:left="40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82"/>
        </w:trPr>
        <w:tc>
          <w:tcPr>
            <w:tcW w:w="3880" w:type="dxa"/>
            <w:vAlign w:val="bottom"/>
            <w:gridSpan w:val="3"/>
            <w:shd w:val="clear" w:color="auto" w:fill="CCEEFF"/>
          </w:tcPr>
          <w:p>
            <w:pPr>
              <w:ind w:left="360"/>
              <w:spacing w:after="0" w:line="182" w:lineRule="exact"/>
              <w:rPr>
                <w:sz w:val="20"/>
                <w:szCs w:val="20"/>
                <w:color w:val="auto"/>
              </w:rPr>
            </w:pPr>
            <w:r>
              <w:rPr>
                <w:rFonts w:ascii="Arial" w:cs="Arial" w:eastAsia="Arial" w:hAnsi="Arial"/>
                <w:sz w:val="18"/>
                <w:szCs w:val="18"/>
                <w:color w:val="auto"/>
              </w:rPr>
              <w:t>Unrealized holding losses arising during the</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38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period</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(564,064)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(59,172)</w:t>
            </w:r>
          </w:p>
        </w:tc>
      </w:tr>
      <w:tr>
        <w:trPr>
          <w:trHeight w:val="175"/>
        </w:trPr>
        <w:tc>
          <w:tcPr>
            <w:tcW w:w="3880" w:type="dxa"/>
            <w:vAlign w:val="bottom"/>
            <w:gridSpan w:val="3"/>
          </w:tcPr>
          <w:p>
            <w:pPr>
              <w:ind w:left="360"/>
              <w:spacing w:after="0" w:line="176" w:lineRule="exact"/>
              <w:rPr>
                <w:sz w:val="20"/>
                <w:szCs w:val="20"/>
                <w:color w:val="auto"/>
              </w:rPr>
            </w:pPr>
            <w:r>
              <w:rPr>
                <w:rFonts w:ascii="Arial" w:cs="Arial" w:eastAsia="Arial" w:hAnsi="Arial"/>
                <w:sz w:val="18"/>
                <w:szCs w:val="18"/>
                <w:color w:val="auto"/>
              </w:rPr>
              <w:t>Less: Reclassification adjustment for losses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3880" w:type="dxa"/>
            <w:vAlign w:val="bottom"/>
            <w:tcBorders>
              <w:bottom w:val="single" w:sz="8" w:color="CCEEFF"/>
            </w:tcBorders>
            <w:gridSpan w:val="3"/>
          </w:tcPr>
          <w:p>
            <w:pPr>
              <w:ind w:left="520"/>
              <w:spacing w:after="0"/>
              <w:rPr>
                <w:sz w:val="20"/>
                <w:szCs w:val="20"/>
                <w:color w:val="auto"/>
              </w:rPr>
            </w:pPr>
            <w:r>
              <w:rPr>
                <w:rFonts w:ascii="Arial" w:cs="Arial" w:eastAsia="Arial" w:hAnsi="Arial"/>
                <w:sz w:val="18"/>
                <w:szCs w:val="18"/>
                <w:color w:val="auto"/>
              </w:rPr>
              <w:t>(gains) included in net income (1)</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r>
      <w:tr>
        <w:trPr>
          <w:trHeight w:val="223"/>
        </w:trPr>
        <w:tc>
          <w:tcPr>
            <w:tcW w:w="3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7"/>
              </w:rPr>
              <w:t>Net unrealized (losses) gains on investments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(556,416)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(59,760)</w:t>
            </w:r>
          </w:p>
        </w:tc>
      </w:tr>
      <w:tr>
        <w:trPr>
          <w:trHeight w:val="223"/>
        </w:trPr>
        <w:tc>
          <w:tcPr>
            <w:tcW w:w="38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(59,760)</w:t>
            </w:r>
          </w:p>
        </w:tc>
      </w:tr>
      <w:tr>
        <w:trPr>
          <w:trHeight w:val="248"/>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78,514</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180" w:type="dxa"/>
            <w:vAlign w:val="bottom"/>
            <w:tcBorders>
              <w:bottom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Included in net realized investment gains (losses) on our condensed consolidated statements of comprehensive income.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21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52" w:lineRule="exact"/>
        <w:rPr>
          <w:sz w:val="20"/>
          <w:szCs w:val="20"/>
          <w:color w:val="auto"/>
        </w:rPr>
      </w:pPr>
    </w:p>
    <w:p>
      <w:pPr>
        <w:ind w:left="660" w:hanging="328"/>
        <w:spacing w:after="0" w:line="293"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64" w:lineRule="exact"/>
        <w:rPr>
          <w:rFonts w:ascii="Arial" w:cs="Arial" w:eastAsia="Arial" w:hAnsi="Arial"/>
          <w:sz w:val="16"/>
          <w:szCs w:val="16"/>
          <w:color w:val="auto"/>
        </w:rPr>
      </w:pPr>
    </w:p>
    <w:p>
      <w:pPr>
        <w:ind w:left="660" w:right="20"/>
        <w:spacing w:after="0" w:line="287" w:lineRule="auto"/>
        <w:rPr>
          <w:rFonts w:ascii="Arial" w:cs="Arial" w:eastAsia="Arial" w:hAnsi="Arial"/>
          <w:sz w:val="16"/>
          <w:szCs w:val="16"/>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Quoted Prices</w:t>
            </w:r>
          </w:p>
        </w:tc>
        <w:tc>
          <w:tcPr>
            <w:tcW w:w="260" w:type="dxa"/>
            <w:vAlign w:val="bottom"/>
          </w:tcPr>
          <w:p>
            <w:pPr>
              <w:spacing w:after="0"/>
              <w:rPr>
                <w:sz w:val="14"/>
                <w:szCs w:val="14"/>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2022 (In thousands)</w:t>
            </w: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535,636</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752,236</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559,784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559,784</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60,834</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1,345,269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1,345,269</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523,608</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608,330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608,330</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199,147</w:t>
            </w: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Total assets at fair value (1) (2)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734,783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3,850,061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4,584,844</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7"/>
        </w:trPr>
        <w:tc>
          <w:tcPr>
            <w:tcW w:w="2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Quoted Prices</w:t>
            </w:r>
          </w:p>
        </w:tc>
        <w:tc>
          <w:tcPr>
            <w:tcW w:w="260" w:type="dxa"/>
            <w:vAlign w:val="bottom"/>
          </w:tcPr>
          <w:p>
            <w:pPr>
              <w:spacing w:after="0"/>
              <w:rPr>
                <w:sz w:val="24"/>
                <w:szCs w:val="24"/>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2021 (In thousands)</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1"/>
                <w:szCs w:val="11"/>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7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448,793</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5,504</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1,008,863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1,008,863</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627,599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627,599</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79,743</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1,455,247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1,455,247</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545,423</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581,703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581,703</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210,012</w:t>
            </w: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Total assets at fair value (1) (2)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658,805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4,304,082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4,962,887</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hanging="328"/>
        <w:spacing w:after="0" w:line="258"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include the fair value of embedded derivatives, which we have accounted for separately as freestanding derivatives and included in other assets or other accrued liabilities in our condensed consolidated balance sheet. See Note 4 for more information.</w:t>
      </w:r>
    </w:p>
    <w:p>
      <w:pPr>
        <w:spacing w:after="0" w:line="1" w:lineRule="exact"/>
        <w:rPr>
          <w:rFonts w:ascii="Arial" w:cs="Arial" w:eastAsia="Arial" w:hAnsi="Arial"/>
          <w:sz w:val="18"/>
          <w:szCs w:val="18"/>
          <w:color w:val="auto"/>
        </w:rPr>
      </w:pPr>
    </w:p>
    <w:p>
      <w:pPr>
        <w:ind w:left="660" w:right="240" w:hanging="328"/>
        <w:spacing w:after="0" w:line="290" w:lineRule="auto"/>
        <w:tabs>
          <w:tab w:leader="none" w:pos="654" w:val="left"/>
        </w:tabs>
        <w:numPr>
          <w:ilvl w:val="0"/>
          <w:numId w:val="10"/>
        </w:numPr>
        <w:rPr>
          <w:rFonts w:ascii="Arial" w:cs="Arial" w:eastAsia="Arial" w:hAnsi="Arial"/>
          <w:sz w:val="17"/>
          <w:szCs w:val="17"/>
          <w:color w:val="auto"/>
        </w:rPr>
      </w:pPr>
      <w:r>
        <w:rPr>
          <w:rFonts w:ascii="Arial" w:cs="Arial" w:eastAsia="Arial" w:hAnsi="Arial"/>
          <w:sz w:val="17"/>
          <w:szCs w:val="17"/>
          <w:color w:val="auto"/>
        </w:rPr>
        <w:t>Does not include certain other invested assets that are measured at fair value using the net asset value per share (or its equivalent) as a practical expedient, as applicable accounting standards do not provide for classification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Statutory Accounting</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nine months ended September 30:</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6"/>
                <w:szCs w:val="16"/>
                <w:color w:val="auto"/>
              </w:rPr>
            </w:pPr>
          </w:p>
        </w:tc>
        <w:tc>
          <w:tcPr>
            <w:tcW w:w="1640" w:type="dxa"/>
            <w:vAlign w:val="bottom"/>
          </w:tcPr>
          <w:p>
            <w:pPr>
              <w:jc w:val="right"/>
              <w:ind w:right="8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tcPr>
          <w:p>
            <w:pPr>
              <w:jc w:val="right"/>
              <w:ind w:right="853"/>
              <w:spacing w:after="0"/>
              <w:rPr>
                <w:sz w:val="20"/>
                <w:szCs w:val="20"/>
                <w:color w:val="auto"/>
              </w:rPr>
            </w:pPr>
            <w:r>
              <w:rPr>
                <w:rFonts w:ascii="Arial" w:cs="Arial" w:eastAsia="Arial" w:hAnsi="Arial"/>
                <w:sz w:val="14"/>
                <w:szCs w:val="14"/>
                <w:b w:val="1"/>
                <w:bCs w:val="1"/>
                <w:color w:val="auto"/>
              </w:rPr>
              <w:t>2021</w:t>
            </w:r>
          </w:p>
        </w:tc>
      </w:tr>
      <w:tr>
        <w:trPr>
          <w:trHeight w:val="26"/>
        </w:trPr>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Essent Guaranty</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Statutory net income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479,389</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364,654</w:t>
            </w:r>
          </w:p>
        </w:tc>
      </w:tr>
      <w:tr>
        <w:trPr>
          <w:trHeight w:val="230"/>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Statutory surplus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1,023,440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1,082,334</w:t>
            </w:r>
          </w:p>
        </w:tc>
      </w:tr>
      <w:tr>
        <w:trPr>
          <w:trHeight w:val="229"/>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Contingency reserve liability</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1,990,536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1,721,424</w:t>
            </w:r>
          </w:p>
        </w:tc>
      </w:tr>
      <w:tr>
        <w:trPr>
          <w:trHeight w:val="257"/>
        </w:trPr>
        <w:tc>
          <w:tcPr>
            <w:tcW w:w="6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Essent PA</w:t>
            </w: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Statutory net income</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r>
      <w:tr>
        <w:trPr>
          <w:trHeight w:val="229"/>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Statutory surplus</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57,489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55,779</w:t>
            </w:r>
          </w:p>
        </w:tc>
      </w:tr>
      <w:tr>
        <w:trPr>
          <w:trHeight w:val="229"/>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Contingency reserve liability</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57,205</w:t>
            </w:r>
          </w:p>
        </w:tc>
      </w:tr>
    </w:tbl>
    <w:p>
      <w:pPr>
        <w:spacing w:after="0" w:line="31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Net income determined in accordance with statutory accounting practices differs from GAAP. In 2022 and 2021,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21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At September 30, 2022 and 2021, the statutory capital of our U.S. insurance subsidiaries, which is defined as the total of statutory surplus and contingency reserves, was in excess of the statutory capital necessary to satisfy their regulatory requirements.</w:t>
      </w:r>
    </w:p>
    <w:p>
      <w:pPr>
        <w:spacing w:after="0" w:line="19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September 30, 2022, Essent Guaranty, our GSE-approved mortgage insurance company, was in compliance with PMIERs 2.0.</w:t>
      </w:r>
    </w:p>
    <w:p>
      <w:pPr>
        <w:spacing w:after="0" w:line="19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Statement of Statutory Accounting Principles No. 58, </w:t>
      </w:r>
      <w:r>
        <w:rPr>
          <w:rFonts w:ascii="Arial" w:cs="Arial" w:eastAsia="Arial" w:hAnsi="Arial"/>
          <w:sz w:val="16"/>
          <w:szCs w:val="16"/>
          <w:i w:val="1"/>
          <w:iCs w:val="1"/>
          <w:color w:val="auto"/>
        </w:rPr>
        <w:t>Mortgage Guaranty Insurance,</w:t>
      </w:r>
      <w:r>
        <w:rPr>
          <w:rFonts w:ascii="Arial" w:cs="Arial" w:eastAsia="Arial" w:hAnsi="Arial"/>
          <w:sz w:val="16"/>
          <w:szCs w:val="16"/>
          <w:color w:val="auto"/>
        </w:rPr>
        <w:t xml:space="preserve"> requires mortgage insurers to establish a special contingency reserve for statutory accounting purposes included in total liabilities equal to 50% of earned premium for that year. During the nine months ended September 30, 2022, Essent Guaranty increased its contingency reserve by $209.6 million and Essent PA increased its contingency reserve by</w:t>
      </w:r>
    </w:p>
    <w:p>
      <w:pPr>
        <w:spacing w:after="0" w:line="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$0.7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nine months ended September 30, 2022 and 2021, Essent Guaranty released contingency reserves of $11.8 million and $2.0 million,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respectively, and Essent PA released contingency reserves of $0.9 million and $0.1 million, respectively, to unassigned funds upon completion of the 120 month holding period.</w:t>
      </w:r>
    </w:p>
    <w:p>
      <w:pPr>
        <w:spacing w:after="0" w:line="197"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2021, all such requirements were met.</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Essent Re's statutory capital and surplus was $1.4 billion as of September 30, 2022 and $1.3 billion as of December 31, 2021. Essent Re's statutory net income was $178.5 million and $166.2 million for the nine months ended September 30, 2022 and 2021, respectively. Statutory capital and surplus as of September 30, 2022 and December 31, 2021 and statutory net income in the nine months ended September 30, 2022 and 2021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i w:val="1"/>
          <w:iCs w:val="1"/>
          <w:color w:val="auto"/>
        </w:rPr>
        <w:t>The following discussion should be read together with our audited consolidated financial statements and related notes included in our Annual Report on Form 10-K as of and for the year ended December 31, 2021 as filed with the Securities and Exchange Commission and referred to herein as the “Annual Report,” and our condensed consolidated financial statements and related notes as of and for the three and nine months ended September 30, 2022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and Part II, Item 1A “Risk Factors” in this Quarterly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20" w:firstLine="648"/>
        <w:spacing w:after="0" w:line="259" w:lineRule="auto"/>
        <w:rPr>
          <w:sz w:val="20"/>
          <w:szCs w:val="20"/>
          <w:color w:val="auto"/>
        </w:rPr>
      </w:pPr>
      <w:r>
        <w:rPr>
          <w:rFonts w:ascii="Arial" w:cs="Arial" w:eastAsia="Arial" w:hAnsi="Arial"/>
          <w:sz w:val="17"/>
          <w:szCs w:val="17"/>
          <w:color w:val="auto"/>
        </w:rPr>
        <w:t>We are an established private mortgage insurance company. Essent Guaranty, Inc., our wholly-owned insurance subsidiary which we refer to as "Essent Guaranty," is licensed to write coverage in all 50 states and the District of Columbia. The financial strength ratings of Essent Guaranty are A3 with a stable outlook by Moody’s Investors Service (“Moody's”), BBB+ with a stable outlook by S&amp;P Global Ratings (“S&amp;P”) and A (Excellent) with a stable outlook by A.M. Best. On September 21, 2022, A.M. Best affirmed Essent Guaranty’s financial strength rating of A (Excellent) with a stable outlook and on November 4, 2022 S&amp;P affirmed Essent Guaranty’s financial strength rating of BBB+ with a stable outlook.</w:t>
      </w:r>
    </w:p>
    <w:p>
      <w:pPr>
        <w:spacing w:after="0" w:line="187"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with 350 employees as of September 30, 2022. We generated new insurance written, or NIW, of approximately $17.1 billion and $50.0 billion for the three and nine months ended September 30, 2022, respectively, compared to approximately $23.6 billion and $67.8 billion for the three and nine months ended September 30, 2021, respectively. As of September 30, 2022, we had approximately $222.5 billion of insurance in force.</w:t>
      </w:r>
    </w:p>
    <w:p>
      <w:pPr>
        <w:spacing w:after="0" w:line="17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also offer mortgage-related insurance and reinsurance through our wholly-owned Bermuda-based subsidiary, Essent Reinsurance Ltd., which we refer to as "Essent Re." As of September 30, 2022, Essent Re provided insurance or reinsurance relating to GSE risk share and other reinsurance transactions covering approximately $2.0 billion of risk. Essent Re also reinsures Essent Guaranty’s NIW under a quota share reinsurance agreement.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will continue to be 25%, the quota share percentage in effect at the time NIW was first ceded. The insurer financial strength rating of Essent Re is BBB+ with a stable outlook by S&amp;P and A (Excellent) with a stable outlook by A.M. Best. On September 21, 2022, A.M. Best’s affirmed Essent Re’s financial strength rating of A (Excellent) with a stable outlook.</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Due to the novel coronavirus disease 2019 ("COVID-19"), we experienced a significant increase in the amount of new defaults reported in 2020, especially during the second and third quarters of 2020. We segmented these two quarters’ 49,398 defaults as specifically COVID-19 related (“Early COVID Defaults”) and provided losses for these two cohorts differently as compared to our normal loss reserving methodology. The default-to-claim transition patterns of the Early COVID Defaults have been different than our historical defaults. We believe that the borrowers associated with the Early COVID Defaults have been able to take advantage of foreclosure moratoriums and mortgage forbearance programs instituted by Federal legislation along with actions taken by the Federal Housing Finance Agency (“FHFA”), Fannie Mae and Freddie Mac (collectively the “GSEs”) which has extend traditional default-to-claim timelines. As a result of these programs, along with Federal stimulus, these borrowers associated with the Early COVID Defaults have had more resources and an extended time period to address the issues that triggered the default, that we believe will result in a higher cure rate, and correspondingly lower claim payments than historical defaults.</w:t>
      </w:r>
    </w:p>
    <w:p>
      <w:pPr>
        <w:spacing w:after="0" w:line="20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Over 90% of loans insured by Essent are federally backed by Fannie Mae or Freddie Mac. As a mortgage loan in forbearance is considered delinquent, we will provide loss reserves as loans in forbearance are reported to us as delinquent once the borrower has missed two consecutive payments. However, we believe providing borrowers time to recover from the adverse financial impact of the COVID-19 event may allow some families to be able to remain in their homes and avoid foreclosure.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For borrowers that have the ability to begin to pay their mortgage at the end of the forbearance period, we expect that mortgage servicers will continue to work with them to modify their loans at which time the mortgage will be removed from delinquency status.</w:t>
      </w:r>
    </w:p>
    <w:p>
      <w:pPr>
        <w:spacing w:after="0" w:line="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As of September 30, 2022, approximately 98% of the Early COVID Defaults had cured. While this level of cure activity exceeded our initial expectations for the Early COVID Defaults, the transition of defaults to foreclosure or claim has not returned to pre-pandemic levels. As a result, the level of defaults in the default inventory that have missed twelve or more payments is above pre-pandemic levels.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Current Economic Developments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economy in the United States is currently experiencing elevated levels of consumer price inflation. The Federal Reserve has increased the target federal funds rate several times during 2022 in an effort to reduce consumer price inflation. These rate increases have resulted in higher mortgage interest rates which may lower home sale activity and affect the options available to delinquent borrowers. The impact on our reserves in future periods will be dependent upon the amount of delinquent notices received from loan servicers and our expectations for the amount of ultimate losses on these delinquencies. As noted in “— Liquidity and Capital Resources,” Essent had substantial liquidity and had Available Assets in excess of Minimum Required Assets under PMIERs 2.0 as of September 30, 2022. Future increases in defaults may result in an increase in our provisions for loss and loss adjustment expenses compared to prior periods, reduced profit commission under our quota share reinsurance agreements with panels of third-party reinsurers ("the QSR Agreements") and an increase in our Minimum Required Assets.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14" w:lineRule="exact"/>
        <w:rPr>
          <w:sz w:val="20"/>
          <w:szCs w:val="20"/>
          <w:color w:val="auto"/>
        </w:rPr>
      </w:pPr>
    </w:p>
    <w:p>
      <w:pPr>
        <w:ind w:right="140" w:firstLine="177"/>
        <w:spacing w:after="0" w:line="257" w:lineRule="auto"/>
        <w:rPr>
          <w:sz w:val="20"/>
          <w:szCs w:val="20"/>
          <w:color w:val="auto"/>
        </w:rPr>
      </w:pPr>
      <w:r>
        <w:rPr>
          <w:rFonts w:ascii="Arial" w:cs="Arial" w:eastAsia="Arial" w:hAnsi="Arial"/>
          <w:sz w:val="18"/>
          <w:szCs w:val="18"/>
          <w:color w:val="auto"/>
        </w:rPr>
        <w:t>The U.S. Internal Revenue Service and Department of the Treasury published both final and newly proposed regulations in January 2021 relating to the tax treatment of passive foreign investment companies ("PFICs"). The final regulations provide guidance on various PFIC rules, including changes resulting from the 2017 Tax Cuts and Jobs Act. In addition, the Company is evaluating the potential impact of the newly proposed PFIC regulations to its shareholders and business operations. The newly proposed regulations, among other provisions, set a limit on the amount of assets that may be deemed “good assets” within the PFIC asset test of a foreign holding company.</w:t>
      </w:r>
    </w:p>
    <w:p>
      <w:pPr>
        <w:spacing w:after="0" w:line="201"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On August 16, 2022, the “Inflation Reduction Act of 2022” (“IRA”), was enacted, which, among other things, provides for a corporate alternative minimum tax and an excise tax on corporate stock repurchases. Based on our current analysis of the provisions, we do not expect the IRA to have a material impact on our financial position or results of operations. As the IRS issues additional guidance related to the IRA, we will evaluate any potential impact to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Premiums associated with our U.S. mortgage insurance business are based on insurance in force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88" w:lineRule="exact"/>
        <w:rPr>
          <w:sz w:val="20"/>
          <w:szCs w:val="20"/>
          <w:color w:val="auto"/>
        </w:rPr>
      </w:pPr>
    </w:p>
    <w:p>
      <w:pPr>
        <w:ind w:left="660" w:right="140" w:hanging="328"/>
        <w:spacing w:after="0" w:line="31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240" w:hanging="328"/>
        <w:spacing w:after="0" w:line="30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20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Premiums ceded or assumed under reinsurance arrangements. See Note 4 to our condensed consolidated financial statements.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September 30, 2022 were non-refundable. Premiums collected on annual policies are recognized as net premiums earned on a straight-line basis over the year of coverage. For the nine months ended September 30, 2022 and 2021, monthly premium policies comprised 94% and 96% of our NIW, respectively.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Premiums associated with our GSE and other risk share transactions are based on the level of risk in force and premium rates on the transactions.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77.9% at September 30, 2022. Generally, higher prepayment speeds lead to lower persistency.</w:t>
      </w:r>
    </w:p>
    <w:p>
      <w:pPr>
        <w:spacing w:after="0" w:line="211" w:lineRule="exact"/>
        <w:rPr>
          <w:sz w:val="20"/>
          <w:szCs w:val="20"/>
          <w:color w:val="auto"/>
        </w:rPr>
      </w:pPr>
    </w:p>
    <w:p>
      <w:pPr>
        <w:ind w:right="40" w:firstLine="693"/>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investment portfolio was predominantly comprised of investment-grade fixed income securities and money market funds as of September 30, 2022.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from Other Invested Assets</w:t>
      </w:r>
    </w:p>
    <w:p>
      <w:pPr>
        <w:spacing w:after="0" w:line="25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part of our overall investment strategy, we also allocate a relatively small percentage of our portfolio to limited partnership investments in real estate, financial services and technology funds, and traditional private equity investments. The results of these investing activities are reported in income from other invested assets. These investments are generally</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 Fluctuations in the fair value of these entities may increase the volatility of the Company's reported results of operations.</w:t>
      </w:r>
    </w:p>
    <w:p>
      <w:pPr>
        <w:spacing w:after="0" w:line="18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Through June 30, 2021, unrealized gains and losses reported by these entities were included in other comprehensive income (“OCI”). Subsequent to June 30, 2021, management concluded that unrealized gains and losses on these investments should be reflected in earnings rather than OCI.</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Other income includes revenues associated with contract underwriting services and underwriting consulting services to third-party reinsurers. The level of contract underwriting revenue is dependent upon the number of customers who have engaged us for this service and the number of loans underwritten for these customers. Revenue from underwriting consulting services to third-party reinsurers is dependent upon the number of customers who have engaged us for this service and the level of premiums associated with the transactions underwritten for these customers.</w:t>
      </w:r>
    </w:p>
    <w:p>
      <w:pPr>
        <w:spacing w:after="0" w:line="18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The services agreement provides for a flat monthly fee through November 30, 2022. The services agreement provides for one subsequent one-year renewal at Triad's option.</w:t>
      </w:r>
    </w:p>
    <w:p>
      <w:pPr>
        <w:spacing w:after="0" w:line="188" w:lineRule="exact"/>
        <w:rPr>
          <w:sz w:val="20"/>
          <w:szCs w:val="20"/>
          <w:color w:val="auto"/>
        </w:rPr>
      </w:pPr>
    </w:p>
    <w:p>
      <w:pPr>
        <w:ind w:right="60" w:firstLine="170"/>
        <w:spacing w:after="0" w:line="311" w:lineRule="auto"/>
        <w:rPr>
          <w:sz w:val="20"/>
          <w:szCs w:val="20"/>
          <w:color w:val="auto"/>
        </w:rPr>
      </w:pPr>
      <w:r>
        <w:rPr>
          <w:rFonts w:ascii="Arial" w:cs="Arial" w:eastAsia="Arial" w:hAnsi="Arial"/>
          <w:sz w:val="16"/>
          <w:szCs w:val="16"/>
          <w:color w:val="auto"/>
        </w:rPr>
        <w:t>As more fully described in Note 4 to our condensed consolidated financial statements, the premiums ceded under certain reinsurance contracts with unaffiliated third parties vary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1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18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w:t>
      </w:r>
    </w:p>
    <w:p>
      <w:pPr>
        <w:spacing w:after="0" w:line="252" w:lineRule="exact"/>
        <w:rPr>
          <w:rFonts w:ascii="Arial" w:cs="Arial" w:eastAsia="Arial" w:hAnsi="Arial"/>
          <w:sz w:val="18"/>
          <w:szCs w:val="18"/>
          <w:color w:val="auto"/>
        </w:rPr>
      </w:pPr>
    </w:p>
    <w:p>
      <w:pPr>
        <w:jc w:val="both"/>
        <w:ind w:left="660" w:right="8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2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As of September 30, 2022, 83% of our IIF relates to business written since January 1, 2020 and was less than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92"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Based upon our experience and industry data, claims incidence for mortgage insurance is generally highest in the third through sixth years after loan origination. Claims incidence for defaults associated with COVID-19 may not follow this pattern. As of September 30, 2022, 83% of our IIF relates to business written since January 1, 2020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21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Due to business restrictions, stay-at-home orders and travel restrictions implemented in March 2020 as a result of COVID-19, unemployment in the United States increased significantly in the second quarter of 2020, declining during the second half of 2020 and throughout 2021. As unemployment is one of the most common reasons for borrowers to default on their mortgage, the increase in unemployment increased the number of delinquencies on the mortgages we insure, and has the potential to increase claim frequencies on defaults. As a result, we received 36,784 defaults in the three months ended June 30, 2020 and 12,614 defaults in the three months ended September 30, 2020, which resulted in a significant increase in our default rate from 0.83% at March 31, 2020 to 4.54% at September 30, 2020.</w:t>
      </w:r>
    </w:p>
    <w:p>
      <w:pPr>
        <w:spacing w:after="0" w:line="20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response to the COVID-19 pandemic, the United States government enacted a number of policies to provide fiscal stimulus to the economy and relief to those affected by this global disaster. Specifically, mortgage forbearance programs and foreclosure moratoriums were instituted by Federal legislation along with actions taken by FHFA and the GSEs. The mortgage forbearance plans permit these borrowers to temporarily reduce or suspend their mortgage payments for up to 18 months for loans in an active COVID-19-related forbearance program as of February 28, 2021. For borrowers that have the ability to begin to pay their mortgage at the end of the forbearance period, we expect that mortgage servicers will continue to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Early COVID Defaults, we expect the ultimate number of Early COVID Defaults that result in claims will be less than our historical default-to-claim experience. Accordingly, we applied a lower reserve rate to the Early COVID Defaults than the rate used for defaults that had missed a comparable number of payments as of March 31, 2020 and in prior periods that did not have access to forbearance plans.</w:t>
      </w:r>
    </w:p>
    <w:p>
      <w:pPr>
        <w:spacing w:after="0" w:line="21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defaulted loans reported to us in the second and third quarters of 2020 had reached the end of their forbearance periods as of March 31, 2022. During the first quarter of 2022, the Early COVID Defaults cured at elevated levels, and the cumulative cure rate for the Early COVID Defaults at March 31, 2022 exceeded our initial estimated cure rate implied by our estimate of ultimate loss for these defaults established at the onset of the pandemic. Based on cure activity through March 31, 2022 and our expectations for future cure activity, as of March 31, 2022, we lowered our estimate of ultimate loss for the Early COVID Defaults. During the three months ended June 30, 2022, Early COVID Defaults cured at levels that exceeded our estimate as of March 31, 2022, and we further lowered our estimate of loss for these defaults as of June 30, 2022 to 2% of the initial risk in force. These revisions to our estimate of ultimate loss for the Early COVID Defaults resulted in a benefit recorded to the provision for losses of $164.1 million for the nine months ended September 30, 2022. As of September 30, 2022, approximately 98% of the Early COVID Defaults had cured. Due to the level of Early COVID Defaults remaining in the default inventory, as of September 30, 2022, we resumed reserving for the Early COVID Defaults using our normal reserve methodology. While the level of cure activity for the Early COVID Defaults exceeded our initial expectations, the transition of</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defaults to foreclosure or claim has not returned to pre-pandemic levels as of September 30, 2022. As a result, the level of defaults in the default inventory that have missed twelve or more payments is above pre-pandemic levels.</w:t>
      </w:r>
    </w:p>
    <w:p>
      <w:pPr>
        <w:spacing w:after="0" w:line="19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economy in the United States is currently experiencing elevated levels of consumer price inflation. The Federal Reserve has increased the target federal funds rate several times during 2022 in an effort to reduce consumer price inflation. These rate increases have resulted in higher mortgage interest rates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w:t>
      </w:r>
    </w:p>
    <w:p>
      <w:pPr>
        <w:spacing w:after="0" w:line="21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September 2022, Hurricane Ian made landfall in Florida and caused property damage in certain counties. We expect to experience increased defaults in these areas beginning in the fourth quarter of 2022. We are currently unable to estimate how many claims we ultimately may have to pay associated with any defaults in the hurricane impacted areas. There are many factors contributing to the uncertainty surrounding these insured loans. Under our master policy, loan servicers are not required to notify us of a default until the borrower has missed two consecutive minimum payments. Also, the level of damage being reported in these areas varies significantly from region to region. Further,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These events have not materially affected our reserves as of September 30, 2022.</w:t>
      </w:r>
    </w:p>
    <w:p>
      <w:pPr>
        <w:spacing w:after="0" w:line="20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more fully described in Note 4 to our condensed consolidated financial statements, at September 30, 2022, we had approximately $2.6 billion of excess of loss reinsurance covering NIW from January 1, 2015 to December 31, 2022 and quota share reinsurance on portions of our NIW effective September 1, 2019 through December 31, 2020 and January 1, 2022 through December 31, 2022. The impact on our reserves in future periods will be dependent upon the amount of delinquent notices received from loan servicers, the performance of defaults and our expectations for the amount of ultimate losses on these delinquencies.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Third-Party Reinsurance</w:t>
      </w:r>
    </w:p>
    <w:p>
      <w:pPr>
        <w:spacing w:after="0" w:line="252"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most significant expense is compensation and benefits for our employees, which represented 59% and 60% of other underwriting and operating expenses for the three and nine months ended September 30, 2022, respectively, compared to 64% and 62% of other underwriting and operating expenses for the three and nine months ended September 30, 2021, respectively. Compensation and benefits expense includes base and incentive cash compensation, stock compensation expense, benefits and payroll taxes.</w:t>
      </w:r>
    </w:p>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 increase.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200" w:lineRule="exact"/>
        <w:rPr>
          <w:sz w:val="20"/>
          <w:szCs w:val="20"/>
          <w:color w:val="auto"/>
        </w:rPr>
      </w:pPr>
    </w:p>
    <w:p>
      <w:pPr>
        <w:jc w:val="both"/>
        <w:ind w:right="420" w:firstLine="648"/>
        <w:spacing w:after="0" w:line="294" w:lineRule="auto"/>
        <w:rPr>
          <w:sz w:val="20"/>
          <w:szCs w:val="20"/>
          <w:color w:val="auto"/>
        </w:rPr>
      </w:pPr>
      <w:r>
        <w:rPr>
          <w:rFonts w:ascii="Arial" w:cs="Arial" w:eastAsia="Arial" w:hAnsi="Arial"/>
          <w:sz w:val="16"/>
          <w:szCs w:val="16"/>
          <w:color w:val="auto"/>
        </w:rPr>
        <w:t>Essent Group Ltd. ("Essent Group") and its wholly-owned subsidiary, Essent Re, are domiciled in Bermuda, which does not have a corporate income tax. Under a quota share reinsurance agreement, Essent Re reinsures 25% of Essent Guaranty’s NIW through December 31, 2020 and 35% of Essent Guaranty’s NIW after December 31, 2020. Essent Re also provides insurance and reinsurance to Freddie Mac and Fannie Mae.</w:t>
      </w:r>
    </w:p>
    <w:p>
      <w:pPr>
        <w:spacing w:after="0" w:line="18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three and nine months ended September 30, 2022 and 2021 for our U.S. mortgage insurance portfolio. In addition, this table includes RIF at the end of each period.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7"/>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820" w:type="dxa"/>
            <w:vAlign w:val="bottom"/>
            <w:gridSpan w:val="7"/>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IIF,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215,896,531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203,559,859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207,190,544</w:t>
            </w: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198,882,352</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NIW - Flow</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17,112,017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23,579,884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50,049,634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67,838,752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NIW - Bulk</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Cancellations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(10,465,979)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(18,923,194)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(34,697,805)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2"/>
              </w:rPr>
              <w:t>(58,504,555)</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IIF,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222,542,569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208,216,549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222,542,569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208,216,549</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Average IIF during the period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gridSpan w:val="2"/>
            <w:vMerge w:val="continue"/>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219,280,350</w:t>
            </w:r>
          </w:p>
        </w:tc>
        <w:tc>
          <w:tcPr>
            <w:tcW w:w="120" w:type="dxa"/>
            <w:vAlign w:val="bottom"/>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199,739,297</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80"/>
              <w:spacing w:after="0" w:line="203" w:lineRule="exact"/>
              <w:rPr>
                <w:sz w:val="20"/>
                <w:szCs w:val="20"/>
                <w:color w:val="auto"/>
              </w:rPr>
            </w:pPr>
            <w:r>
              <w:rPr>
                <w:rFonts w:ascii="Arial" w:cs="Arial" w:eastAsia="Arial" w:hAnsi="Arial"/>
                <w:sz w:val="18"/>
                <w:szCs w:val="18"/>
                <w:color w:val="auto"/>
              </w:rPr>
              <w:t>212,449,160</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198,980,667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RIF, end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48,690,571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45,074,159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48,690,571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45,074,159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27"/>
        </w:trPr>
        <w:tc>
          <w:tcPr>
            <w:tcW w:w="6740" w:type="dxa"/>
            <w:vAlign w:val="bottom"/>
            <w:gridSpan w:val="5"/>
          </w:tcPr>
          <w:p>
            <w:pPr>
              <w:ind w:left="660"/>
              <w:spacing w:after="0"/>
              <w:rPr>
                <w:sz w:val="20"/>
                <w:szCs w:val="20"/>
                <w:color w:val="auto"/>
              </w:rPr>
            </w:pPr>
            <w:r>
              <w:rPr>
                <w:rFonts w:ascii="Arial" w:cs="Arial" w:eastAsia="Arial" w:hAnsi="Arial"/>
                <w:sz w:val="18"/>
                <w:szCs w:val="18"/>
                <w:color w:val="auto"/>
              </w:rPr>
              <w:t>The following is a summary of our IIF at September 30, 2022 by vintage:</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63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 (through September 30)</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48,465,399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73,219,138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63,098,179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15,479,873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7,061,896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2017 and prior</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15,218,084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222,542,569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Net Premium Rate</w:t>
      </w:r>
    </w:p>
    <w:p>
      <w:pPr>
        <w:spacing w:after="0" w:line="225" w:lineRule="exact"/>
        <w:rPr>
          <w:sz w:val="20"/>
          <w:szCs w:val="20"/>
          <w:color w:val="auto"/>
        </w:rPr>
      </w:pPr>
    </w:p>
    <w:p>
      <w:pPr>
        <w:jc w:val="both"/>
        <w:ind w:right="300" w:firstLine="648"/>
        <w:spacing w:after="0" w:line="287" w:lineRule="auto"/>
        <w:rPr>
          <w:sz w:val="20"/>
          <w:szCs w:val="20"/>
          <w:color w:val="auto"/>
        </w:rPr>
      </w:pPr>
      <w:r>
        <w:rPr>
          <w:rFonts w:ascii="Arial" w:cs="Arial" w:eastAsia="Arial" w:hAnsi="Arial"/>
          <w:sz w:val="16"/>
          <w:szCs w:val="16"/>
          <w:color w:val="auto"/>
        </w:rPr>
        <w:t>Our average net premium rate is calculated by dividing net premiums earned for the U.S. mortgage insurance portfolio by average insurance in force for the period and is dependent on a number of factors, including: (1) changes in our base premium rate due to the risk characteristics and average coverage on the mortgages we insure, the mix of monthly premiums compared to single premiums in our portfolio, and changes to our pricing for NIW;</w:t>
      </w:r>
    </w:p>
    <w:p>
      <w:pPr>
        <w:spacing w:after="0" w:line="2" w:lineRule="exact"/>
        <w:rPr>
          <w:sz w:val="20"/>
          <w:szCs w:val="20"/>
          <w:color w:val="auto"/>
        </w:rPr>
      </w:pPr>
    </w:p>
    <w:p>
      <w:pPr>
        <w:ind w:right="120" w:firstLine="8"/>
        <w:spacing w:after="0" w:line="260"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cancellations of non-refundable single premiums during the period; (3) premiums ceded under third-party reinsurance agreements. The following table presents the average net premium rate for our U.S. mortgage insurance portfolio:</w:t>
      </w:r>
    </w:p>
    <w:p>
      <w:pPr>
        <w:sectPr>
          <w:pgSz w:w="11900" w:h="16838" w:orient="portrait"/>
          <w:cols w:equalWidth="0" w:num="1">
            <w:col w:w="11240"/>
          </w:cols>
          <w:pgMar w:left="320" w:top="125" w:right="339" w:bottom="1440" w:gutter="0" w:footer="0" w:header="0"/>
        </w:sectPr>
      </w:pPr>
    </w:p>
    <w:p>
      <w:pPr>
        <w:spacing w:after="0" w:line="244" w:lineRule="exact"/>
        <w:rPr>
          <w:sz w:val="20"/>
          <w:szCs w:val="20"/>
          <w:color w:val="auto"/>
        </w:rPr>
      </w:pPr>
    </w:p>
    <w:p>
      <w:pPr>
        <w:jc w:val="center"/>
        <w:ind w:left="506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39370</wp:posOffset>
            </wp:positionV>
            <wp:extent cx="19716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7" w:lineRule="exact"/>
        <w:rPr>
          <w:sz w:val="20"/>
          <w:szCs w:val="20"/>
          <w:color w:val="auto"/>
        </w:rPr>
      </w:pPr>
    </w:p>
    <w:p>
      <w:pPr>
        <w:ind w:left="5520"/>
        <w:spacing w:after="0"/>
        <w:tabs>
          <w:tab w:leader="none" w:pos="71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48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39370</wp:posOffset>
            </wp:positionV>
            <wp:extent cx="19799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47" w:lineRule="exact"/>
        <w:rPr>
          <w:sz w:val="20"/>
          <w:szCs w:val="20"/>
          <w:color w:val="auto"/>
        </w:rPr>
      </w:pPr>
    </w:p>
    <w:p>
      <w:pPr>
        <w:ind w:left="140"/>
        <w:spacing w:after="0"/>
        <w:tabs>
          <w:tab w:leader="none" w:pos="17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31" w:lineRule="exact"/>
        <w:rPr>
          <w:sz w:val="20"/>
          <w:szCs w:val="20"/>
          <w:color w:val="auto"/>
        </w:rPr>
      </w:pPr>
    </w:p>
    <w:p>
      <w:pPr>
        <w:sectPr>
          <w:pgSz w:w="11900" w:h="16838" w:orient="portrait"/>
          <w:cols w:equalWidth="0" w:num="2">
            <w:col w:w="7880" w:space="720"/>
            <w:col w:w="26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Base average premium rate</w:t>
            </w:r>
          </w:p>
        </w:tc>
        <w:tc>
          <w:tcPr>
            <w:tcW w:w="10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2"/>
              </w:rPr>
              <w:t>0.40 %</w:t>
            </w:r>
          </w:p>
        </w:tc>
        <w:tc>
          <w:tcPr>
            <w:tcW w:w="10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9"/>
              </w:rPr>
              <w:t>0.42 %</w:t>
            </w:r>
          </w:p>
        </w:tc>
        <w:tc>
          <w:tcPr>
            <w:tcW w:w="10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2"/>
              </w:rPr>
              <w:t>0.41 %</w:t>
            </w:r>
          </w:p>
        </w:tc>
        <w:tc>
          <w:tcPr>
            <w:tcW w:w="8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2"/>
              </w:rPr>
              <w:t>0.44 %</w:t>
            </w:r>
          </w:p>
        </w:tc>
      </w:tr>
      <w:tr>
        <w:trPr>
          <w:trHeight w:val="229"/>
        </w:trPr>
        <w:tc>
          <w:tcPr>
            <w:tcW w:w="4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Single premium cancellations</w:t>
            </w:r>
          </w:p>
        </w:tc>
        <w:tc>
          <w:tcPr>
            <w:tcW w:w="15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0.01</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0.03</w:t>
            </w:r>
          </w:p>
        </w:tc>
      </w:tr>
      <w:tr>
        <w:trPr>
          <w:trHeight w:val="223"/>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average premium rate</w:t>
            </w:r>
          </w:p>
        </w:tc>
        <w:tc>
          <w:tcPr>
            <w:tcW w:w="15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0.42</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0.47</w:t>
            </w:r>
          </w:p>
        </w:tc>
      </w:tr>
      <w:tr>
        <w:trPr>
          <w:trHeight w:val="229"/>
        </w:trPr>
        <w:tc>
          <w:tcPr>
            <w:tcW w:w="4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Ceded premiums</w:t>
            </w:r>
          </w:p>
        </w:tc>
        <w:tc>
          <w:tcPr>
            <w:tcW w:w="15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(0.05)</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(0.06)</w:t>
            </w:r>
          </w:p>
        </w:tc>
      </w:tr>
      <w:tr>
        <w:trPr>
          <w:trHeight w:val="248"/>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average premium rate</w:t>
            </w:r>
          </w:p>
        </w:tc>
        <w:tc>
          <w:tcPr>
            <w:tcW w:w="15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2"/>
              </w:rPr>
              <w:t>0.35 %</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9"/>
              </w:rPr>
              <w:t>0.40 %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2"/>
              </w:rPr>
              <w:t>0.37 %</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2"/>
              </w:rPr>
              <w:t>0.41 %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anticipate that the continued use of third-party reinsurance along with changes to the level of future cancellations of non-refundable single premium policies and mix of IIF will reduce our average net premium rate in future periods.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57"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As of September 30, 2022, our combined net risk in force for our U.S. insurance companies was $31.7 billion and our combined statutory capital was $3.1 billion, resulting in a risk-to-capital ratio of 10.1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Summary of Operations</w:t>
            </w: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5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Net premiums written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209,230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202,348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619,303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608,996</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Decrease (increase) in unearned premiums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46,226</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Net premiums earned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207,934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218,718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635,275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655,222</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65,104</w:t>
            </w: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Realized investment (losses) gains,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other invested 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41,389</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261,767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770,787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771,594</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Losses and expenses: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(Benefit) provision for losses and LAE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(178,805)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34,490</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underwriting and operating expenses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125,625</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losses and expenses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50,846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166,302</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210,921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246,684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815,191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605,292</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104,496</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178,051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205,353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683,987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500,796</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2022 Compared to the Three and Nine Months Ended September 30, 2021</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For the three months ended September 30, 2022, we reported net income of $178.1 million, compared to net income of $205.4 million for the three months ended September 30, 2021. For the nine months ended September 30, 2022, we reported net income of $684.0 million, compared to net income of $500.8 million for the nine months ended September 30, 2021. The decrease in our operating results for the three months ended September 30, 2022 compared to the three months ended September 30, 2021 is primarily due to a decrease in net premiums earned and income from other invested assets, an increase in the provision for losses and LAE and interest expense, partially offset by an increase in net investment income and a decrease in income tax expense. The increase in our operating results for the nine months ended September 30, 2022 compared to the nine months ended September 30, 2021 was primarily due to a decrease in the provision for losses and LAE, and increases in net investment income and other income partially offset by a decreases in net premium earned and realized investment gains and an increase in income tax expense.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Net premiums earned decreased in the three and nine months ended September 30, 2022 by 5% and 3%, respectively, compared to the three and nine months ended September 30, 2021 primarily due a decrease in our average net premium rate, partially offset by an increase in our average IIF. The average net premium rate was 0.35% and 0.40% for the three months ended September 30, 2022 and 2021, respectively and 0.37% and 0.41% for the nine months ended September 30, 2022 and 2021, respectively. See "—Key Performance Indicators—Average Net Premium Rate" above. In the three and nine months ended September 30, 2022, premiums earned on the cancellation of non-refundable single premium policies decreased to $4.0 million and $18.3 million, respectively, from $14.0 million and $49.5 million in the three and nine months ended September 30, 2021, respectively, as a result of a decrease in existing borrowers refinancing their mortgages during 2022 as compared to 2021. In the three months ended September 30, 2022 ceded premiums increased to $30.5 million from $26.9 million for the same period of 2021 primarily due to new third-party reinsurance agreements entered in 2022 and an increase in loss reserves ceded under our QSR Agreements that increased ceded premium. In the nine months ended September 30, 2022 ceded premiums decreased to $73.4 million from $84.4 million, for the same period of 2021 primarily due to a reduction in loss reserves ceded under our QSR Agreements that reduced ceded premium.</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Net premiums written increased by 3% and 2% in the three and nine months ended September 30, 2022, respectively, compared to the three and nine months ended September 30, 2021 primarily due to an increase in average IIF in the respective periods and a decrease in premiums ceded under third-party reinsurance agreements partially offset by changes in the mix of mortgages we insure and changes in our pricing.</w:t>
      </w:r>
    </w:p>
    <w:p>
      <w:pPr>
        <w:spacing w:after="0" w:line="19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the three months ended September 30, 2022 and 2021, unearned premiums increased by $1.3 million and decreased $16.4 million, respectively. The change in unearned premiums was a result of net premiums written on single premium policies of $16.1 million and $8.8 million, respectively, which was offset by $14.8 million and $25.2 million, respectively, of unearned premium that was recognized in earnings during the periods. In the nine months ended September 30, 2022 and 2021, unearned premiums decreased by $16.0 million and $46.2 million, respectively. This was a result of net premiums written on single premium policies of $34.5 million and $39.6 million, respectively, which was offset by $50.5 million and $85.8 million, respectively, of unearned premium that was recognized in earnings during the periods.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 and Realized Investment Gains (Losses)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8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91,245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69,037</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69,195</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65,104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changes in net investment income for the three and nine months ended September 30, 2022 as compared to the same periods in 2021 was due to an increase in the pre-tax investment income yield as well as the increase in the weighted average balance of our investment portfolio. The average cash and investment portfolio balance increased to $5.1 billion and $5.0 billion for the three and nine months ended September 30, 2022, respectively, from $4.8 billion and $4.7 billion for the three and nine months ended September 30, 2021, respectively. The increase in the average cash and investment portfolio was primarily due to investing cash flows from operations. The pre-tax investment income yield increased from 1.9% in the three and nine months ended September 30, 2021, to 2.7% and 2.5% in the three and nine months ended September 30, 2022, respectively, primarily due to a general increase in investment yields due to increasing interest rates partially offset by an increase in premium amortization on mortgage-backed and asset-backed securities. The pre-tax investment income yields are calculated based on amortized cost and exclude investment expenses. See “— Liquidity and Capital Resources” for further details of our investment portfolio.</w:t>
      </w:r>
    </w:p>
    <w:p>
      <w:pPr>
        <w:spacing w:after="0" w:line="20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Realized investment gains (losses) for the each of the three months ended September 30, 2022 and 2021 was a net gain of $0.2 million. Realized investment gains (losses) for the nine months ended September 30, 2022 was a net loss of $7.6 million as compared to a net gain of $0.6 million for the nine months ended September 30, 2021. Included in the results for the three and nine months ended September 30, 2022 are impairments of $0.1 million and $7.4 million, respectively, due to our intent to sell certain securities in an unrealized loss position.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from Other Invested Assets</w:t>
      </w:r>
    </w:p>
    <w:p>
      <w:pPr>
        <w:spacing w:after="0" w:line="252"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Income from other invested assets for the three months ended September 30, 2022 was $9.6 million as compared to $40.7 million for the three months ended September 30, 2021. Income from other invested assets for the nine months ended September 30, 2022 was $36.3 million as compared to $41.4 million for the nine months ended September 30, 2021.</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Through June 30, 2021, unrealized gains and losses reported by these entities were included in other comprehensive income (“OCI”). Subsequent to June 30, 2021, management concluded that unrealized gains and losses on these investments should be reflected in earnings rather than OCI. Income from other invested assets for the three and nine months ended September 30, 2022, includes $9.9 million and $22.5 million of net unrealized gains, respectively.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Other income for the three and nine months ended September 30, 2022 was $11.4 million and $20.3 million, respectively, as compared to $2.3 million and $9.3 million for the three and nine months ended September 30, 2021, respectively. The increases in other income for the three and nine months ended September 30, 2022 as compared to the same periods in 2021 were primarily due to favorable increases in the fair value of the embedded derivatives as well as increases in underwriting consulting services to third-party reinsurers, partially offset by lower Triad service fees and contract underwriting revenues. In the three months ended September 30, 2022, we recorded a favorable increase in the fair value of these embedded derivatives of $5.2 million compared to an unfavorable decrease in the fair value of the embedded derivatives of $1.5 million in the three months ended September 30, 2021. In the nine months ended September 30, 2022 we recorded a net favorable increase in the fair value of the embedded derivatives of $4.0 million compared to a net unfavorable decrease of $1.1 million in the nine months ended September 30, 2021.</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provision for losses and LAE in the three months ended September 30, 2022 was $4.3 million primarily due an increase in the average reserve per default and new default activity in the quarter, partially offset by cure activity in the quarter. The increase in reserve per default in the three months ended September 30, 2022 was due to level of defaults that have missed twelve or more payments, which has remained above pre-pandemic levels as a result of foreclosure and claim activity that has not returned to pre-pandemic levels, and the impact of the current economic environment on these defaults. The provision for losses and LAE in the three months ended September 30, 2021 was a benefit of $7.5 million primarily due to a decrease in new defaults reported and cure activity for defaults with reserves using our normal reserve methodology.</w:t>
      </w:r>
    </w:p>
    <w:p>
      <w:pPr>
        <w:spacing w:after="0" w:line="20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The decrease in the provision for losses and LAE in the nine months ended September 30, 2022 as compared to the same period in 2021 was primarily due to a decrease in the estimate of ultimate loss for Early COVID Defaults as well as cure activity for defaults with reserves using our normal reserve methodology in the nine months ended September 30, 2022 as compared to the comparable period of 2021.</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a rollforward of insured loans in default for our U.S. mortgage insurance portfolio for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980" w:type="dxa"/>
            <w:vAlign w:val="bottom"/>
            <w:gridSpan w:val="3"/>
          </w:tcPr>
          <w:p>
            <w:pPr>
              <w:jc w:val="right"/>
              <w:ind w:right="333"/>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60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default inventory</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12,707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31,469</w:t>
            </w:r>
          </w:p>
        </w:tc>
      </w:tr>
      <w:tr>
        <w:trPr>
          <w:trHeight w:val="230"/>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Plus: new defaults</w:t>
            </w:r>
          </w:p>
        </w:tc>
        <w:tc>
          <w:tcPr>
            <w:tcW w:w="560" w:type="dxa"/>
            <w:vAlign w:val="bottom"/>
          </w:tcPr>
          <w:p>
            <w:pPr>
              <w:jc w:val="right"/>
              <w:spacing w:after="0"/>
              <w:rPr>
                <w:sz w:val="20"/>
                <w:szCs w:val="20"/>
                <w:color w:val="auto"/>
              </w:rPr>
            </w:pPr>
            <w:r>
              <w:rPr>
                <w:rFonts w:ascii="Arial" w:cs="Arial" w:eastAsia="Arial" w:hAnsi="Arial"/>
                <w:sz w:val="18"/>
                <w:szCs w:val="18"/>
                <w:color w:val="auto"/>
              </w:rPr>
              <w:t>6,448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5,132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18,131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17,488</w:t>
            </w:r>
          </w:p>
        </w:tc>
      </w:tr>
      <w:tr>
        <w:trPr>
          <w:trHeight w:val="229"/>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(6,642)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(29,052)</w:t>
            </w:r>
          </w:p>
        </w:tc>
      </w:tr>
      <w:tr>
        <w:trPr>
          <w:trHeight w:val="230"/>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Less: claims paid</w:t>
            </w: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rescissions and denials,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Ending default inventory</w:t>
            </w:r>
          </w:p>
        </w:tc>
        <w:tc>
          <w:tcPr>
            <w:tcW w:w="8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12,435</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19,721</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12,435</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19,721</w:t>
            </w:r>
          </w:p>
        </w:tc>
      </w:tr>
      <w:tr>
        <w:trPr>
          <w:trHeight w:val="20"/>
        </w:trPr>
        <w:tc>
          <w:tcPr>
            <w:tcW w:w="5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additional information about our loans in default as of the dates indicated for our U.S. mortgage insurance portfolio:</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September 30,</w:t>
            </w:r>
          </w:p>
        </w:tc>
        <w:tc>
          <w:tcPr>
            <w:tcW w:w="1020" w:type="dxa"/>
            <w:vAlign w:val="bottom"/>
          </w:tcPr>
          <w:p>
            <w:pPr>
              <w:spacing w:after="0"/>
              <w:rPr>
                <w:sz w:val="16"/>
                <w:szCs w:val="16"/>
                <w:color w:val="auto"/>
              </w:rPr>
            </w:pPr>
          </w:p>
        </w:tc>
      </w:tr>
      <w:tr>
        <w:trPr>
          <w:trHeight w:val="25"/>
        </w:trPr>
        <w:tc>
          <w:tcPr>
            <w:tcW w:w="7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Case reserves (in thousands) </w:t>
            </w:r>
            <w:r>
              <w:rPr>
                <w:rFonts w:ascii="Arial" w:cs="Arial" w:eastAsia="Arial" w:hAnsi="Arial"/>
                <w:sz w:val="18"/>
                <w:szCs w:val="18"/>
                <w:b w:val="1"/>
                <w:bCs w:val="1"/>
                <w:color w:val="auto"/>
              </w:rPr>
              <w:t>(1)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195,839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380,036</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 xml:space="preserve">Total reserves (in thousands) </w:t>
            </w:r>
            <w:r>
              <w:rPr>
                <w:rFonts w:ascii="Arial" w:cs="Arial" w:eastAsia="Arial" w:hAnsi="Arial"/>
                <w:sz w:val="18"/>
                <w:szCs w:val="18"/>
                <w:b w:val="1"/>
                <w:bCs w:val="1"/>
                <w:color w:val="auto"/>
              </w:rPr>
              <w:t>(1)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212,392</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411,567</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default inventory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12,435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19,721</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Average case reserve per default (in thousands)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19.3</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total reserve per default (in thousands)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20.9</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Default rate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1.55 %</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2.47 %</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Claims received included in ending default inventory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36" w:lineRule="exact"/>
        <w:rPr>
          <w:sz w:val="20"/>
          <w:szCs w:val="20"/>
          <w:color w:val="auto"/>
        </w:rPr>
      </w:pPr>
    </w:p>
    <w:p>
      <w:pPr>
        <w:ind w:left="660" w:right="240" w:hanging="328"/>
        <w:spacing w:after="0" w:line="277" w:lineRule="auto"/>
        <w:tabs>
          <w:tab w:leader="none" w:pos="6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$0.1 million and $1.4 million as of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 of March 31, 2022, the defaulted loans reported to us in the second and third quarters of 2020 had reached the end of their forbearance periods. During the first quarter of 2022, the Early COVID Defaults cured at elevated levels, and the cumulative cure rate for the Early COVID Defaults at March 31, 2022 exceeded our initial estimated cure rate implied by our 7% estimate of ultimate loss for these defaults. Based on cure activity through March 31, 2022 and our expectations for future cure activity, we lowered our estimate of ultimate loss for the Early COVID Defaults from 7% to 4% of the initial risk in force. During the three months ended June 30, 2022, Early COVID Defaults cured at levels that exceeded our estimate as of March 31, 2022, and we further lowered our estimate of loss for these defaults as of June 30, 2022 to 2% of the initial risk in force. These revisions to our estimate of ultimate loss for the Early COVID Defaults resulted in a benefit recorded to the provision for losses of $164.1 million for the nine months ended September 30, 2022. As of September 30, 2022, approximately 98% of the Early COVID Defaults had cured. Due to the level of Early COVID Defaults remaining in the default inventory, as of September 30, 2022, we resumed reserving for the Early COVID Defaults using our normal reserve methodology.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reserve balances for losses and LAE: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4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Reserve for losses and LAE at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209,973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421,872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407,445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374,941</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Reinsurance recoverables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19,061</w:t>
            </w:r>
          </w:p>
        </w:tc>
        <w:tc>
          <w:tcPr>
            <w:tcW w:w="0" w:type="dxa"/>
            <w:vAlign w:val="bottom"/>
          </w:tcPr>
          <w:p>
            <w:pPr>
              <w:spacing w:after="0"/>
              <w:rPr>
                <w:sz w:val="1"/>
                <w:szCs w:val="1"/>
                <w:color w:val="auto"/>
              </w:rPr>
            </w:pPr>
          </w:p>
        </w:tc>
      </w:tr>
      <w:tr>
        <w:trPr>
          <w:trHeight w:val="223"/>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reserve for losses and LAE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394,586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381,505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355,880</w:t>
            </w:r>
          </w:p>
        </w:tc>
        <w:tc>
          <w:tcPr>
            <w:tcW w:w="0" w:type="dxa"/>
            <w:vAlign w:val="bottom"/>
          </w:tcPr>
          <w:p>
            <w:pPr>
              <w:spacing w:after="0"/>
              <w:rPr>
                <w:sz w:val="1"/>
                <w:szCs w:val="1"/>
                <w:color w:val="auto"/>
              </w:rPr>
            </w:pPr>
          </w:p>
        </w:tc>
      </w:tr>
      <w:tr>
        <w:trPr>
          <w:trHeight w:val="209"/>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Add provision for losses and LAE occurring in:</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period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83,973</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(242,041)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(49,483)</w:t>
            </w:r>
          </w:p>
        </w:tc>
        <w:tc>
          <w:tcPr>
            <w:tcW w:w="0" w:type="dxa"/>
            <w:vAlign w:val="bottom"/>
          </w:tcPr>
          <w:p>
            <w:pPr>
              <w:spacing w:after="0"/>
              <w:rPr>
                <w:sz w:val="1"/>
                <w:szCs w:val="1"/>
                <w:color w:val="auto"/>
              </w:rPr>
            </w:pPr>
          </w:p>
        </w:tc>
      </w:tr>
      <w:tr>
        <w:trPr>
          <w:trHeight w:val="223"/>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Incurred losses and LAE during the current period</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(178,805)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34,490</w:t>
            </w:r>
          </w:p>
        </w:tc>
        <w:tc>
          <w:tcPr>
            <w:tcW w:w="0" w:type="dxa"/>
            <w:vAlign w:val="bottom"/>
          </w:tcPr>
          <w:p>
            <w:pPr>
              <w:spacing w:after="0"/>
              <w:rPr>
                <w:sz w:val="1"/>
                <w:szCs w:val="1"/>
                <w:color w:val="auto"/>
              </w:rPr>
            </w:pP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Deduct payments for losses and LAE occurring in:</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period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23"/>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and LAE payments during the current period</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23"/>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Net reserve for losses and LAE at end of period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199,250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385,986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199,250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385,986</w:t>
            </w: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Plus: Reinsurance recoverables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26,970</w:t>
            </w:r>
          </w:p>
        </w:tc>
        <w:tc>
          <w:tcPr>
            <w:tcW w:w="0" w:type="dxa"/>
            <w:vAlign w:val="bottom"/>
          </w:tcPr>
          <w:p>
            <w:pPr>
              <w:spacing w:after="0"/>
              <w:rPr>
                <w:sz w:val="1"/>
                <w:szCs w:val="1"/>
                <w:color w:val="auto"/>
              </w:rPr>
            </w:pPr>
          </w:p>
        </w:tc>
      </w:tr>
      <w:tr>
        <w:trPr>
          <w:trHeight w:val="223"/>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Reserve for losses and LAE at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212,494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412,956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212,494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412,956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tables provide a detail of reserves and defaulted RIF by the number of missed payments and pending claims for our U.S. mortgage insurance portfolio:</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4"/>
          </w:tcPr>
          <w:p>
            <w:pPr>
              <w:ind w:left="340"/>
              <w:spacing w:after="0"/>
              <w:rPr>
                <w:sz w:val="20"/>
                <w:szCs w:val="20"/>
                <w:color w:val="auto"/>
              </w:rPr>
            </w:pPr>
            <w:r>
              <w:rPr>
                <w:rFonts w:ascii="Arial" w:cs="Arial" w:eastAsia="Arial" w:hAnsi="Arial"/>
                <w:sz w:val="14"/>
                <w:szCs w:val="14"/>
                <w:b w:val="1"/>
                <w:bCs w:val="1"/>
                <w:color w:val="auto"/>
              </w:rPr>
              <w:t>As of September 30, 2022</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Number of</w:t>
            </w:r>
          </w:p>
        </w:tc>
        <w:tc>
          <w:tcPr>
            <w:tcW w:w="14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8"/>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00" w:type="dxa"/>
            <w:vAlign w:val="bottom"/>
          </w:tcPr>
          <w:p>
            <w:pPr>
              <w:spacing w:after="0"/>
              <w:rPr>
                <w:sz w:val="11"/>
                <w:szCs w:val="11"/>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1"/>
                <w:szCs w:val="11"/>
                <w:color w:val="auto"/>
              </w:rPr>
            </w:pPr>
          </w:p>
        </w:tc>
        <w:tc>
          <w:tcPr>
            <w:tcW w:w="9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Defaulted</w:t>
            </w:r>
          </w:p>
        </w:tc>
        <w:tc>
          <w:tcPr>
            <w:tcW w:w="100" w:type="dxa"/>
            <w:vAlign w:val="bottom"/>
          </w:tcPr>
          <w:p>
            <w:pPr>
              <w:spacing w:after="0"/>
              <w:rPr>
                <w:sz w:val="11"/>
                <w:szCs w:val="11"/>
                <w:color w:val="auto"/>
              </w:rPr>
            </w:pPr>
          </w:p>
        </w:tc>
        <w:tc>
          <w:tcPr>
            <w:tcW w:w="13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Reserves as a</w:t>
            </w:r>
          </w:p>
        </w:tc>
        <w:tc>
          <w:tcPr>
            <w:tcW w:w="0" w:type="dxa"/>
            <w:vAlign w:val="bottom"/>
          </w:tcPr>
          <w:p>
            <w:pPr>
              <w:spacing w:after="0"/>
              <w:rPr>
                <w:sz w:val="1"/>
                <w:szCs w:val="1"/>
                <w:color w:val="auto"/>
              </w:rPr>
            </w:pPr>
          </w:p>
        </w:tc>
      </w:tr>
      <w:tr>
        <w:trPr>
          <w:trHeight w:val="144"/>
        </w:trPr>
        <w:tc>
          <w:tcPr>
            <w:tcW w:w="3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1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Policies in</w:t>
            </w:r>
          </w:p>
        </w:tc>
        <w:tc>
          <w:tcPr>
            <w:tcW w:w="14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Policies in</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97"/>
        </w:trPr>
        <w:tc>
          <w:tcPr>
            <w:tcW w:w="3400" w:type="dxa"/>
            <w:vAlign w:val="bottom"/>
            <w:gridSpan w:val="3"/>
            <w:vMerge w:val="continue"/>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Default</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Default</w:t>
            </w:r>
          </w:p>
        </w:tc>
        <w:tc>
          <w:tcPr>
            <w:tcW w:w="140" w:type="dxa"/>
            <w:vAlign w:val="bottom"/>
          </w:tcPr>
          <w:p>
            <w:pPr>
              <w:spacing w:after="0"/>
              <w:rPr>
                <w:sz w:val="17"/>
                <w:szCs w:val="17"/>
                <w:color w:val="auto"/>
              </w:rPr>
            </w:pPr>
          </w:p>
        </w:tc>
        <w:tc>
          <w:tcPr>
            <w:tcW w:w="880" w:type="dxa"/>
            <w:vAlign w:val="bottom"/>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Reserves</w:t>
            </w:r>
          </w:p>
        </w:tc>
        <w:tc>
          <w:tcPr>
            <w:tcW w:w="180" w:type="dxa"/>
            <w:vAlign w:val="bottom"/>
          </w:tcPr>
          <w:p>
            <w:pPr>
              <w:spacing w:after="0"/>
              <w:rPr>
                <w:sz w:val="17"/>
                <w:szCs w:val="17"/>
                <w:color w:val="auto"/>
              </w:rPr>
            </w:pPr>
          </w:p>
        </w:tc>
        <w:tc>
          <w:tcPr>
            <w:tcW w:w="920" w:type="dxa"/>
            <w:vAlign w:val="bottom"/>
          </w:tcPr>
          <w:p>
            <w:pPr>
              <w:jc w:val="right"/>
              <w:ind w:right="335"/>
              <w:spacing w:after="0"/>
              <w:rPr>
                <w:sz w:val="20"/>
                <w:szCs w:val="20"/>
                <w:color w:val="auto"/>
              </w:rPr>
            </w:pPr>
            <w:r>
              <w:rPr>
                <w:rFonts w:ascii="Arial" w:cs="Arial" w:eastAsia="Arial" w:hAnsi="Arial"/>
                <w:sz w:val="14"/>
                <w:szCs w:val="14"/>
                <w:b w:val="1"/>
                <w:bCs w:val="1"/>
                <w:color w:val="auto"/>
              </w:rPr>
              <w:t>RIF</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9"/>
              </w:rPr>
              <w:t>Defaulted RIF</w:t>
            </w:r>
          </w:p>
        </w:tc>
        <w:tc>
          <w:tcPr>
            <w:tcW w:w="0" w:type="dxa"/>
            <w:vAlign w:val="bottom"/>
          </w:tcPr>
          <w:p>
            <w:pPr>
              <w:spacing w:after="0"/>
              <w:rPr>
                <w:sz w:val="1"/>
                <w:szCs w:val="1"/>
                <w:color w:val="auto"/>
              </w:rPr>
            </w:pPr>
          </w:p>
        </w:tc>
      </w:tr>
      <w:tr>
        <w:trPr>
          <w:trHeight w:val="229"/>
        </w:trPr>
        <w:tc>
          <w:tcPr>
            <w:tcW w:w="32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Missed payments: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ind w:left="140"/>
              <w:spacing w:after="0"/>
              <w:rPr>
                <w:sz w:val="20"/>
                <w:szCs w:val="20"/>
                <w:color w:val="auto"/>
              </w:rPr>
            </w:pPr>
            <w:r>
              <w:rPr>
                <w:rFonts w:ascii="Arial" w:cs="Arial" w:eastAsia="Arial" w:hAnsi="Arial"/>
                <w:sz w:val="18"/>
                <w:szCs w:val="18"/>
                <w:color w:val="auto"/>
              </w:rPr>
              <w:t>Three payments or less</w:t>
            </w:r>
          </w:p>
        </w:tc>
        <w:tc>
          <w:tcPr>
            <w:tcW w:w="1080" w:type="dxa"/>
            <w:vAlign w:val="bottom"/>
          </w:tcPr>
          <w:p>
            <w:pPr>
              <w:jc w:val="right"/>
              <w:spacing w:after="0"/>
              <w:rPr>
                <w:sz w:val="20"/>
                <w:szCs w:val="20"/>
                <w:color w:val="auto"/>
              </w:rPr>
            </w:pPr>
            <w:r>
              <w:rPr>
                <w:rFonts w:ascii="Arial" w:cs="Arial" w:eastAsia="Arial" w:hAnsi="Arial"/>
                <w:sz w:val="18"/>
                <w:szCs w:val="18"/>
                <w:color w:val="auto"/>
              </w:rPr>
              <w:t>4,971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22,279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313,531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Four to eleven payments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55,431</w:t>
            </w:r>
          </w:p>
        </w:tc>
        <w:tc>
          <w:tcPr>
            <w:tcW w:w="1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292,644</w:t>
            </w:r>
          </w:p>
        </w:tc>
        <w:tc>
          <w:tcPr>
            <w:tcW w:w="1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400" w:type="dxa"/>
            <w:vAlign w:val="bottom"/>
            <w:gridSpan w:val="3"/>
          </w:tcPr>
          <w:p>
            <w:pPr>
              <w:ind w:left="140"/>
              <w:spacing w:after="0"/>
              <w:rPr>
                <w:sz w:val="20"/>
                <w:szCs w:val="20"/>
                <w:color w:val="auto"/>
              </w:rPr>
            </w:pPr>
            <w:r>
              <w:rPr>
                <w:rFonts w:ascii="Arial" w:cs="Arial" w:eastAsia="Arial" w:hAnsi="Arial"/>
                <w:sz w:val="18"/>
                <w:szCs w:val="18"/>
                <w:color w:val="auto"/>
              </w:rPr>
              <w:t>Twelve or more payments</w:t>
            </w:r>
          </w:p>
        </w:tc>
        <w:tc>
          <w:tcPr>
            <w:tcW w:w="1080" w:type="dxa"/>
            <w:vAlign w:val="bottom"/>
          </w:tcPr>
          <w:p>
            <w:pPr>
              <w:jc w:val="right"/>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114,250</w:t>
            </w:r>
          </w:p>
        </w:tc>
        <w:tc>
          <w:tcPr>
            <w:tcW w:w="1460" w:type="dxa"/>
            <w:vAlign w:val="bottom"/>
            <w:gridSpan w:val="2"/>
          </w:tcPr>
          <w:p>
            <w:pPr>
              <w:jc w:val="right"/>
              <w:ind w:right="14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174,589</w:t>
            </w:r>
          </w:p>
        </w:tc>
        <w:tc>
          <w:tcPr>
            <w:tcW w:w="1480" w:type="dxa"/>
            <w:vAlign w:val="bottom"/>
            <w:gridSpan w:val="2"/>
          </w:tcPr>
          <w:p>
            <w:pPr>
              <w:jc w:val="right"/>
              <w:ind w:right="148"/>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3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Pending claims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3400" w:type="dxa"/>
            <w:vAlign w:val="bottom"/>
            <w:gridSpan w:val="3"/>
          </w:tcPr>
          <w:p>
            <w:pPr>
              <w:ind w:left="220"/>
              <w:spacing w:after="0"/>
              <w:rPr>
                <w:sz w:val="20"/>
                <w:szCs w:val="20"/>
                <w:color w:val="auto"/>
              </w:rPr>
            </w:pPr>
            <w:r>
              <w:rPr>
                <w:rFonts w:ascii="Arial" w:cs="Arial" w:eastAsia="Arial" w:hAnsi="Arial"/>
                <w:sz w:val="18"/>
                <w:szCs w:val="18"/>
                <w:color w:val="auto"/>
              </w:rPr>
              <w:t xml:space="preserve">Total case reserves </w:t>
            </w:r>
            <w:r>
              <w:rPr>
                <w:rFonts w:ascii="Arial" w:cs="Arial" w:eastAsia="Arial" w:hAnsi="Arial"/>
                <w:sz w:val="18"/>
                <w:szCs w:val="18"/>
                <w:b w:val="1"/>
                <w:bCs w:val="1"/>
                <w:color w:val="auto"/>
              </w:rPr>
              <w:t>(1)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12,435</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195,839</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785,375</w:t>
            </w:r>
          </w:p>
        </w:tc>
        <w:tc>
          <w:tcPr>
            <w:tcW w:w="1480" w:type="dxa"/>
            <w:vAlign w:val="bottom"/>
            <w:gridSpan w:val="2"/>
          </w:tcPr>
          <w:p>
            <w:pPr>
              <w:jc w:val="right"/>
              <w:ind w:right="14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IBNR</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14,688</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LAE</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Total reserves for losses and LAE </w:t>
            </w:r>
            <w:r>
              <w:rPr>
                <w:rFonts w:ascii="Arial" w:cs="Arial" w:eastAsia="Arial" w:hAnsi="Arial"/>
                <w:sz w:val="18"/>
                <w:szCs w:val="18"/>
                <w:b w:val="1"/>
                <w:bCs w:val="1"/>
                <w:color w:val="auto"/>
              </w:rPr>
              <w:t>(1)</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212,392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520" w:hanging="328"/>
        <w:spacing w:after="0" w:line="277" w:lineRule="auto"/>
        <w:tabs>
          <w:tab w:leader="none" w:pos="6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$0.1 million as of September 30, 2022.</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4"/>
          </w:tcPr>
          <w:p>
            <w:pPr>
              <w:ind w:left="360"/>
              <w:spacing w:after="0"/>
              <w:rPr>
                <w:sz w:val="20"/>
                <w:szCs w:val="20"/>
                <w:color w:val="auto"/>
              </w:rPr>
            </w:pPr>
            <w:r>
              <w:rPr>
                <w:rFonts w:ascii="Arial" w:cs="Arial" w:eastAsia="Arial" w:hAnsi="Arial"/>
                <w:sz w:val="14"/>
                <w:szCs w:val="14"/>
                <w:b w:val="1"/>
                <w:bCs w:val="1"/>
                <w:color w:val="auto"/>
              </w:rPr>
              <w:t>As of September 30, 2021</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Number of</w:t>
            </w:r>
          </w:p>
        </w:tc>
        <w:tc>
          <w:tcPr>
            <w:tcW w:w="14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20" w:type="dxa"/>
            <w:vAlign w:val="bottom"/>
          </w:tcPr>
          <w:p>
            <w:pPr>
              <w:spacing w:after="0"/>
              <w:rPr>
                <w:sz w:val="11"/>
                <w:szCs w:val="11"/>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Percentage of</w:t>
            </w:r>
          </w:p>
        </w:tc>
        <w:tc>
          <w:tcPr>
            <w:tcW w:w="180" w:type="dxa"/>
            <w:vAlign w:val="bottom"/>
          </w:tcPr>
          <w:p>
            <w:pPr>
              <w:spacing w:after="0"/>
              <w:rPr>
                <w:sz w:val="11"/>
                <w:szCs w:val="11"/>
                <w:color w:val="auto"/>
              </w:rPr>
            </w:pPr>
          </w:p>
        </w:tc>
        <w:tc>
          <w:tcPr>
            <w:tcW w:w="9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00" w:type="dxa"/>
            <w:vAlign w:val="bottom"/>
          </w:tcPr>
          <w:p>
            <w:pPr>
              <w:spacing w:after="0"/>
              <w:rPr>
                <w:sz w:val="11"/>
                <w:szCs w:val="11"/>
                <w:color w:val="auto"/>
              </w:rPr>
            </w:pPr>
          </w:p>
        </w:tc>
        <w:tc>
          <w:tcPr>
            <w:tcW w:w="13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Reserves as a</w:t>
            </w:r>
          </w:p>
        </w:tc>
        <w:tc>
          <w:tcPr>
            <w:tcW w:w="0" w:type="dxa"/>
            <w:vAlign w:val="bottom"/>
          </w:tcPr>
          <w:p>
            <w:pPr>
              <w:spacing w:after="0"/>
              <w:rPr>
                <w:sz w:val="1"/>
                <w:szCs w:val="1"/>
                <w:color w:val="auto"/>
              </w:rPr>
            </w:pPr>
          </w:p>
        </w:tc>
      </w:tr>
      <w:tr>
        <w:trPr>
          <w:trHeight w:val="144"/>
        </w:trPr>
        <w:tc>
          <w:tcPr>
            <w:tcW w:w="3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18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w w:val="89"/>
              </w:rPr>
              <w:t>Policies in</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97"/>
        </w:trPr>
        <w:tc>
          <w:tcPr>
            <w:tcW w:w="3400" w:type="dxa"/>
            <w:vAlign w:val="bottom"/>
            <w:gridSpan w:val="3"/>
            <w:vMerge w:val="continue"/>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Default</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Default</w:t>
            </w:r>
          </w:p>
        </w:tc>
        <w:tc>
          <w:tcPr>
            <w:tcW w:w="140" w:type="dxa"/>
            <w:vAlign w:val="bottom"/>
          </w:tcPr>
          <w:p>
            <w:pPr>
              <w:spacing w:after="0"/>
              <w:rPr>
                <w:sz w:val="17"/>
                <w:szCs w:val="17"/>
                <w:color w:val="auto"/>
              </w:rPr>
            </w:pPr>
          </w:p>
        </w:tc>
        <w:tc>
          <w:tcPr>
            <w:tcW w:w="880" w:type="dxa"/>
            <w:vAlign w:val="bottom"/>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Reserves</w:t>
            </w:r>
          </w:p>
        </w:tc>
        <w:tc>
          <w:tcPr>
            <w:tcW w:w="180" w:type="dxa"/>
            <w:vAlign w:val="bottom"/>
          </w:tcPr>
          <w:p>
            <w:pPr>
              <w:spacing w:after="0"/>
              <w:rPr>
                <w:sz w:val="17"/>
                <w:szCs w:val="17"/>
                <w:color w:val="auto"/>
              </w:rPr>
            </w:pPr>
          </w:p>
        </w:tc>
        <w:tc>
          <w:tcPr>
            <w:tcW w:w="920" w:type="dxa"/>
            <w:vAlign w:val="bottom"/>
          </w:tcPr>
          <w:p>
            <w:pPr>
              <w:jc w:val="right"/>
              <w:ind w:right="335"/>
              <w:spacing w:after="0"/>
              <w:rPr>
                <w:sz w:val="20"/>
                <w:szCs w:val="20"/>
                <w:color w:val="auto"/>
              </w:rPr>
            </w:pPr>
            <w:r>
              <w:rPr>
                <w:rFonts w:ascii="Arial" w:cs="Arial" w:eastAsia="Arial" w:hAnsi="Arial"/>
                <w:sz w:val="14"/>
                <w:szCs w:val="14"/>
                <w:b w:val="1"/>
                <w:bCs w:val="1"/>
                <w:color w:val="auto"/>
              </w:rPr>
              <w:t>RIF</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9"/>
              </w:rPr>
              <w:t>Defaulted RIF</w:t>
            </w:r>
          </w:p>
        </w:tc>
        <w:tc>
          <w:tcPr>
            <w:tcW w:w="0" w:type="dxa"/>
            <w:vAlign w:val="bottom"/>
          </w:tcPr>
          <w:p>
            <w:pPr>
              <w:spacing w:after="0"/>
              <w:rPr>
                <w:sz w:val="1"/>
                <w:szCs w:val="1"/>
                <w:color w:val="auto"/>
              </w:rPr>
            </w:pPr>
          </w:p>
        </w:tc>
      </w:tr>
      <w:tr>
        <w:trPr>
          <w:trHeight w:val="229"/>
        </w:trPr>
        <w:tc>
          <w:tcPr>
            <w:tcW w:w="32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Missed payments: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3"/>
          </w:tcPr>
          <w:p>
            <w:pPr>
              <w:ind w:left="140"/>
              <w:spacing w:after="0"/>
              <w:rPr>
                <w:sz w:val="20"/>
                <w:szCs w:val="20"/>
                <w:color w:val="auto"/>
              </w:rPr>
            </w:pPr>
            <w:r>
              <w:rPr>
                <w:rFonts w:ascii="Arial" w:cs="Arial" w:eastAsia="Arial" w:hAnsi="Arial"/>
                <w:sz w:val="18"/>
                <w:szCs w:val="18"/>
                <w:color w:val="auto"/>
              </w:rPr>
              <w:t>Three payments or less</w:t>
            </w:r>
          </w:p>
        </w:tc>
        <w:tc>
          <w:tcPr>
            <w:tcW w:w="1080" w:type="dxa"/>
            <w:vAlign w:val="bottom"/>
          </w:tcPr>
          <w:p>
            <w:pPr>
              <w:jc w:val="right"/>
              <w:spacing w:after="0"/>
              <w:rPr>
                <w:sz w:val="20"/>
                <w:szCs w:val="20"/>
                <w:color w:val="auto"/>
              </w:rPr>
            </w:pPr>
            <w:r>
              <w:rPr>
                <w:rFonts w:ascii="Arial" w:cs="Arial" w:eastAsia="Arial" w:hAnsi="Arial"/>
                <w:sz w:val="18"/>
                <w:szCs w:val="18"/>
                <w:color w:val="auto"/>
              </w:rPr>
              <w:t>3,823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20,438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223,065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Four to eleven payments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103,062</w:t>
            </w:r>
          </w:p>
        </w:tc>
        <w:tc>
          <w:tcPr>
            <w:tcW w:w="1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426,282</w:t>
            </w:r>
          </w:p>
        </w:tc>
        <w:tc>
          <w:tcPr>
            <w:tcW w:w="1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400" w:type="dxa"/>
            <w:vAlign w:val="bottom"/>
            <w:gridSpan w:val="3"/>
          </w:tcPr>
          <w:p>
            <w:pPr>
              <w:ind w:left="140"/>
              <w:spacing w:after="0"/>
              <w:rPr>
                <w:sz w:val="20"/>
                <w:szCs w:val="20"/>
                <w:color w:val="auto"/>
              </w:rPr>
            </w:pPr>
            <w:r>
              <w:rPr>
                <w:rFonts w:ascii="Arial" w:cs="Arial" w:eastAsia="Arial" w:hAnsi="Arial"/>
                <w:sz w:val="18"/>
                <w:szCs w:val="18"/>
                <w:color w:val="auto"/>
              </w:rPr>
              <w:t>Twelve or more payments</w:t>
            </w:r>
          </w:p>
        </w:tc>
        <w:tc>
          <w:tcPr>
            <w:tcW w:w="1080" w:type="dxa"/>
            <w:vAlign w:val="bottom"/>
          </w:tcPr>
          <w:p>
            <w:pPr>
              <w:jc w:val="right"/>
              <w:spacing w:after="0"/>
              <w:rPr>
                <w:sz w:val="20"/>
                <w:szCs w:val="20"/>
                <w:color w:val="auto"/>
              </w:rPr>
            </w:pPr>
            <w:r>
              <w:rPr>
                <w:rFonts w:ascii="Arial" w:cs="Arial" w:eastAsia="Arial" w:hAnsi="Arial"/>
                <w:sz w:val="18"/>
                <w:szCs w:val="18"/>
                <w:color w:val="auto"/>
              </w:rPr>
              <w:t>9,108</w:t>
            </w:r>
          </w:p>
        </w:tc>
        <w:tc>
          <w:tcPr>
            <w:tcW w:w="10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254,499</w:t>
            </w:r>
          </w:p>
        </w:tc>
        <w:tc>
          <w:tcPr>
            <w:tcW w:w="1460" w:type="dxa"/>
            <w:vAlign w:val="bottom"/>
            <w:gridSpan w:val="2"/>
          </w:tcPr>
          <w:p>
            <w:pPr>
              <w:jc w:val="right"/>
              <w:ind w:right="14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595,444</w:t>
            </w:r>
          </w:p>
        </w:tc>
        <w:tc>
          <w:tcPr>
            <w:tcW w:w="1480" w:type="dxa"/>
            <w:vAlign w:val="bottom"/>
            <w:gridSpan w:val="2"/>
          </w:tcPr>
          <w:p>
            <w:pPr>
              <w:jc w:val="right"/>
              <w:ind w:right="148"/>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Pending claims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3400" w:type="dxa"/>
            <w:vAlign w:val="bottom"/>
            <w:gridSpan w:val="3"/>
          </w:tcPr>
          <w:p>
            <w:pPr>
              <w:ind w:left="220"/>
              <w:spacing w:after="0"/>
              <w:rPr>
                <w:sz w:val="20"/>
                <w:szCs w:val="20"/>
                <w:color w:val="auto"/>
              </w:rPr>
            </w:pPr>
            <w:r>
              <w:rPr>
                <w:rFonts w:ascii="Arial" w:cs="Arial" w:eastAsia="Arial" w:hAnsi="Arial"/>
                <w:sz w:val="18"/>
                <w:szCs w:val="18"/>
                <w:color w:val="auto"/>
              </w:rPr>
              <w:t xml:space="preserve">Total case reserves </w:t>
            </w:r>
            <w:r>
              <w:rPr>
                <w:rFonts w:ascii="Arial" w:cs="Arial" w:eastAsia="Arial" w:hAnsi="Arial"/>
                <w:sz w:val="18"/>
                <w:szCs w:val="18"/>
                <w:b w:val="1"/>
                <w:bCs w:val="1"/>
                <w:color w:val="auto"/>
              </w:rPr>
              <w:t>(2)</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19,721</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380,036</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1,247,307</w:t>
            </w:r>
          </w:p>
        </w:tc>
        <w:tc>
          <w:tcPr>
            <w:tcW w:w="1480" w:type="dxa"/>
            <w:vAlign w:val="bottom"/>
            <w:gridSpan w:val="2"/>
          </w:tcPr>
          <w:p>
            <w:pPr>
              <w:jc w:val="right"/>
              <w:ind w:right="148"/>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IBNR</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28,503</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LAE</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Total reserves for losses and LAE </w:t>
            </w:r>
            <w:r>
              <w:rPr>
                <w:rFonts w:ascii="Arial" w:cs="Arial" w:eastAsia="Arial" w:hAnsi="Arial"/>
                <w:sz w:val="18"/>
                <w:szCs w:val="18"/>
                <w:b w:val="1"/>
                <w:bCs w:val="1"/>
                <w:color w:val="auto"/>
              </w:rPr>
              <w:t>(2)</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411,567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520" w:hanging="328"/>
        <w:spacing w:after="0" w:line="277" w:lineRule="auto"/>
        <w:tabs>
          <w:tab w:leader="none" w:pos="6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$1.4 million as of September 30, 2021.</w:t>
      </w:r>
    </w:p>
    <w:p>
      <w:pPr>
        <w:spacing w:after="0" w:line="19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During the three months ended September 30, 2022, the provision for losses and LAE was $4.3 million, comprised of $20.1 million of current year losses, partially offset by a benefit of $15.9 million of favorable prior years’ loss development. During the three months ended September 30, 2021, the provision for losses and LAE was a benefit of $7.5 million, comprised of $18.9 million of favorable prior years’ loss development, partially offset by a provision of $11.4 million for current year losses. In both periods, the prior years’ loss development was the result of a re-estimation of amounts ultimately to be paid on prior year defaults in the default inventory, including the impact of previously identified defaults that cured.</w:t>
      </w:r>
    </w:p>
    <w:p>
      <w:pPr>
        <w:spacing w:after="0" w:line="20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the nine months ended September 30, 2022, the provision for losses and LAE was a benefit of $178.8 million, comprised of $242.0 million of favorable prior years’ loss development, including $164.1 million related to Early COVID Defaults, partially offset by a provision of $63.2 million for current year losses. During the nine months ended September 30, 2021, the provision for losses and LAE was $34.5 million, comprised of $84.0 million of current year losses partially offset by $49.5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claims paid and claim severity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4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Number of claims paid</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Amount of claims paid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7"/>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5"/>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7"/>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Claim severity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0" w:type="dxa"/>
            <w:vAlign w:val="bottom"/>
            <w:gridSpan w:val="9"/>
          </w:tcPr>
          <w:p>
            <w:pPr>
              <w:ind w:left="580"/>
              <w:spacing w:after="0"/>
              <w:rPr>
                <w:sz w:val="20"/>
                <w:szCs w:val="20"/>
                <w:color w:val="auto"/>
              </w:rPr>
            </w:pPr>
            <w:r>
              <w:rPr>
                <w:rFonts w:ascii="Arial" w:cs="Arial" w:eastAsia="Arial" w:hAnsi="Arial"/>
                <w:sz w:val="14"/>
                <w:szCs w:val="14"/>
                <w:b w:val="1"/>
                <w:bCs w:val="1"/>
                <w:color w:val="auto"/>
              </w:rPr>
              <w:t>Three Months Ended September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rPr>
              <w:t>Nine Months Ended September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7"/>
                <w:szCs w:val="17"/>
                <w:color w:val="auto"/>
              </w:rPr>
            </w:pPr>
          </w:p>
        </w:tc>
        <w:tc>
          <w:tcPr>
            <w:tcW w:w="720" w:type="dxa"/>
            <w:vAlign w:val="bottom"/>
          </w:tcPr>
          <w:p>
            <w:pPr>
              <w:jc w:val="right"/>
              <w:ind w:right="37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25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37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25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37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3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75,097</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77,626</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Premium taxes</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13,193</w:t>
            </w:r>
          </w:p>
        </w:tc>
        <w:tc>
          <w:tcPr>
            <w:tcW w:w="120" w:type="dxa"/>
            <w:vAlign w:val="bottom"/>
          </w:tcPr>
          <w:p>
            <w:pPr>
              <w:spacing w:after="0"/>
              <w:rPr>
                <w:sz w:val="19"/>
                <w:szCs w:val="19"/>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13,645</w:t>
            </w:r>
          </w:p>
        </w:tc>
        <w:tc>
          <w:tcPr>
            <w:tcW w:w="100" w:type="dxa"/>
            <w:vAlign w:val="bottom"/>
          </w:tcPr>
          <w:p>
            <w:pPr>
              <w:spacing w:after="0"/>
              <w:rPr>
                <w:sz w:val="19"/>
                <w:szCs w:val="19"/>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36,548</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34,354</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68"/>
        </w:trPr>
        <w:tc>
          <w:tcPr>
            <w:tcW w:w="3160" w:type="dxa"/>
            <w:vAlign w:val="bottom"/>
            <w:gridSpan w:val="2"/>
          </w:tcPr>
          <w:p>
            <w:pPr>
              <w:ind w:left="20"/>
              <w:spacing w:after="0" w:line="168" w:lineRule="exact"/>
              <w:rPr>
                <w:sz w:val="20"/>
                <w:szCs w:val="20"/>
                <w:color w:val="auto"/>
              </w:rPr>
            </w:pPr>
            <w:r>
              <w:rPr>
                <w:rFonts w:ascii="Arial" w:cs="Arial" w:eastAsia="Arial" w:hAnsi="Arial"/>
                <w:sz w:val="18"/>
                <w:szCs w:val="18"/>
                <w:color w:val="auto"/>
              </w:rPr>
              <w:t>Total other underwriting and operating</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42,144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4"/>
                <w:szCs w:val="14"/>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42,272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4"/>
                <w:szCs w:val="14"/>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124,838</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4"/>
                <w:szCs w:val="14"/>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125,625</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expenses</w:t>
            </w:r>
          </w:p>
        </w:tc>
        <w:tc>
          <w:tcPr>
            <w:tcW w:w="2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Number of employees at end of period</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hanging="328"/>
        <w:spacing w:after="0" w:line="296"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Compensation and benefits decreased in the three months ended September 30, 2022 as compared to the three months ended September 30, 2021 primarily due to decreased salaries and overtime as a result of decreased headcount and decreased stock compensation expense. Compensation and benefits decreased in the nine months ended September 30, 2022 as compared to the nine months ended September 30, 2021 primarily due to decreased salaries and overtime as a result of decreased headcount and decreased stock compensation expense, partially offset by an increase in incentive compensation. Compensation and benefits includes salaries, wages and bonus, stock compensation expense, benefits and payroll taxes.</w:t>
      </w:r>
    </w:p>
    <w:p>
      <w:pPr>
        <w:spacing w:after="0" w:line="188" w:lineRule="exact"/>
        <w:rPr>
          <w:rFonts w:ascii="Arial" w:cs="Arial" w:eastAsia="Arial" w:hAnsi="Arial"/>
          <w:sz w:val="16"/>
          <w:szCs w:val="16"/>
          <w:color w:val="auto"/>
        </w:rPr>
      </w:pPr>
    </w:p>
    <w:p>
      <w:pPr>
        <w:ind w:left="660" w:right="120" w:hanging="328"/>
        <w:spacing w:after="0" w:line="25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Premium taxes were largely unchanged in the three months ended September 30, 2022 compared to the three months ended September 30, 2021 primarily due to a decrease in our effective premium tax rate, partially offset by an increase in net premiums written. Premium taxes decreased in the nine months ended September 30, 2022 compared to the nine months ended September 30, 2021 primarily due to a decrease in our effective premium tax rate.</w:t>
      </w:r>
    </w:p>
    <w:p>
      <w:pPr>
        <w:spacing w:after="0" w:line="213" w:lineRule="exact"/>
        <w:rPr>
          <w:rFonts w:ascii="Arial" w:cs="Arial" w:eastAsia="Arial" w:hAnsi="Arial"/>
          <w:sz w:val="18"/>
          <w:szCs w:val="18"/>
          <w:color w:val="auto"/>
        </w:rPr>
      </w:pPr>
    </w:p>
    <w:p>
      <w:pPr>
        <w:ind w:left="660" w:right="220" w:hanging="328"/>
        <w:spacing w:after="0" w:line="301"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expenses increased during the three and nine months ended September 30, 2022 compared to the three and nine months ended September 30, 2021 primarily as a result of increased travel and underwriting expenses as well as a decrease in ceding commission earned under our QSR Agreements, partially offset by decreases in professional fees and amortization of net deferred acquisition costs. Other expenses include professional fees, travel, marketing, hardware, software, rent, depreciation and amortization and other facilities expenses.</w:t>
      </w:r>
    </w:p>
    <w:p>
      <w:pPr>
        <w:spacing w:after="0" w:line="18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For the three and nine months ended September 30, 2022, we incurred interest expense of $4.5 million and $9.6 million, respectively, as compared to $2.1 million and $6.2 million for the three and nine months ended September 30, 2021, respectively. The increase during the three months ended September 30, 2022 when compared to the three months ended September 30, 2021 was primarily due to an increase in the weighted average interest rate for borrowings outstanding, as well as an increase in the average amounts outstanding under the Credit Facility. The increase during the nine months ended September 30, 2022 when compared to the nine months ended September 30, 2021 was due to an increase in the average amounts outstanding under the Credit Facility, as well as a higher weighted average interest rate for the period. For each of the three and nine months ended September 30, 2022, the average amount outstanding under the Credit Facility was $425.0 million, as compared to $325.0 million and $325.9 million for the three and nine months ended September 30, 2021, respectively. For the three and nine months ended September 30, 2022, the borrowings under the Credit Facility had a weighted average interest rate of 3.94% and 2.75%, respectively, as compared to 2.17% and 2.30% for the three and nine months ended September 30, 2021, respectively.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subsidiaries in the United States file a consolidated U.S. Federal income tax return. Our income tax expense was $32.9 million and $41.3 million for the three months ended September 30, 2022 and 2021, respectively, and $131.2 million and $104.5 million for the nine months ended September 30, 2022 and 2021, respectively. The provision for income taxes for the nine months ended September 30, 2022 was calculated using an estimated annual effective tax rate of 15.8% as compared to an estimated annual effective tax rate of 15.9% for the nine months ended September 30, 2021. For the nine months ended September 30, 2022, income tax expense includes $9.6 million of discrete tax expense associated with realized and unrealized gains and losses. For the nine months ended September 30, 2021, income tax expense includes $8.3 million of discrete tax expense associated with realized and unrealized gains and losses and $5.7 million of discrete tax expense associated with an increase in the estimate of our beginning of the year deferred state income tax liability. The tax effects associated with realized and unrealized gains and losses and the increase to our deferred state income tax liability are treated as a discrete items in the reporting period in which they occur and are not considered in determining the annual effective tax 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borrowings under our Credit Facility;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obligations consist primarily of:</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payments and repayment of borrowings under our Credit Facility;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repurchase of common shares under the share repurchase plan approved by our Board of Directors;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payment of dividends on our common shares.</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As of September 30, 2022, we had substantial liquidity with cash of $79.5 million, short-term investments of $331.1 million and fixed maturity investments of $4.3 billion. We also had $400 million available capacity under the revolving credit component of our Credit Facility, with $425 million of borrowings outstanding under our Credit Facility. Borrowings under the Credit Facility contractually mature on December 10, 2026. Holding company net cash and investments available for sale totaled $647.9 million at September 30, 2022.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September 30, 2022.</w:t>
      </w:r>
    </w:p>
    <w:p>
      <w:pPr>
        <w:spacing w:after="0" w:line="20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spacing w:after="0" w:line="157"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to provide additional capital related to the growth 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5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ordinary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September 30, 2022, Essent Guaranty had unassigned surplus of approximately $318.1 million and Essent PA had unassigned surplus of approximately $18.5 million. As of September 30, 2022, Essent Guaranty and Essent PA could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pay additional ordinary dividends in 2022 of $237.7 million and $5.6 million, respectively.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September 30, 2022, Essent Re had total equity of $1.4 billion. In connection with its insurance and reinsurance activities, Essent Re is required to maintain assets in trusts for the benefit of its contractual counterparties. See Note 3 to our condensed consolidated financial statements. At September 30, 2022, our insurance subsidiaries were in compliance with these rules, regulations and agreements.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7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7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416,456</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518,167</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(253,010)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(403,412)</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(165,470)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(151,760)</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Net (decrease) increase in cash</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(37,005)</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Cash flow provided by operating activities totaled $416.5 million for the nine months ended September 30, 2022, as compared to $518.2 million for the nine months ended September 30, 2021. The decrease in cash flow provided by operating activities was primarily due to increases in other assets and accounts receivable, as well as income tax payments.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Cash flow used in investing activities totaled $253.0 million for the nine months ended September 30, 2022 and $403.4 million for the nine months ended September 30, 2021. In both periods, cash flow used in investing activities related to investing cash flows from operations.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Cash flow used in financing activities totaled $165.5 million for the nine months ended September 30, 2022, primarily related to the repurchases of common stock as part of our share repurchase plan and treasury stock acquired from employees to satisfy tax withholding obligations and quarterly cash dividends paid in March, June and September. Cash flow used in financing activities totaled $151.8 million for the nine months ended September 30, 2021, primarily related to the quarterly cash dividends paid in March, June and September and treasury stock acquired from employees to satisfy tax withholding obligations.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20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During the nine months ended September 30, 2022, no capital contributions were made to our U.S. insurance subsidiaries and Essent Guaranty paid dividends to Essent US Holdings, Inc. of $260 million. During the nine months ended September 30, 2021, no capital contributions were made to our U.S. insurance subsidiaries and Essent Guaranty paid dividends to Essent US Holdings, Inc. of $147.2 million.</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firstLine="180"/>
        <w:spacing w:after="0" w:line="267" w:lineRule="auto"/>
        <w:rPr>
          <w:sz w:val="20"/>
          <w:szCs w:val="20"/>
          <w:color w:val="auto"/>
        </w:rPr>
      </w:pPr>
      <w:r>
        <w:rPr>
          <w:rFonts w:ascii="Arial" w:cs="Arial" w:eastAsia="Arial" w:hAnsi="Arial"/>
          <w:sz w:val="16"/>
          <w:szCs w:val="16"/>
          <w:color w:val="auto"/>
        </w:rPr>
        <w:t>Essent Guaranty has entered into reinsurance agreements that provide excess of loss reinsurance coverage for new defaults on portfolios of mortgage insurance policies issued in 2015 through December 31, 2022. The aggregate excess of loss reinsurance coverages decrease over a ten-year period as the underlying covered mortgages amortize. Based on the level of delinquencies reported to us, the insurance-linked note transactions (the "ILNs") that Essent Guaranty has entered into prior to March 31, 2020 became subject to a "trigger event" as of June 25, 2020. The aggregate excess of loss reinsurance coverage will not amortize during the continuation of a trigger event. As of November 26, 2021, Radnor Re 2019-2 was no longer subject to a trigger event. Radnor Re 2020-1 was no longer subject to a trigger event as of July 25, 2022. Effective September 1, 2019, Essent Guaranty entered into a quota share reinsurance agreement with a panel of third-party reinsurers ("QSR 2019"). Under QSR 2019,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63% that varies directly and inversely with ceded claims. Effective January 1, 2022, Essent Guaranty entered into a quota share reinsurance agreement with a panel of third-party reinsurers ("QSR 2022"). Under QSR 2022, Essent Guaranty will cede premiums earned related to 20% of risk on all eligible policies written January 1, 2022 through December 31, 2022, in exchange for reimbursement of ceded claims and claims expenses on covered policies, a 20% ceding commission, and a profit commission of up to 62% that varies directly and inversely with ceded claims. These reinsurance coverages also reduces net risk in force and PMIERs Minimum Required Assets. See Note 4 to our condensed consolidated financial statements.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risk-to-capital calculation for our U.S. insurance subsidiaries as of September 30, 2022 was as follows:</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Combined statutory capital:</w:t>
      </w: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Policyholders’ surplus</w:t>
            </w:r>
          </w:p>
        </w:tc>
        <w:tc>
          <w:tcPr>
            <w:tcW w:w="50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1,080,956</w:t>
            </w:r>
          </w:p>
        </w:tc>
        <w:tc>
          <w:tcPr>
            <w:tcW w:w="0" w:type="dxa"/>
            <w:vAlign w:val="bottom"/>
          </w:tcPr>
          <w:p>
            <w:pPr>
              <w:spacing w:after="0"/>
              <w:rPr>
                <w:sz w:val="1"/>
                <w:szCs w:val="1"/>
                <w:color w:val="auto"/>
              </w:rPr>
            </w:pPr>
          </w:p>
        </w:tc>
      </w:tr>
      <w:tr>
        <w:trPr>
          <w:trHeight w:val="229"/>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Contingency reserves</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2,047,725</w:t>
            </w:r>
          </w:p>
        </w:tc>
        <w:tc>
          <w:tcPr>
            <w:tcW w:w="0" w:type="dxa"/>
            <w:vAlign w:val="bottom"/>
          </w:tcPr>
          <w:p>
            <w:pPr>
              <w:spacing w:after="0"/>
              <w:rPr>
                <w:sz w:val="1"/>
                <w:szCs w:val="1"/>
                <w:color w:val="auto"/>
              </w:rPr>
            </w:pP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3,128,681</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Combined net risk in force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20" w:type="dxa"/>
            <w:vAlign w:val="bottom"/>
            <w:tcBorders>
              <w:bottom w:val="single" w:sz="8" w:color="CCEEFF"/>
            </w:tcBorders>
            <w:vMerge w:val="continue"/>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31,736,095</w:t>
            </w:r>
          </w:p>
        </w:tc>
        <w:tc>
          <w:tcPr>
            <w:tcW w:w="0" w:type="dxa"/>
            <w:vAlign w:val="bottom"/>
          </w:tcPr>
          <w:p>
            <w:pPr>
              <w:spacing w:after="0"/>
              <w:rPr>
                <w:sz w:val="1"/>
                <w:szCs w:val="1"/>
                <w:color w:val="auto"/>
              </w:rPr>
            </w:pP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Combined risk-to-capital ratio</w:t>
            </w:r>
          </w:p>
        </w:tc>
        <w:tc>
          <w:tcPr>
            <w:tcW w:w="5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For additional information regarding regulatory capital, see Note 14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6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Essent Re has entered into GSE and other risk share transactions, including insurance and reinsurance transactions with Freddie Mac and Fannie Mae. Under a quota share reinsurance agreement, Essent Re reinsures 25% of Essent Guaranty’s NIW through December 31, 2020 and 35% of Essent Guaranty’s NIW after December 31, 2020. During the nine months ended September 30, 2022 and 2021, Essent Re paid no dividends to Essent Group and Essent Group made no capital contributions to Essent Re. As of September 30, 2022, Essent Re had total stockholders’ equity of $1.4 billion and net risk in force of $18.7 billion.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12" w:lineRule="exact"/>
        <w:rPr>
          <w:sz w:val="20"/>
          <w:szCs w:val="20"/>
          <w:color w:val="auto"/>
        </w:rPr>
      </w:pPr>
    </w:p>
    <w:p>
      <w:pPr>
        <w:ind w:right="280" w:firstLine="648"/>
        <w:spacing w:after="0" w:line="241" w:lineRule="auto"/>
        <w:rPr>
          <w:sz w:val="20"/>
          <w:szCs w:val="20"/>
          <w:color w:val="auto"/>
        </w:rPr>
      </w:pPr>
      <w:r>
        <w:rPr>
          <w:rFonts w:ascii="Arial" w:cs="Arial" w:eastAsia="Arial" w:hAnsi="Arial"/>
          <w:sz w:val="18"/>
          <w:szCs w:val="18"/>
          <w:color w:val="auto"/>
        </w:rPr>
        <w:t>The insurer financial strength rating of Essent Guaranty, our principal mortgage insurance subsidiary, is rated A3 with a stable outlook by Moody’s Investors Service (“Moody's”), BBB+ with a stable outlook by S&amp;P and A (Excellent) with stable outlook by A.M. Best. The insurer financial strength rating of Essent Re is BBB+ with a stable outlook by S&amp;P and A (Excellent) with stable outlook by A.M. Best. On September 21, 2022, A.M. Best’s affirmed Essent Guaranty’s financial strength rating of A (Excellent) with a stable outlook and on November 4, 2022 S&amp;P affirmed Essent Guaranty’s financial strength rating of BBB+ with a stable outlook.</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September 30, 2022, Essent Guaranty, our GSE-approved mortgage insurance company, was in compliance with PMIERs 2.0. As of September 30, 2022, Essent Guaranty's Available Assets were $3.15 billion or 179% of its Minimum Required Assets of $1.76 billion based on our interpretation of PMIERs 2.0.</w:t>
      </w:r>
    </w:p>
    <w:p>
      <w:pPr>
        <w:spacing w:after="0" w:line="20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Under PMIERs guidance issued by the GSEs effective June 30, 2020, Essent will apply a 0.30 multiplier to the risk-based required asset amount factor for each insured loan in default backed by a property located in a Federal Emergency Management Agency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April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no longer than three calendar months beginning with the month the loan becomes a non-performing primary mortgage guaranty insurance loan by reaching two missed monthly payments.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September 30, 2022, stockholders’ equity was $4.29 billion, compared to $4.24 billion as of December 31, 2021. Stockholders' equity increased primarily due to net income generated in 2022, partially offset by a decrease in accumulated other comprehensive income related to an increase in our net unrealized investment losses associated with increases in market interest rates in the nine months ended September 30, 2022, the repurchase of common shares under our share repurchase plan and dividends paid.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2022, investments totaled $4.8 billion compared to $5.1 billion as of December 31, 2021. In addition, our total cash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$79.5 million as of September 30, 2022, compared to $81.5 million as of December 31, 2021. The decrease in investments was primarily due to an increase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our net unrealized investment losses primarily due to increases in market interest rates in the nine months ended September 30, 2022,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investing net cash flows from operations during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Investments Available for Sale by Asset Class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 Class</w:t>
            </w:r>
          </w:p>
        </w:tc>
        <w:tc>
          <w:tcPr>
            <w:tcW w:w="280" w:type="dxa"/>
            <w:vAlign w:val="bottom"/>
          </w:tcPr>
          <w:p>
            <w:pPr>
              <w:spacing w:after="0"/>
              <w:rPr>
                <w:sz w:val="16"/>
                <w:szCs w:val="16"/>
                <w:color w:val="auto"/>
              </w:rPr>
            </w:pPr>
          </w:p>
        </w:tc>
        <w:tc>
          <w:tcPr>
            <w:tcW w:w="2040" w:type="dxa"/>
            <w:vAlign w:val="bottom"/>
            <w:gridSpan w:val="3"/>
          </w:tcPr>
          <w:p>
            <w:pPr>
              <w:ind w:left="820"/>
              <w:spacing w:after="0"/>
              <w:rPr>
                <w:sz w:val="20"/>
                <w:szCs w:val="20"/>
                <w:color w:val="auto"/>
              </w:rPr>
            </w:pPr>
            <w:r>
              <w:rPr>
                <w:rFonts w:ascii="Arial" w:cs="Arial" w:eastAsia="Arial" w:hAnsi="Arial"/>
                <w:sz w:val="14"/>
                <w:szCs w:val="14"/>
                <w:b w:val="1"/>
                <w:bCs w:val="1"/>
                <w:color w:val="auto"/>
                <w:w w:val="91"/>
              </w:rPr>
              <w:t>September 30, 2022</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6"/>
        </w:trPr>
        <w:tc>
          <w:tcPr>
            <w:tcW w:w="42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2"/>
                <w:szCs w:val="2"/>
                <w:color w:val="auto"/>
              </w:rPr>
            </w:pPr>
          </w:p>
        </w:tc>
        <w:tc>
          <w:tcPr>
            <w:tcW w:w="204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240" w:type="dxa"/>
            <w:vAlign w:val="bottom"/>
            <w:gridSpan w:val="4"/>
            <w:vMerge w:val="continue"/>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1100" w:type="dxa"/>
            <w:vAlign w:val="bottom"/>
            <w:tcBorders>
              <w:top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85"/>
              </w:rPr>
              <w:t>Percent</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Fair Value</w:t>
            </w:r>
          </w:p>
        </w:tc>
        <w:tc>
          <w:tcPr>
            <w:tcW w:w="156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30"/>
        </w:trPr>
        <w:tc>
          <w:tcPr>
            <w:tcW w:w="41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535,636</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448,793</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29"/>
        </w:trPr>
        <w:tc>
          <w:tcPr>
            <w:tcW w:w="4240" w:type="dxa"/>
            <w:vAlign w:val="bottom"/>
            <w:gridSpan w:val="4"/>
          </w:tcPr>
          <w:p>
            <w:pPr>
              <w:ind w:left="2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19"/>
                <w:szCs w:val="19"/>
                <w:color w:val="auto"/>
              </w:rPr>
            </w:pPr>
          </w:p>
        </w:tc>
        <w:tc>
          <w:tcPr>
            <w:tcW w:w="204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752,236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1,008,863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tcPr>
          <w:p>
            <w:pPr>
              <w:ind w:left="20"/>
              <w:spacing w:after="0"/>
              <w:rPr>
                <w:sz w:val="20"/>
                <w:szCs w:val="20"/>
                <w:color w:val="auto"/>
              </w:rPr>
            </w:pPr>
            <w:r>
              <w:rPr>
                <w:rFonts w:ascii="Arial" w:cs="Arial" w:eastAsia="Arial" w:hAnsi="Arial"/>
                <w:sz w:val="18"/>
                <w:szCs w:val="18"/>
                <w:color w:val="auto"/>
              </w:rPr>
              <w:t>Municipal debt securities(1)</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559,784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627,599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4"/>
          </w:tcPr>
          <w:p>
            <w:pPr>
              <w:ind w:left="20"/>
              <w:spacing w:after="0"/>
              <w:rPr>
                <w:sz w:val="20"/>
                <w:szCs w:val="20"/>
                <w:color w:val="auto"/>
              </w:rPr>
            </w:pPr>
            <w:r>
              <w:rPr>
                <w:rFonts w:ascii="Arial" w:cs="Arial" w:eastAsia="Arial" w:hAnsi="Arial"/>
                <w:sz w:val="18"/>
                <w:szCs w:val="18"/>
                <w:color w:val="auto"/>
              </w:rPr>
              <w:t>Corporate debt securities(2)</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1,345,269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1,455,247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523,608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545,423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tcPr>
          <w:p>
            <w:pPr>
              <w:ind w:left="2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608,330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581,703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199,147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210,012</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4,584,844</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4,962,887</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5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92"/>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15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430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(1) The following table summarizes municipal debt securities as of:</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left="94"/>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20" w:type="dxa"/>
            <w:vAlign w:val="bottom"/>
          </w:tcPr>
          <w:p>
            <w:pPr>
              <w:spacing w:after="0"/>
              <w:rPr>
                <w:sz w:val="2"/>
                <w:szCs w:val="2"/>
                <w:color w:val="auto"/>
              </w:rPr>
            </w:pPr>
          </w:p>
        </w:tc>
        <w:tc>
          <w:tcPr>
            <w:tcW w:w="40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402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430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(2) The following table summarizes corporate debt securities as of:</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left="94"/>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20" w:type="dxa"/>
            <w:vAlign w:val="bottom"/>
          </w:tcPr>
          <w:p>
            <w:pPr>
              <w:spacing w:after="0"/>
              <w:rPr>
                <w:sz w:val="2"/>
                <w:szCs w:val="2"/>
                <w:color w:val="auto"/>
              </w:rPr>
            </w:pPr>
          </w:p>
        </w:tc>
        <w:tc>
          <w:tcPr>
            <w:tcW w:w="40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Industrial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Consumer, cyclical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Energy</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Utilities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2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Investments Available for Sale by Rating</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gridSpan w:val="3"/>
          </w:tcPr>
          <w:p>
            <w:pPr>
              <w:ind w:left="20"/>
              <w:spacing w:after="0"/>
              <w:rPr>
                <w:sz w:val="20"/>
                <w:szCs w:val="20"/>
                <w:color w:val="auto"/>
              </w:rPr>
            </w:pPr>
            <w:r>
              <w:rPr>
                <w:rFonts w:ascii="Arial" w:cs="Arial" w:eastAsia="Arial" w:hAnsi="Arial"/>
                <w:sz w:val="14"/>
                <w:szCs w:val="14"/>
                <w:b w:val="1"/>
                <w:bCs w:val="1"/>
                <w:color w:val="auto"/>
              </w:rPr>
              <w:t>Rating(1)</w:t>
            </w:r>
          </w:p>
        </w:tc>
        <w:tc>
          <w:tcPr>
            <w:tcW w:w="300" w:type="dxa"/>
            <w:vAlign w:val="bottom"/>
          </w:tcPr>
          <w:p>
            <w:pPr>
              <w:spacing w:after="0"/>
              <w:rPr>
                <w:sz w:val="16"/>
                <w:szCs w:val="16"/>
                <w:color w:val="auto"/>
              </w:rPr>
            </w:pPr>
          </w:p>
        </w:tc>
        <w:tc>
          <w:tcPr>
            <w:tcW w:w="2080" w:type="dxa"/>
            <w:vAlign w:val="bottom"/>
            <w:gridSpan w:val="3"/>
          </w:tcPr>
          <w:p>
            <w:pPr>
              <w:ind w:left="860"/>
              <w:spacing w:after="0"/>
              <w:rPr>
                <w:sz w:val="20"/>
                <w:szCs w:val="20"/>
                <w:color w:val="auto"/>
              </w:rPr>
            </w:pPr>
            <w:r>
              <w:rPr>
                <w:rFonts w:ascii="Arial" w:cs="Arial" w:eastAsia="Arial" w:hAnsi="Arial"/>
                <w:sz w:val="14"/>
                <w:szCs w:val="14"/>
                <w:b w:val="1"/>
                <w:bCs w:val="1"/>
                <w:color w:val="auto"/>
                <w:w w:val="91"/>
              </w:rPr>
              <w:t>September 30, 2022</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880"/>
              <w:spacing w:after="0"/>
              <w:rPr>
                <w:sz w:val="20"/>
                <w:szCs w:val="20"/>
                <w:color w:val="auto"/>
              </w:rPr>
            </w:pPr>
            <w:r>
              <w:rPr>
                <w:rFonts w:ascii="Arial" w:cs="Arial" w:eastAsia="Arial" w:hAnsi="Arial"/>
                <w:sz w:val="14"/>
                <w:szCs w:val="14"/>
                <w:b w:val="1"/>
                <w:bCs w:val="1"/>
                <w:color w:val="auto"/>
                <w:w w:val="93"/>
              </w:rPr>
              <w:t>December 31, 2021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2"/>
                <w:szCs w:val="2"/>
                <w:color w:val="auto"/>
              </w:rPr>
            </w:pPr>
          </w:p>
        </w:tc>
        <w:tc>
          <w:tcPr>
            <w:tcW w:w="2080" w:type="dxa"/>
            <w:vAlign w:val="bottom"/>
            <w:gridSpan w:val="3"/>
          </w:tcPr>
          <w:p>
            <w:pPr>
              <w:spacing w:after="0"/>
              <w:rPr>
                <w:sz w:val="2"/>
                <w:szCs w:val="2"/>
                <w:color w:val="auto"/>
              </w:rPr>
            </w:pPr>
          </w:p>
        </w:tc>
        <w:tc>
          <w:tcPr>
            <w:tcW w:w="12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00" w:type="dxa"/>
            <w:vAlign w:val="bottom"/>
            <w:gridSpan w:val="3"/>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Borders>
              <w:top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3"/>
              </w:rPr>
              <w:t>Percent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Borders>
              <w:top w:val="single" w:sz="8" w:color="auto"/>
            </w:tcBorders>
          </w:tcPr>
          <w:p>
            <w:pPr>
              <w:jc w:val="right"/>
              <w:ind w:right="591"/>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30"/>
        </w:trPr>
        <w:tc>
          <w:tcPr>
            <w:tcW w:w="38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2,227,988</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2,412,273</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0" w:type="dxa"/>
            <w:vAlign w:val="bottom"/>
          </w:tcPr>
          <w:p>
            <w:pPr>
              <w:spacing w:after="0"/>
              <w:rPr>
                <w:sz w:val="1"/>
                <w:szCs w:val="1"/>
                <w:color w:val="auto"/>
              </w:rPr>
            </w:pPr>
          </w:p>
        </w:tc>
      </w:tr>
      <w:tr>
        <w:trPr>
          <w:trHeight w:val="229"/>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101,547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96,331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354,951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215,688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221,914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A1</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375,063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263,820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A2</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356,469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427,282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A3</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244,309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274,525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Baa1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220,295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305,204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220,303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274,011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Baa3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191,386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240,755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Below Baa3</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97,361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91,821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40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4,584,844</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4,962,887</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Ratings ("Fitch") rating utilized if Moody’s not available.</w:t>
      </w:r>
    </w:p>
    <w:p>
      <w:pPr>
        <w:spacing w:after="0" w:line="221" w:lineRule="exact"/>
        <w:rPr>
          <w:rFonts w:ascii="Arial" w:cs="Arial" w:eastAsia="Arial" w:hAnsi="Arial"/>
          <w:sz w:val="18"/>
          <w:szCs w:val="18"/>
          <w:color w:val="auto"/>
        </w:rPr>
      </w:pPr>
    </w:p>
    <w:p>
      <w:pPr>
        <w:ind w:left="3600"/>
        <w:spacing w:after="0"/>
        <w:rPr>
          <w:rFonts w:ascii="Arial" w:cs="Arial" w:eastAsia="Arial" w:hAnsi="Arial"/>
          <w:sz w:val="18"/>
          <w:szCs w:val="18"/>
          <w:color w:val="auto"/>
        </w:rPr>
      </w:pPr>
      <w:r>
        <w:rPr>
          <w:rFonts w:ascii="Arial" w:cs="Arial" w:eastAsia="Arial" w:hAnsi="Arial"/>
          <w:sz w:val="18"/>
          <w:szCs w:val="18"/>
          <w:b w:val="1"/>
          <w:bCs w:val="1"/>
          <w:color w:val="auto"/>
        </w:rPr>
        <w:t>Investments Available for Sale by Effective Duration</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Effective Duration</w:t>
            </w:r>
          </w:p>
        </w:tc>
        <w:tc>
          <w:tcPr>
            <w:tcW w:w="300" w:type="dxa"/>
            <w:vAlign w:val="bottom"/>
          </w:tcPr>
          <w:p>
            <w:pPr>
              <w:spacing w:after="0"/>
              <w:rPr>
                <w:sz w:val="16"/>
                <w:szCs w:val="16"/>
                <w:color w:val="auto"/>
              </w:rPr>
            </w:pPr>
          </w:p>
        </w:tc>
        <w:tc>
          <w:tcPr>
            <w:tcW w:w="2080" w:type="dxa"/>
            <w:vAlign w:val="bottom"/>
            <w:gridSpan w:val="3"/>
          </w:tcPr>
          <w:p>
            <w:pPr>
              <w:ind w:left="860"/>
              <w:spacing w:after="0"/>
              <w:rPr>
                <w:sz w:val="20"/>
                <w:szCs w:val="20"/>
                <w:color w:val="auto"/>
              </w:rPr>
            </w:pPr>
            <w:r>
              <w:rPr>
                <w:rFonts w:ascii="Arial" w:cs="Arial" w:eastAsia="Arial" w:hAnsi="Arial"/>
                <w:sz w:val="14"/>
                <w:szCs w:val="14"/>
                <w:b w:val="1"/>
                <w:bCs w:val="1"/>
                <w:color w:val="auto"/>
                <w:w w:val="91"/>
              </w:rPr>
              <w:t>September 30, 2022</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880"/>
              <w:spacing w:after="0"/>
              <w:rPr>
                <w:sz w:val="20"/>
                <w:szCs w:val="20"/>
                <w:color w:val="auto"/>
              </w:rPr>
            </w:pPr>
            <w:r>
              <w:rPr>
                <w:rFonts w:ascii="Arial" w:cs="Arial" w:eastAsia="Arial" w:hAnsi="Arial"/>
                <w:sz w:val="14"/>
                <w:szCs w:val="14"/>
                <w:b w:val="1"/>
                <w:bCs w:val="1"/>
                <w:color w:val="auto"/>
                <w:w w:val="93"/>
              </w:rPr>
              <w:t>December 31, 2021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2"/>
                <w:szCs w:val="2"/>
                <w:color w:val="auto"/>
              </w:rPr>
            </w:pPr>
          </w:p>
        </w:tc>
        <w:tc>
          <w:tcPr>
            <w:tcW w:w="2080" w:type="dxa"/>
            <w:vAlign w:val="bottom"/>
            <w:gridSpan w:val="3"/>
          </w:tcPr>
          <w:p>
            <w:pPr>
              <w:spacing w:after="0"/>
              <w:rPr>
                <w:sz w:val="2"/>
                <w:szCs w:val="2"/>
                <w:color w:val="auto"/>
              </w:rPr>
            </w:pPr>
          </w:p>
        </w:tc>
        <w:tc>
          <w:tcPr>
            <w:tcW w:w="12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0" w:type="dxa"/>
            <w:vAlign w:val="bottom"/>
            <w:gridSpan w:val="2"/>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Borders>
              <w:top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3"/>
              </w:rPr>
              <w:t>Percent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Borders>
              <w:top w:val="single" w:sz="8" w:color="auto"/>
            </w:tcBorders>
          </w:tcPr>
          <w:p>
            <w:pPr>
              <w:jc w:val="right"/>
              <w:ind w:right="592"/>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29"/>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&lt; 1 Year</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1,222,876</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1,104,397</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1 to &lt; 2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472,273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561,297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 to &lt; 3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501,955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539,174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3 to &lt; 4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469,386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593,663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 to &lt; 5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445,986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663,127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5 or more Years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1,472,368</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1,501,229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4,584,844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4,962,887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Top Ten Investments Available for Sale Holdings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18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Rank</w:t>
            </w:r>
          </w:p>
        </w:tc>
        <w:tc>
          <w:tcPr>
            <w:tcW w:w="3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60" w:type="dxa"/>
            <w:vAlign w:val="bottom"/>
            <w:gridSpan w:val="3"/>
            <w:vMerge w:val="continue"/>
          </w:tcPr>
          <w:p>
            <w:pPr>
              <w:spacing w:after="0"/>
              <w:rPr>
                <w:sz w:val="11"/>
                <w:szCs w:val="11"/>
                <w:color w:val="auto"/>
              </w:rPr>
            </w:pPr>
          </w:p>
        </w:tc>
        <w:tc>
          <w:tcPr>
            <w:tcW w:w="308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Security</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1"/>
                <w:szCs w:val="11"/>
                <w:color w:val="auto"/>
              </w:rPr>
            </w:pPr>
          </w:p>
        </w:tc>
        <w:tc>
          <w:tcPr>
            <w:tcW w:w="1120" w:type="dxa"/>
            <w:vAlign w:val="bottom"/>
          </w:tcPr>
          <w:p>
            <w:pPr>
              <w:jc w:val="right"/>
              <w:ind w:right="213"/>
              <w:spacing w:after="0" w:line="12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6"/>
        </w:trPr>
        <w:tc>
          <w:tcPr>
            <w:tcW w:w="246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30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7"/>
                <w:szCs w:val="17"/>
                <w:color w:val="auto"/>
              </w:rPr>
            </w:pPr>
          </w:p>
        </w:tc>
        <w:tc>
          <w:tcPr>
            <w:tcW w:w="11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Gain (Loss)(1)</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30"/>
        </w:trPr>
        <w:tc>
          <w:tcPr>
            <w:tcW w:w="2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2.875% 06/15/2025</w:t>
            </w: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39,811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US Treasury 1.500% 08/15/2026</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30,765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0.250% 05/31/2025</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23,037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US Treasury 2.500% 01/31/2024</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19,911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0.000% 02/23/2023</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19,719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US Treasury 2.625% 06/30/2023</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19,537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0.875% 06/30/2026</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17,403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US Treasury 0.125% 10/15/2023</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16,890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5.250% 11/15/2028</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16,203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0.000% 01/26/2023</w:t>
            </w: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15,529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218,805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gridSpan w:val="4"/>
          </w:tcPr>
          <w:p>
            <w:pPr>
              <w:ind w:left="20"/>
              <w:spacing w:after="0" w:line="203" w:lineRule="exact"/>
              <w:rPr>
                <w:sz w:val="20"/>
                <w:szCs w:val="20"/>
                <w:color w:val="auto"/>
              </w:rPr>
            </w:pPr>
            <w:r>
              <w:rPr>
                <w:rFonts w:ascii="Arial" w:cs="Arial" w:eastAsia="Arial" w:hAnsi="Arial"/>
                <w:sz w:val="18"/>
                <w:szCs w:val="18"/>
                <w:b w:val="1"/>
                <w:bCs w:val="1"/>
                <w:color w:val="auto"/>
              </w:rPr>
              <w:t>Percent of Investments Available for Sale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4.8 %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1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hanging="328"/>
        <w:spacing w:after="0" w:line="259" w:lineRule="auto"/>
        <w:tabs>
          <w:tab w:leader="none" w:pos="6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September 30, 2022, for securities in an unrealized loss position, management believes the declines in fair value are principally associated with the changes in the interest rate environment subsequent to its purchase. Also, see Note 3 to our condensed consolidated financial statements, which summarizes the aggregate amount of gross unrealized losses by asset class in which the fair value of investments available for sale has been less than cost for less than 12 months and for 12 months or more.</w:t>
      </w:r>
    </w:p>
    <w:p>
      <w:pPr>
        <w:spacing w:after="0" w:line="213" w:lineRule="exact"/>
        <w:rPr>
          <w:rFonts w:ascii="Arial" w:cs="Arial" w:eastAsia="Arial" w:hAnsi="Arial"/>
          <w:sz w:val="18"/>
          <w:szCs w:val="18"/>
          <w:color w:val="auto"/>
        </w:rPr>
      </w:pPr>
    </w:p>
    <w:p>
      <w:pPr>
        <w:ind w:left="640" w:hanging="30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60" w:type="dxa"/>
            <w:vAlign w:val="bottom"/>
            <w:gridSpan w:val="2"/>
          </w:tcPr>
          <w:p>
            <w:pPr>
              <w:ind w:left="20"/>
              <w:spacing w:after="0"/>
              <w:rPr>
                <w:sz w:val="20"/>
                <w:szCs w:val="20"/>
                <w:color w:val="auto"/>
              </w:rPr>
            </w:pPr>
            <w:r>
              <w:rPr>
                <w:rFonts w:ascii="Arial" w:cs="Arial" w:eastAsia="Arial" w:hAnsi="Arial"/>
                <w:sz w:val="14"/>
                <w:szCs w:val="14"/>
                <w:b w:val="1"/>
                <w:bCs w:val="1"/>
                <w:color w:val="auto"/>
              </w:rPr>
              <w:t>Rank</w:t>
            </w:r>
          </w:p>
        </w:tc>
        <w:tc>
          <w:tcPr>
            <w:tcW w:w="1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3"/>
          </w:tcPr>
          <w:p>
            <w:pPr>
              <w:jc w:val="right"/>
              <w:ind w:right="2070"/>
              <w:spacing w:after="0"/>
              <w:rPr>
                <w:sz w:val="20"/>
                <w:szCs w:val="20"/>
                <w:color w:val="auto"/>
              </w:rPr>
            </w:pPr>
            <w:r>
              <w:rPr>
                <w:rFonts w:ascii="Arial" w:cs="Arial" w:eastAsia="Arial" w:hAnsi="Arial"/>
                <w:sz w:val="14"/>
                <w:szCs w:val="14"/>
                <w:b w:val="1"/>
                <w:bCs w:val="1"/>
                <w:color w:val="auto"/>
              </w:rPr>
              <w:t>December 31, 2021</w:t>
            </w:r>
          </w:p>
        </w:tc>
        <w:tc>
          <w:tcPr>
            <w:tcW w:w="1220" w:type="dxa"/>
            <w:vAlign w:val="bottom"/>
            <w:tcBorders>
              <w:bottom w:val="single" w:sz="8" w:color="auto"/>
            </w:tcBorders>
          </w:tcPr>
          <w:p>
            <w:pPr>
              <w:spacing w:after="0"/>
              <w:rPr>
                <w:sz w:val="17"/>
                <w:szCs w:val="17"/>
                <w:color w:val="auto"/>
              </w:rPr>
            </w:pPr>
          </w:p>
        </w:tc>
      </w:tr>
      <w:tr>
        <w:trPr>
          <w:trHeight w:val="196"/>
        </w:trPr>
        <w:tc>
          <w:tcPr>
            <w:tcW w:w="32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20" w:type="dxa"/>
            <w:vAlign w:val="bottom"/>
            <w:gridSpan w:val="3"/>
          </w:tcPr>
          <w:p>
            <w:pPr>
              <w:jc w:val="right"/>
              <w:ind w:right="3210"/>
              <w:spacing w:after="0"/>
              <w:rPr>
                <w:sz w:val="20"/>
                <w:szCs w:val="20"/>
                <w:color w:val="auto"/>
              </w:rPr>
            </w:pPr>
            <w:r>
              <w:rPr>
                <w:rFonts w:ascii="Arial" w:cs="Arial" w:eastAsia="Arial" w:hAnsi="Arial"/>
                <w:sz w:val="14"/>
                <w:szCs w:val="14"/>
                <w:b w:val="1"/>
                <w:bCs w:val="1"/>
                <w:color w:val="auto"/>
              </w:rPr>
              <w:t>Security</w:t>
            </w:r>
          </w:p>
        </w:tc>
        <w:tc>
          <w:tcPr>
            <w:tcW w:w="1220" w:type="dxa"/>
            <w:vAlign w:val="bottom"/>
          </w:tcPr>
          <w:p>
            <w:pPr>
              <w:jc w:val="right"/>
              <w:ind w:right="331"/>
              <w:spacing w:after="0"/>
              <w:rPr>
                <w:sz w:val="20"/>
                <w:szCs w:val="20"/>
                <w:color w:val="auto"/>
              </w:rPr>
            </w:pPr>
            <w:r>
              <w:rPr>
                <w:rFonts w:ascii="Arial" w:cs="Arial" w:eastAsia="Arial" w:hAnsi="Arial"/>
                <w:sz w:val="14"/>
                <w:szCs w:val="14"/>
                <w:b w:val="1"/>
                <w:bCs w:val="1"/>
                <w:color w:val="auto"/>
              </w:rPr>
              <w:t>Fair Value</w:t>
            </w:r>
          </w:p>
        </w:tc>
      </w:tr>
      <w:tr>
        <w:trPr>
          <w:trHeight w:val="230"/>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Fannie Mae 2.000% 10/1/2051</w:t>
            </w:r>
          </w:p>
        </w:tc>
        <w:tc>
          <w:tcPr>
            <w:tcW w:w="3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34,743</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U.S. Treasury 1.500% 8/15/2026</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34,404</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0.000% 6/30/2022</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28,548</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U.S. Treasury 0.250% 5/31/2025</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24,918</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Fannie Mae 3.500% 1/1/2058</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21,424</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U.S. Treasury 2.625% 6/30/2023</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20,348</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U.S. Treasury 0.000%</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12/29/2022</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19,376</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0.875%</w:t>
            </w:r>
          </w:p>
        </w:tc>
        <w:tc>
          <w:tcPr>
            <w:tcW w:w="1060" w:type="dxa"/>
            <w:vAlign w:val="bottom"/>
          </w:tcPr>
          <w:p>
            <w:pPr>
              <w:ind w:left="20"/>
              <w:spacing w:after="0"/>
              <w:rPr>
                <w:sz w:val="20"/>
                <w:szCs w:val="20"/>
                <w:color w:val="auto"/>
              </w:rPr>
            </w:pPr>
            <w:r>
              <w:rPr>
                <w:rFonts w:ascii="Arial" w:cs="Arial" w:eastAsia="Arial" w:hAnsi="Arial"/>
                <w:sz w:val="18"/>
                <w:szCs w:val="18"/>
                <w:color w:val="auto"/>
              </w:rPr>
              <w:t>6/30/2026</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19,349</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U.S. Treasury 5.250%</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11/15/2028</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19,082</w:t>
            </w:r>
          </w:p>
        </w:tc>
      </w:tr>
      <w:tr>
        <w:trPr>
          <w:trHeight w:val="22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U.S. Treasury 0.125%</w:t>
            </w:r>
          </w:p>
        </w:tc>
        <w:tc>
          <w:tcPr>
            <w:tcW w:w="1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10/15/2023</w:t>
            </w:r>
          </w:p>
        </w:tc>
        <w:tc>
          <w:tcPr>
            <w:tcW w:w="3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17,449</w:t>
            </w:r>
          </w:p>
        </w:tc>
      </w:tr>
      <w:tr>
        <w:trPr>
          <w:trHeight w:val="248"/>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239,641</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260" w:type="dxa"/>
            <w:vAlign w:val="bottom"/>
            <w:gridSpan w:val="2"/>
          </w:tcPr>
          <w:p>
            <w:pPr>
              <w:ind w:left="20"/>
              <w:spacing w:after="0" w:line="203" w:lineRule="exact"/>
              <w:rPr>
                <w:sz w:val="20"/>
                <w:szCs w:val="20"/>
                <w:color w:val="auto"/>
              </w:rPr>
            </w:pPr>
            <w:r>
              <w:rPr>
                <w:rFonts w:ascii="Arial" w:cs="Arial" w:eastAsia="Arial" w:hAnsi="Arial"/>
                <w:sz w:val="18"/>
                <w:szCs w:val="18"/>
                <w:b w:val="1"/>
                <w:bCs w:val="1"/>
                <w:color w:val="auto"/>
                <w:w w:val="91"/>
              </w:rPr>
              <w:t>Percent of Investments Available for Sale</w:t>
            </w: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4.8 %</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include municipal debt securities for states that represent more than 10% of the total municipal bond position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62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 in thousands)</w:t>
            </w:r>
          </w:p>
        </w:tc>
        <w:tc>
          <w:tcPr>
            <w:tcW w:w="146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Fair Value</w:t>
            </w: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Amortized</w:t>
            </w: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Credit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6220" w:type="dxa"/>
            <w:vAlign w:val="bottom"/>
            <w:gridSpan w:val="2"/>
            <w:vMerge w:val="continue"/>
            <w:shd w:val="clear" w:color="auto" w:fill="CCEEFF"/>
          </w:tcPr>
          <w:p>
            <w:pPr>
              <w:spacing w:after="0"/>
              <w:rPr>
                <w:sz w:val="17"/>
                <w:szCs w:val="17"/>
                <w:color w:val="auto"/>
              </w:rPr>
            </w:pPr>
          </w:p>
        </w:tc>
        <w:tc>
          <w:tcPr>
            <w:tcW w:w="146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31"/>
              <w:spacing w:after="0"/>
              <w:rPr>
                <w:sz w:val="20"/>
                <w:szCs w:val="20"/>
                <w:color w:val="auto"/>
              </w:rPr>
            </w:pPr>
            <w:r>
              <w:rPr>
                <w:rFonts w:ascii="Arial" w:cs="Arial" w:eastAsia="Arial" w:hAnsi="Arial"/>
                <w:sz w:val="14"/>
                <w:szCs w:val="14"/>
                <w:b w:val="1"/>
                <w:bCs w:val="1"/>
                <w:color w:val="auto"/>
              </w:rPr>
              <w:t>Cost</w:t>
            </w: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Bay Area Toll Authority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State of California</w:t>
            </w:r>
          </w:p>
        </w:tc>
        <w:tc>
          <w:tcPr>
            <w:tcW w:w="1360" w:type="dxa"/>
            <w:vAlign w:val="bottom"/>
          </w:tcPr>
          <w:p>
            <w:pPr>
              <w:jc w:val="right"/>
              <w:spacing w:after="0"/>
              <w:rPr>
                <w:sz w:val="20"/>
                <w:szCs w:val="20"/>
                <w:color w:val="auto"/>
              </w:rPr>
            </w:pPr>
            <w:r>
              <w:rPr>
                <w:rFonts w:ascii="Arial" w:cs="Arial" w:eastAsia="Arial" w:hAnsi="Arial"/>
                <w:sz w:val="18"/>
                <w:szCs w:val="18"/>
                <w:color w:val="auto"/>
              </w:rPr>
              <w:t>6,469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6,953</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 Joaquin Hills Transportation Corridor Agency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City of Anaheim CA</w:t>
            </w:r>
          </w:p>
        </w:tc>
        <w:tc>
          <w:tcPr>
            <w:tcW w:w="1360" w:type="dxa"/>
            <w:vAlign w:val="bottom"/>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7,725</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Community Hospitals of Central California Obligated Group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Golden State Tobacco Securitization Corp</w:t>
            </w:r>
          </w:p>
        </w:tc>
        <w:tc>
          <w:tcPr>
            <w:tcW w:w="1360" w:type="dxa"/>
            <w:vAlign w:val="bottom"/>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5,016</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City of Carson CA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City of Long Beach CA Harbor Revenue</w:t>
            </w:r>
          </w:p>
        </w:tc>
        <w:tc>
          <w:tcPr>
            <w:tcW w:w="1360" w:type="dxa"/>
            <w:vAlign w:val="bottom"/>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3,145</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 Jose Unified School District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The Redwoods a Community of Seniors</w:t>
            </w:r>
          </w:p>
        </w:tc>
        <w:tc>
          <w:tcPr>
            <w:tcW w:w="1360" w:type="dxa"/>
            <w:vAlign w:val="bottom"/>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3,740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County of Kern CA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Baa2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Los Angeles Unified School District/CA</w:t>
            </w:r>
          </w:p>
        </w:tc>
        <w:tc>
          <w:tcPr>
            <w:tcW w:w="1360" w:type="dxa"/>
            <w:vAlign w:val="bottom"/>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3,056</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City of Los Angeles Department of Airports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Chabot-Las Positas Community College District</w:t>
            </w:r>
          </w:p>
        </w:tc>
        <w:tc>
          <w:tcPr>
            <w:tcW w:w="1360" w:type="dxa"/>
            <w:vAlign w:val="bottom"/>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2,635</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University of California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City of Inglewood CA</w:t>
            </w:r>
          </w:p>
        </w:tc>
        <w:tc>
          <w:tcPr>
            <w:tcW w:w="1360" w:type="dxa"/>
            <w:vAlign w:val="bottom"/>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3,132</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Port of Oakland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City of Monterey Park CA</w:t>
            </w:r>
          </w:p>
        </w:tc>
        <w:tc>
          <w:tcPr>
            <w:tcW w:w="1360" w:type="dxa"/>
            <w:vAlign w:val="bottom"/>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2,967</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6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San Francisco City &amp; County Airport Comm-San Francisco International</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Airport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County of Riverside CA</w:t>
            </w:r>
          </w:p>
        </w:tc>
        <w:tc>
          <w:tcPr>
            <w:tcW w:w="1360" w:type="dxa"/>
            <w:vAlign w:val="bottom"/>
          </w:tcPr>
          <w:p>
            <w:pPr>
              <w:jc w:val="right"/>
              <w:spacing w:after="0"/>
              <w:rPr>
                <w:sz w:val="20"/>
                <w:szCs w:val="20"/>
                <w:color w:val="auto"/>
              </w:rPr>
            </w:pPr>
            <w:r>
              <w:rPr>
                <w:rFonts w:ascii="Arial" w:cs="Arial" w:eastAsia="Arial" w:hAnsi="Arial"/>
                <w:sz w:val="18"/>
                <w:szCs w:val="18"/>
                <w:color w:val="auto"/>
              </w:rPr>
              <w:t>2,040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of California Personal Income Tax Revenue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Foothill-Eastern Transportation Corridor Agency</w:t>
            </w:r>
          </w:p>
        </w:tc>
        <w:tc>
          <w:tcPr>
            <w:tcW w:w="1360" w:type="dxa"/>
            <w:vAlign w:val="bottom"/>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2,350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Kaiser Foundation Hospitals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Regents of the University of California Medical Center Pooled Revenue</w:t>
            </w:r>
          </w:p>
        </w:tc>
        <w:tc>
          <w:tcPr>
            <w:tcW w:w="136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1,361</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Riverside County Transportation Commission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City of Torrance CA</w:t>
            </w:r>
          </w:p>
        </w:tc>
        <w:tc>
          <w:tcPr>
            <w:tcW w:w="136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1,244</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City of San Francisco CA Public Utilities Commission Water Revenue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City of El Cajon CA</w:t>
            </w:r>
          </w:p>
        </w:tc>
        <w:tc>
          <w:tcPr>
            <w:tcW w:w="136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1,283</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County of Sacramento CA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City of El Monte CA</w:t>
            </w:r>
          </w:p>
        </w:tc>
        <w:tc>
          <w:tcPr>
            <w:tcW w:w="136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Alameda Corridor Transportation Authority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Cathedral City Redevelopment Agency Successor Agency</w:t>
            </w:r>
          </w:p>
        </w:tc>
        <w:tc>
          <w:tcPr>
            <w:tcW w:w="136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Pomona Redevelopment Agency Successor Agency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California Independent System Operator Corp</w:t>
            </w:r>
          </w:p>
        </w:tc>
        <w:tc>
          <w:tcPr>
            <w:tcW w:w="136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725</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California County Tobacco Securitization Agency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County of San Bernardino CA</w:t>
            </w:r>
          </w:p>
        </w:tc>
        <w:tc>
          <w:tcPr>
            <w:tcW w:w="136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Oxnard Union High School District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City of San Jose CA</w:t>
            </w:r>
          </w:p>
        </w:tc>
        <w:tc>
          <w:tcPr>
            <w:tcW w:w="13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City of Riverside CA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Compton Community College District</w:t>
            </w:r>
          </w:p>
        </w:tc>
        <w:tc>
          <w:tcPr>
            <w:tcW w:w="13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City of Los Angeles CA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86,881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105,224</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0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60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9A9A9A"/>
            </w:tcBorders>
          </w:tcPr>
          <w:p>
            <w:pPr>
              <w:spacing w:after="0"/>
              <w:rPr>
                <w:sz w:val="10"/>
                <w:szCs w:val="10"/>
                <w:color w:val="auto"/>
              </w:rPr>
            </w:pPr>
          </w:p>
        </w:tc>
        <w:tc>
          <w:tcPr>
            <w:tcW w:w="5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 in thousands)</w:t>
            </w:r>
          </w:p>
        </w:tc>
        <w:tc>
          <w:tcPr>
            <w:tcW w:w="146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Fair Value</w:t>
            </w: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432"/>
              <w:spacing w:after="0"/>
              <w:rPr>
                <w:sz w:val="20"/>
                <w:szCs w:val="20"/>
                <w:color w:val="auto"/>
              </w:rPr>
            </w:pPr>
            <w:r>
              <w:rPr>
                <w:rFonts w:ascii="Arial" w:cs="Arial" w:eastAsia="Arial" w:hAnsi="Arial"/>
                <w:sz w:val="14"/>
                <w:szCs w:val="14"/>
                <w:b w:val="1"/>
                <w:bCs w:val="1"/>
                <w:color w:val="auto"/>
              </w:rPr>
              <w:t>Amortized</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40" w:type="dxa"/>
            <w:vAlign w:val="bottom"/>
            <w:gridSpan w:val="3"/>
            <w:vMerge w:val="continue"/>
            <w:shd w:val="clear" w:color="auto" w:fill="CCEEFF"/>
          </w:tcPr>
          <w:p>
            <w:pPr>
              <w:spacing w:after="0"/>
              <w:rPr>
                <w:sz w:val="17"/>
                <w:szCs w:val="17"/>
                <w:color w:val="auto"/>
              </w:rPr>
            </w:pPr>
          </w:p>
        </w:tc>
        <w:tc>
          <w:tcPr>
            <w:tcW w:w="146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12"/>
              <w:spacing w:after="0"/>
              <w:rPr>
                <w:sz w:val="20"/>
                <w:szCs w:val="20"/>
                <w:color w:val="auto"/>
              </w:rPr>
            </w:pPr>
            <w:r>
              <w:rPr>
                <w:rFonts w:ascii="Arial" w:cs="Arial" w:eastAsia="Arial" w:hAnsi="Arial"/>
                <w:sz w:val="14"/>
                <w:szCs w:val="14"/>
                <w:b w:val="1"/>
                <w:bCs w:val="1"/>
                <w:color w:val="auto"/>
              </w:rPr>
              <w:t>Cost</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gridSpan w:val="2"/>
          </w:tcPr>
          <w:p>
            <w:pPr>
              <w:ind w:left="20"/>
              <w:spacing w:after="0"/>
              <w:rPr>
                <w:sz w:val="20"/>
                <w:szCs w:val="20"/>
                <w:color w:val="auto"/>
              </w:rPr>
            </w:pPr>
            <w:r>
              <w:rPr>
                <w:rFonts w:ascii="Arial" w:cs="Arial" w:eastAsia="Arial" w:hAnsi="Arial"/>
                <w:sz w:val="18"/>
                <w:szCs w:val="18"/>
                <w:color w:val="auto"/>
              </w:rPr>
              <w:t>New York</w:t>
            </w: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City of New York NY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Arial" w:cs="Arial" w:eastAsia="Arial" w:hAnsi="Arial"/>
                <w:sz w:val="18"/>
                <w:szCs w:val="18"/>
                <w:color w:val="auto"/>
              </w:rPr>
              <w:t>Port Authority of New York &amp; New Jersey</w:t>
            </w:r>
          </w:p>
        </w:tc>
        <w:tc>
          <w:tcPr>
            <w:tcW w:w="1360" w:type="dxa"/>
            <w:vAlign w:val="bottom"/>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8,387</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New York City Transitional Finance Authority Future Tax Secured Revenue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Arial" w:cs="Arial" w:eastAsia="Arial" w:hAnsi="Arial"/>
                <w:sz w:val="18"/>
                <w:szCs w:val="18"/>
                <w:color w:val="auto"/>
              </w:rPr>
              <w:t>State of New York Personal Income Tax Revenue</w:t>
            </w:r>
          </w:p>
        </w:tc>
        <w:tc>
          <w:tcPr>
            <w:tcW w:w="1360" w:type="dxa"/>
            <w:vAlign w:val="bottom"/>
          </w:tcPr>
          <w:p>
            <w:pPr>
              <w:jc w:val="right"/>
              <w:spacing w:after="0"/>
              <w:rPr>
                <w:sz w:val="20"/>
                <w:szCs w:val="20"/>
                <w:color w:val="auto"/>
              </w:rPr>
            </w:pPr>
            <w:r>
              <w:rPr>
                <w:rFonts w:ascii="Arial" w:cs="Arial" w:eastAsia="Arial" w:hAnsi="Arial"/>
                <w:sz w:val="18"/>
                <w:szCs w:val="18"/>
                <w:color w:val="auto"/>
              </w:rPr>
              <w:t>7,094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7,345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Metropolitan Transportation Authority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Arial" w:cs="Arial" w:eastAsia="Arial" w:hAnsi="Arial"/>
                <w:sz w:val="18"/>
                <w:szCs w:val="18"/>
                <w:color w:val="auto"/>
              </w:rPr>
              <w:t>Metropolitan Transportation Authority Payroll Mobility Tax Revenue</w:t>
            </w:r>
          </w:p>
        </w:tc>
        <w:tc>
          <w:tcPr>
            <w:tcW w:w="1360" w:type="dxa"/>
            <w:vAlign w:val="bottom"/>
          </w:tcPr>
          <w:p>
            <w:pPr>
              <w:jc w:val="right"/>
              <w:spacing w:after="0"/>
              <w:rPr>
                <w:sz w:val="20"/>
                <w:szCs w:val="20"/>
                <w:color w:val="auto"/>
              </w:rPr>
            </w:pPr>
            <w:r>
              <w:rPr>
                <w:rFonts w:ascii="Arial" w:cs="Arial" w:eastAsia="Arial" w:hAnsi="Arial"/>
                <w:sz w:val="18"/>
                <w:szCs w:val="18"/>
                <w:color w:val="auto"/>
              </w:rPr>
              <w:t>4,573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5,858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University of Rochester</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Arial" w:cs="Arial" w:eastAsia="Arial" w:hAnsi="Arial"/>
                <w:sz w:val="18"/>
                <w:szCs w:val="18"/>
                <w:color w:val="auto"/>
              </w:rPr>
              <w:t>New York City Water &amp; Sewer System</w:t>
            </w:r>
          </w:p>
        </w:tc>
        <w:tc>
          <w:tcPr>
            <w:tcW w:w="1360" w:type="dxa"/>
            <w:vAlign w:val="bottom"/>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Triborough Bridge &amp; Tunnel Authority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Arial" w:cs="Arial" w:eastAsia="Arial" w:hAnsi="Arial"/>
                <w:sz w:val="18"/>
                <w:szCs w:val="18"/>
                <w:color w:val="auto"/>
              </w:rPr>
              <w:t>Research Foundation of State University of New York/The</w:t>
            </w:r>
          </w:p>
        </w:tc>
        <w:tc>
          <w:tcPr>
            <w:tcW w:w="136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City of Yonkers NY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Arial" w:cs="Arial" w:eastAsia="Arial" w:hAnsi="Arial"/>
                <w:sz w:val="18"/>
                <w:szCs w:val="18"/>
                <w:color w:val="auto"/>
              </w:rPr>
              <w:t>Rochester Institute of Technology</w:t>
            </w:r>
          </w:p>
        </w:tc>
        <w:tc>
          <w:tcPr>
            <w:tcW w:w="1360" w:type="dxa"/>
            <w:vAlign w:val="bottom"/>
          </w:tcPr>
          <w:p>
            <w:pPr>
              <w:jc w:val="right"/>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 Island Power Authority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Arial" w:cs="Arial" w:eastAsia="Arial" w:hAnsi="Arial"/>
                <w:sz w:val="18"/>
                <w:szCs w:val="18"/>
                <w:color w:val="auto"/>
              </w:rPr>
              <w:t>New York State Dormitory Authority</w:t>
            </w:r>
          </w:p>
        </w:tc>
        <w:tc>
          <w:tcPr>
            <w:tcW w:w="1360" w:type="dxa"/>
            <w:vAlign w:val="bottom"/>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New York City Transitional Finance Authority Building Aid Revenue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Arial" w:cs="Arial" w:eastAsia="Arial" w:hAnsi="Arial"/>
                <w:sz w:val="18"/>
                <w:szCs w:val="18"/>
                <w:color w:val="auto"/>
              </w:rPr>
              <w:t>Trustees of Columbia University in the City of New York/The</w:t>
            </w:r>
          </w:p>
        </w:tc>
        <w:tc>
          <w:tcPr>
            <w:tcW w:w="1360" w:type="dxa"/>
            <w:vAlign w:val="bottom"/>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State of New York Sales Tax Revenue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Arial" w:cs="Arial" w:eastAsia="Arial" w:hAnsi="Arial"/>
                <w:sz w:val="18"/>
                <w:szCs w:val="18"/>
                <w:color w:val="auto"/>
              </w:rPr>
              <w:t>State University of New York Dormitory Facilities Revenue</w:t>
            </w:r>
          </w:p>
        </w:tc>
        <w:tc>
          <w:tcPr>
            <w:tcW w:w="136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Yankee Stadium LLC</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Arial" w:cs="Arial" w:eastAsia="Arial" w:hAnsi="Arial"/>
                <w:sz w:val="18"/>
                <w:szCs w:val="18"/>
                <w:color w:val="auto"/>
              </w:rPr>
              <w:t>County of Nassau NY</w:t>
            </w:r>
          </w:p>
        </w:tc>
        <w:tc>
          <w:tcPr>
            <w:tcW w:w="136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160" w:type="dxa"/>
            <w:vAlign w:val="bottom"/>
            <w:tcBorders>
              <w:top w:val="single" w:sz="8" w:color="CCEEFF"/>
              <w:bottom w:val="single" w:sz="8" w:color="CCEEFF"/>
            </w:tcBorders>
            <w:shd w:val="clear" w:color="auto" w:fill="CCEEFF"/>
          </w:tcPr>
          <w:p>
            <w:pPr>
              <w:spacing w:after="0"/>
              <w:rPr>
                <w:sz w:val="21"/>
                <w:szCs w:val="21"/>
                <w:color w:val="auto"/>
              </w:rPr>
            </w:pPr>
          </w:p>
        </w:tc>
        <w:tc>
          <w:tcPr>
            <w:tcW w:w="37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3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hanging="328"/>
        <w:spacing w:after="0" w:line="277" w:lineRule="auto"/>
        <w:tabs>
          <w:tab w:leader="none" w:pos="6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of the above securities may include financial guaranty insurance or state enhancements. The above ratings include the effect of these credit enhancements, if applicable.</w:t>
      </w:r>
    </w:p>
    <w:p>
      <w:pPr>
        <w:spacing w:after="0" w:line="197" w:lineRule="exact"/>
        <w:rPr>
          <w:rFonts w:ascii="Arial" w:cs="Arial" w:eastAsia="Arial" w:hAnsi="Arial"/>
          <w:sz w:val="18"/>
          <w:szCs w:val="18"/>
          <w:color w:val="auto"/>
        </w:rPr>
      </w:pPr>
    </w:p>
    <w:p>
      <w:pPr>
        <w:ind w:left="640" w:hanging="308"/>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 w:firstLine="180"/>
        <w:spacing w:after="0" w:line="255" w:lineRule="auto"/>
        <w:rPr>
          <w:sz w:val="20"/>
          <w:szCs w:val="20"/>
          <w:color w:val="auto"/>
        </w:rPr>
      </w:pPr>
      <w:r>
        <w:rPr>
          <w:rFonts w:ascii="Arial" w:cs="Arial" w:eastAsia="Arial" w:hAnsi="Arial"/>
          <w:sz w:val="18"/>
          <w:szCs w:val="18"/>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September 30, 2022, our estimated off-balance sheet maximum exposure to loss from the Radnor Re entities was $0.6 million, representing the estimated net present value of investment earnings on the assets in the reinsurance trusts. See Note 4 to our condensed consolidated financial statements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As of the filing date of this report, there were no significant changes in our critical accounting policies from those discussed in our 2021 Form 10-K. See Note 2 to our condensed consolidated financial statements for recently issued accounting standards adopted or under evaluation.</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46" w:lineRule="exact"/>
        <w:rPr>
          <w:sz w:val="20"/>
          <w:szCs w:val="20"/>
          <w:color w:val="auto"/>
        </w:rPr>
      </w:pPr>
    </w:p>
    <w:p>
      <w:pPr>
        <w:jc w:val="both"/>
        <w:ind w:left="660" w:right="220" w:hanging="328"/>
        <w:spacing w:after="0" w:line="301" w:lineRule="auto"/>
        <w:tabs>
          <w:tab w:leader="none" w:pos="655"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7" w:lineRule="exact"/>
        <w:rPr>
          <w:rFonts w:ascii="Arial" w:cs="Arial" w:eastAsia="Arial" w:hAnsi="Arial"/>
          <w:sz w:val="16"/>
          <w:szCs w:val="16"/>
          <w:i w:val="1"/>
          <w:iCs w:val="1"/>
          <w:color w:val="auto"/>
        </w:rPr>
      </w:pPr>
    </w:p>
    <w:p>
      <w:pPr>
        <w:ind w:left="660" w:right="100" w:hanging="328"/>
        <w:spacing w:after="0" w:line="277" w:lineRule="auto"/>
        <w:tabs>
          <w:tab w:leader="none" w:pos="655"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97" w:lineRule="exact"/>
        <w:rPr>
          <w:rFonts w:ascii="Arial" w:cs="Arial" w:eastAsia="Arial" w:hAnsi="Arial"/>
          <w:sz w:val="18"/>
          <w:szCs w:val="18"/>
          <w:i w:val="1"/>
          <w:iCs w:val="1"/>
          <w:color w:val="auto"/>
        </w:rPr>
      </w:pPr>
    </w:p>
    <w:p>
      <w:pPr>
        <w:ind w:left="660" w:right="380" w:hanging="328"/>
        <w:spacing w:after="0" w:line="342" w:lineRule="auto"/>
        <w:tabs>
          <w:tab w:leader="none" w:pos="655"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50" w:lineRule="exact"/>
        <w:rPr>
          <w:rFonts w:ascii="Arial" w:cs="Arial" w:eastAsia="Arial" w:hAnsi="Arial"/>
          <w:sz w:val="16"/>
          <w:szCs w:val="16"/>
          <w:i w:val="1"/>
          <w:iCs w:val="1"/>
          <w:color w:val="auto"/>
        </w:rPr>
      </w:pPr>
    </w:p>
    <w:p>
      <w:pPr>
        <w:ind w:left="660" w:right="260" w:hanging="328"/>
        <w:spacing w:after="0" w:line="342" w:lineRule="auto"/>
        <w:tabs>
          <w:tab w:leader="none" w:pos="655"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50" w:lineRule="exact"/>
        <w:rPr>
          <w:rFonts w:ascii="Arial" w:cs="Arial" w:eastAsia="Arial" w:hAnsi="Arial"/>
          <w:sz w:val="16"/>
          <w:szCs w:val="16"/>
          <w:i w:val="1"/>
          <w:iCs w:val="1"/>
          <w:color w:val="auto"/>
        </w:rPr>
      </w:pPr>
    </w:p>
    <w:p>
      <w:pPr>
        <w:ind w:left="660" w:right="500" w:hanging="328"/>
        <w:spacing w:after="0" w:line="277" w:lineRule="auto"/>
        <w:tabs>
          <w:tab w:leader="none" w:pos="655"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70"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4"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At September 30, 2022, the effective duration of our investments available for sale was 3.7 years, which means that an instantaneous parallel shift (movement up or down) in the yield curve of 100 basis points would result in a change of 3.7% in fair value of our investments available for sale. Excluding short-term investments, our investments available for sale effective duration was 4.1 years, which means that an instantaneous parallel shift (movement up or down) in the yield curve of 100 basis points would result in a change of 4.1% in fair value of our investments available for sale.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September 30, 2022, the end of the period covered by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Risk factors that affect our business and financial results are discussed in Part I, Item 1A. “Risk Factors” in our Annual Report on Form 10-K for the year ended December 31, 2021. Except as discussed below,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along with the disclosure below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of our common shares during the three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620" w:type="dxa"/>
            <w:vAlign w:val="bottom"/>
            <w:gridSpan w:val="3"/>
          </w:tcPr>
          <w:p>
            <w:pPr>
              <w:spacing w:after="0"/>
              <w:rPr>
                <w:sz w:val="20"/>
                <w:szCs w:val="20"/>
                <w:color w:val="auto"/>
              </w:rPr>
            </w:pPr>
            <w:r>
              <w:rPr>
                <w:rFonts w:ascii="Arial" w:cs="Arial" w:eastAsia="Arial" w:hAnsi="Arial"/>
                <w:sz w:val="18"/>
                <w:szCs w:val="18"/>
                <w:color w:val="auto"/>
              </w:rPr>
              <w:t>(a)</w:t>
            </w:r>
          </w:p>
        </w:tc>
        <w:tc>
          <w:tcPr>
            <w:tcW w:w="10440" w:type="dxa"/>
            <w:vAlign w:val="bottom"/>
            <w:gridSpan w:val="2"/>
          </w:tcPr>
          <w:p>
            <w:pPr>
              <w:ind w:left="6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24"/>
                <w:szCs w:val="24"/>
                <w:color w:val="auto"/>
              </w:rPr>
            </w:pPr>
          </w:p>
        </w:tc>
        <w:tc>
          <w:tcPr>
            <w:tcW w:w="9940" w:type="dxa"/>
            <w:vAlign w:val="bottom"/>
            <w:vMerge w:val="restart"/>
          </w:tcPr>
          <w:p>
            <w:pPr>
              <w:ind w:left="4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No.</w:t>
            </w:r>
          </w:p>
        </w:tc>
        <w:tc>
          <w:tcPr>
            <w:tcW w:w="500" w:type="dxa"/>
            <w:vAlign w:val="bottom"/>
            <w:tcBorders>
              <w:bottom w:val="single" w:sz="8" w:color="auto"/>
            </w:tcBorders>
          </w:tcPr>
          <w:p>
            <w:pPr>
              <w:spacing w:after="0"/>
              <w:rPr>
                <w:sz w:val="16"/>
                <w:szCs w:val="16"/>
                <w:color w:val="auto"/>
              </w:rPr>
            </w:pPr>
          </w:p>
        </w:tc>
        <w:tc>
          <w:tcPr>
            <w:tcW w:w="9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gridSpan w:val="3"/>
          </w:tcPr>
          <w:p>
            <w:pPr>
              <w:ind w:left="20"/>
              <w:spacing w:after="0" w:line="189"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500" w:type="dxa"/>
            <w:vAlign w:val="bottom"/>
          </w:tcPr>
          <w:p>
            <w:pPr>
              <w:spacing w:after="0"/>
              <w:rPr>
                <w:sz w:val="16"/>
                <w:szCs w:val="16"/>
                <w:color w:val="auto"/>
              </w:rPr>
            </w:pPr>
          </w:p>
        </w:tc>
        <w:tc>
          <w:tcPr>
            <w:tcW w:w="9940" w:type="dxa"/>
            <w:vAlign w:val="bottom"/>
          </w:tcPr>
          <w:p>
            <w:pPr>
              <w:ind w:left="440"/>
              <w:spacing w:after="0" w:line="189" w:lineRule="exact"/>
              <w:rPr>
                <w:sz w:val="20"/>
                <w:szCs w:val="20"/>
                <w:color w:val="auto"/>
              </w:rPr>
            </w:pPr>
            <w:r>
              <w:rPr>
                <w:rFonts w:ascii="Arial" w:cs="Arial" w:eastAsia="Arial" w:hAnsi="Arial"/>
                <w:sz w:val="18"/>
                <w:szCs w:val="18"/>
                <w:color w:val="auto"/>
                <w:w w:val="93"/>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tcPr>
          <w:p>
            <w:pPr>
              <w:ind w:left="440"/>
              <w:spacing w:after="0" w:line="195" w:lineRule="exact"/>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90"/>
        </w:trPr>
        <w:tc>
          <w:tcPr>
            <w:tcW w:w="620" w:type="dxa"/>
            <w:vAlign w:val="bottom"/>
            <w:gridSpan w:val="3"/>
          </w:tcPr>
          <w:p>
            <w:pPr>
              <w:ind w:left="20"/>
              <w:spacing w:after="0" w:line="190"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500" w:type="dxa"/>
            <w:vAlign w:val="bottom"/>
          </w:tcPr>
          <w:p>
            <w:pPr>
              <w:spacing w:after="0"/>
              <w:rPr>
                <w:sz w:val="16"/>
                <w:szCs w:val="16"/>
                <w:color w:val="auto"/>
              </w:rPr>
            </w:pPr>
          </w:p>
        </w:tc>
        <w:tc>
          <w:tcPr>
            <w:tcW w:w="9940" w:type="dxa"/>
            <w:vAlign w:val="bottom"/>
          </w:tcPr>
          <w:p>
            <w:pPr>
              <w:ind w:left="440"/>
              <w:spacing w:after="0" w:line="190" w:lineRule="exact"/>
              <w:rPr>
                <w:sz w:val="20"/>
                <w:szCs w:val="20"/>
                <w:color w:val="auto"/>
              </w:rPr>
            </w:pPr>
            <w:r>
              <w:rPr>
                <w:rFonts w:ascii="Arial" w:cs="Arial" w:eastAsia="Arial" w:hAnsi="Arial"/>
                <w:sz w:val="18"/>
                <w:szCs w:val="18"/>
                <w:color w:val="auto"/>
                <w:w w:val="94"/>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40" w:type="dxa"/>
            <w:vAlign w:val="bottom"/>
          </w:tcPr>
          <w:p>
            <w:pPr>
              <w:ind w:left="44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90"/>
        </w:trPr>
        <w:tc>
          <w:tcPr>
            <w:tcW w:w="620" w:type="dxa"/>
            <w:vAlign w:val="bottom"/>
            <w:gridSpan w:val="3"/>
          </w:tcPr>
          <w:p>
            <w:pPr>
              <w:ind w:left="20"/>
              <w:spacing w:after="0" w:line="190"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500" w:type="dxa"/>
            <w:vAlign w:val="bottom"/>
          </w:tcPr>
          <w:p>
            <w:pPr>
              <w:spacing w:after="0"/>
              <w:rPr>
                <w:sz w:val="16"/>
                <w:szCs w:val="16"/>
                <w:color w:val="auto"/>
              </w:rPr>
            </w:pPr>
          </w:p>
        </w:tc>
        <w:tc>
          <w:tcPr>
            <w:tcW w:w="9940" w:type="dxa"/>
            <w:vAlign w:val="bottom"/>
          </w:tcPr>
          <w:p>
            <w:pPr>
              <w:ind w:left="440"/>
              <w:spacing w:after="0" w:line="190" w:lineRule="exact"/>
              <w:rPr>
                <w:sz w:val="20"/>
                <w:szCs w:val="20"/>
                <w:color w:val="auto"/>
              </w:rPr>
            </w:pPr>
            <w:r>
              <w:rPr>
                <w:rFonts w:ascii="Arial" w:cs="Arial" w:eastAsia="Arial" w:hAnsi="Arial"/>
                <w:sz w:val="18"/>
                <w:szCs w:val="18"/>
                <w:color w:val="auto"/>
                <w:w w:val="91"/>
              </w:rPr>
              <w:t>Certification of Chief Executive Officer and Chief Financial Officer pursuant to 18 U.S.C. 1350, as adopted pursuant to Section 906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40" w:type="dxa"/>
            <w:vAlign w:val="bottom"/>
          </w:tcPr>
          <w:p>
            <w:pPr>
              <w:ind w:left="440"/>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r>
        <w:trPr>
          <w:trHeight w:val="189"/>
        </w:trPr>
        <w:tc>
          <w:tcPr>
            <w:tcW w:w="34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99"/>
              </w:rPr>
              <w:t>101</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tcPr>
          <w:p>
            <w:pPr>
              <w:ind w:left="440"/>
              <w:spacing w:after="0" w:line="189" w:lineRule="exact"/>
              <w:rPr>
                <w:sz w:val="20"/>
                <w:szCs w:val="20"/>
                <w:color w:val="auto"/>
              </w:rPr>
            </w:pPr>
            <w:r>
              <w:rPr>
                <w:rFonts w:ascii="Arial" w:cs="Arial" w:eastAsia="Arial" w:hAnsi="Arial"/>
                <w:sz w:val="18"/>
                <w:szCs w:val="18"/>
                <w:color w:val="auto"/>
                <w:w w:val="92"/>
              </w:rPr>
              <w:t>The following financial information from this Quarterly Report on Form 10-Q for the quarter ended September 30, 2022, formatted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940" w:type="dxa"/>
            <w:vAlign w:val="bottom"/>
          </w:tcPr>
          <w:p>
            <w:pPr>
              <w:ind w:left="440"/>
              <w:spacing w:after="0" w:line="176" w:lineRule="exact"/>
              <w:rPr>
                <w:sz w:val="20"/>
                <w:szCs w:val="20"/>
                <w:color w:val="auto"/>
              </w:rPr>
            </w:pPr>
            <w:r>
              <w:rPr>
                <w:rFonts w:ascii="Arial" w:cs="Arial" w:eastAsia="Arial" w:hAnsi="Arial"/>
                <w:sz w:val="18"/>
                <w:szCs w:val="18"/>
                <w:color w:val="auto"/>
                <w:w w:val="95"/>
              </w:rPr>
              <w:t>in Inline XBRL: (i) the Condensed Consolidated Balance Sheets (Unaudited); (ii) the Condensed Consolidated Statements of</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tcPr>
          <w:p>
            <w:pPr>
              <w:ind w:left="440"/>
              <w:spacing w:after="0" w:line="191" w:lineRule="exact"/>
              <w:rPr>
                <w:sz w:val="20"/>
                <w:szCs w:val="20"/>
                <w:color w:val="auto"/>
              </w:rPr>
            </w:pPr>
            <w:r>
              <w:rPr>
                <w:rFonts w:ascii="Arial" w:cs="Arial" w:eastAsia="Arial" w:hAnsi="Arial"/>
                <w:sz w:val="18"/>
                <w:szCs w:val="18"/>
                <w:color w:val="auto"/>
                <w:w w:val="90"/>
              </w:rPr>
              <w:t>Comprehensive Income (Unaudited); (iii) the Condensed Consolidated Statements of Changes in Stockholders’ Equity (Unaudited);</w:t>
            </w:r>
          </w:p>
        </w:tc>
        <w:tc>
          <w:tcPr>
            <w:tcW w:w="0" w:type="dxa"/>
            <w:vAlign w:val="bottom"/>
          </w:tcPr>
          <w:p>
            <w:pPr>
              <w:spacing w:after="0"/>
              <w:rPr>
                <w:sz w:val="1"/>
                <w:szCs w:val="1"/>
                <w:color w:val="auto"/>
              </w:rPr>
            </w:pPr>
          </w:p>
        </w:tc>
      </w:tr>
    </w:tbl>
    <w:p>
      <w:pPr>
        <w:ind w:left="1560" w:right="320" w:hanging="9"/>
        <w:spacing w:after="0" w:line="233" w:lineRule="auto"/>
        <w:tabs>
          <w:tab w:leader="none" w:pos="1865"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Condensed Consolidated Statements of Cash Flows (Unaudited); and (v) the Notes to Condensed Consolidated Financial Statements (Unaudited).</w:t>
      </w:r>
    </w:p>
    <w:p>
      <w:pPr>
        <w:spacing w:after="0" w:line="54"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9683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01"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ESSENT GROUP LTD.</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32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29743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Mark A. Casale</w:t>
      </w:r>
    </w:p>
    <w:p>
      <w:pPr>
        <w:spacing w:after="0" w:line="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President, Chief Executive Officer and Chairman</w:t>
      </w:r>
    </w:p>
    <w:p>
      <w:pPr>
        <w:ind w:left="53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532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29743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David B. Weinstock</w:t>
      </w:r>
    </w:p>
    <w:p>
      <w:pPr>
        <w:spacing w:after="0" w:line="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Vice President, Chief Accounting Officer</w:t>
      </w:r>
    </w:p>
    <w:p>
      <w:pPr>
        <w:ind w:left="5340"/>
        <w:spacing w:after="0" w:line="203" w:lineRule="auto"/>
        <w:rPr>
          <w:sz w:val="20"/>
          <w:szCs w:val="20"/>
          <w:color w:val="auto"/>
        </w:rPr>
      </w:pPr>
      <w:r>
        <w:rPr>
          <w:rFonts w:ascii="Arial" w:cs="Arial" w:eastAsia="Arial" w:hAnsi="Arial"/>
          <w:sz w:val="18"/>
          <w:szCs w:val="18"/>
          <w:color w:val="auto"/>
        </w:rPr>
        <w:t>and Interim Chief Financial Officer</w:t>
      </w:r>
    </w:p>
    <w:p>
      <w:pPr>
        <w:ind w:left="53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320" w:top="125" w:right="37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25" w:lineRule="exact"/>
        <w:rPr>
          <w:rFonts w:ascii="Arial" w:cs="Arial" w:eastAsia="Arial" w:hAnsi="Arial"/>
          <w:sz w:val="18"/>
          <w:szCs w:val="18"/>
          <w:color w:val="auto"/>
        </w:rPr>
      </w:pPr>
    </w:p>
    <w:p>
      <w:pPr>
        <w:jc w:val="both"/>
        <w:ind w:right="240" w:firstLine="8"/>
        <w:spacing w:after="0" w:line="342" w:lineRule="auto"/>
        <w:tabs>
          <w:tab w:leader="none" w:pos="517"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8"/>
        <w:spacing w:after="0" w:line="277" w:lineRule="auto"/>
        <w:tabs>
          <w:tab w:leader="none" w:pos="517"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51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0" w:firstLine="494"/>
        <w:spacing w:after="0" w:line="263" w:lineRule="auto"/>
        <w:tabs>
          <w:tab w:leader="none" w:pos="100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494"/>
        <w:spacing w:after="0" w:line="263" w:lineRule="auto"/>
        <w:tabs>
          <w:tab w:leader="none" w:pos="101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520" w:firstLine="494"/>
        <w:spacing w:after="0" w:line="342" w:lineRule="auto"/>
        <w:tabs>
          <w:tab w:leader="none" w:pos="1014"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firstLine="494"/>
        <w:spacing w:after="0" w:line="263" w:lineRule="auto"/>
        <w:tabs>
          <w:tab w:leader="none" w:pos="101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8"/>
        <w:spacing w:after="0" w:line="308" w:lineRule="auto"/>
        <w:tabs>
          <w:tab w:leader="none" w:pos="54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780" w:firstLine="494"/>
        <w:spacing w:after="0" w:line="308" w:lineRule="auto"/>
        <w:tabs>
          <w:tab w:leader="none" w:pos="1014"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60" w:firstLine="494"/>
        <w:spacing w:after="0" w:line="277" w:lineRule="auto"/>
        <w:tabs>
          <w:tab w:leader="none" w:pos="102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2022</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1319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A. Casale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B. Weinstock, certify that:</w:t>
      </w:r>
    </w:p>
    <w:p>
      <w:pPr>
        <w:spacing w:after="0" w:line="225" w:lineRule="exact"/>
        <w:rPr>
          <w:sz w:val="20"/>
          <w:szCs w:val="20"/>
          <w:color w:val="auto"/>
        </w:rPr>
      </w:pPr>
    </w:p>
    <w:p>
      <w:pPr>
        <w:ind w:left="560" w:hanging="552"/>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25" w:lineRule="exact"/>
        <w:rPr>
          <w:rFonts w:ascii="Arial" w:cs="Arial" w:eastAsia="Arial" w:hAnsi="Arial"/>
          <w:sz w:val="18"/>
          <w:szCs w:val="18"/>
          <w:color w:val="auto"/>
        </w:rPr>
      </w:pPr>
    </w:p>
    <w:p>
      <w:pPr>
        <w:jc w:val="both"/>
        <w:ind w:right="240" w:firstLine="8"/>
        <w:spacing w:after="0" w:line="342" w:lineRule="auto"/>
        <w:tabs>
          <w:tab w:leader="none" w:pos="517"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8"/>
        <w:spacing w:after="0" w:line="277" w:lineRule="auto"/>
        <w:tabs>
          <w:tab w:leader="none" w:pos="517"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51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0" w:firstLine="494"/>
        <w:spacing w:after="0" w:line="263" w:lineRule="auto"/>
        <w:tabs>
          <w:tab w:leader="none" w:pos="100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494"/>
        <w:spacing w:after="0" w:line="263" w:lineRule="auto"/>
        <w:tabs>
          <w:tab w:leader="none" w:pos="101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520" w:firstLine="494"/>
        <w:spacing w:after="0" w:line="342" w:lineRule="auto"/>
        <w:tabs>
          <w:tab w:leader="none" w:pos="1014"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firstLine="494"/>
        <w:spacing w:after="0" w:line="263" w:lineRule="auto"/>
        <w:tabs>
          <w:tab w:leader="none" w:pos="101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8"/>
        <w:spacing w:after="0" w:line="308" w:lineRule="auto"/>
        <w:tabs>
          <w:tab w:leader="none" w:pos="54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780" w:firstLine="494"/>
        <w:spacing w:after="0" w:line="308" w:lineRule="auto"/>
        <w:tabs>
          <w:tab w:leader="none" w:pos="1014"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60" w:firstLine="494"/>
        <w:spacing w:after="0" w:line="277" w:lineRule="auto"/>
        <w:tabs>
          <w:tab w:leader="none" w:pos="102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2022</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1319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 Weinstock</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Accounting Officer</w:t>
      </w:r>
    </w:p>
    <w:p>
      <w:pPr>
        <w:ind w:left="80"/>
        <w:spacing w:after="0"/>
        <w:rPr>
          <w:sz w:val="20"/>
          <w:szCs w:val="20"/>
          <w:color w:val="auto"/>
        </w:rPr>
      </w:pPr>
      <w:r>
        <w:rPr>
          <w:rFonts w:ascii="Arial" w:cs="Arial" w:eastAsia="Arial" w:hAnsi="Arial"/>
          <w:sz w:val="18"/>
          <w:szCs w:val="18"/>
          <w:color w:val="auto"/>
        </w:rPr>
        <w:t>and Interim Chief Financial Officer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57" w:name="page58"/>
    <w:bookmarkEnd w:id="57"/>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David B. Weinstock, Vice President, Chief Accounting Officer and Interim Chief Financial Officer of the Company, each hereby certify, pursuant to 18 U.S.C. Section 1350 as adopted pursuant to Section 906 of the Sarbanes-Oxley Act of 2002, that to the best of his knowledge:</w:t>
      </w:r>
    </w:p>
    <w:p>
      <w:pPr>
        <w:spacing w:after="0" w:line="184" w:lineRule="exact"/>
        <w:rPr>
          <w:sz w:val="20"/>
          <w:szCs w:val="20"/>
          <w:color w:val="auto"/>
        </w:rPr>
      </w:pPr>
    </w:p>
    <w:p>
      <w:pPr>
        <w:ind w:right="960" w:firstLine="8"/>
        <w:spacing w:after="0" w:line="277" w:lineRule="auto"/>
        <w:tabs>
          <w:tab w:leader="none" w:pos="6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2022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160" w:firstLine="8"/>
        <w:spacing w:after="0" w:line="527" w:lineRule="auto"/>
        <w:tabs>
          <w:tab w:leader="none" w:pos="6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7, 2022</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A. Casale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 and Chairman</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 Weinstock</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Accounting Officer</w:t>
      </w:r>
    </w:p>
    <w:p>
      <w:pPr>
        <w:ind w:left="80"/>
        <w:spacing w:after="0"/>
        <w:rPr>
          <w:sz w:val="20"/>
          <w:szCs w:val="20"/>
          <w:color w:val="auto"/>
        </w:rPr>
      </w:pPr>
      <w:r>
        <w:rPr>
          <w:rFonts w:ascii="Arial" w:cs="Arial" w:eastAsia="Arial" w:hAnsi="Arial"/>
          <w:sz w:val="18"/>
          <w:szCs w:val="18"/>
          <w:color w:val="auto"/>
        </w:rPr>
        <w:t>and Interim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3"/>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2"/>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2"/>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lvl w:ilvl="1">
      <w:lvlJc w:val="left"/>
      <w:lvlText w:val="(%2)"/>
      <w:numFmt w:val="lowerRoman"/>
      <w:start w:val="4"/>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2022-11-08T05:17:54Z</dcterms:created>
  <dcterms:modified xsi:type="dcterms:W3CDTF">2022-11-08T05:17:54Z</dcterms:modified>
</cp:coreProperties>
</file>