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08">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506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4060" w:right="459" w:hanging="3620"/>
        <w:spacing w:after="0" w:line="532" w:lineRule="auto"/>
        <w:tabs>
          <w:tab w:leader="none" w:pos="119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ind w:left="1200" w:hanging="7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005-87689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ESSENT GROUP LTD.</w:t>
      </w:r>
    </w:p>
    <w:p>
      <w:pPr>
        <w:spacing w:after="0" w:line="4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b w:val="1"/>
                <w:bCs w:val="1"/>
                <w:color w:val="auto"/>
                <w:w w:val="92"/>
              </w:rPr>
              <w:t>Bermuda</w:t>
            </w:r>
          </w:p>
        </w:tc>
        <w:tc>
          <w:tcPr>
            <w:tcW w:w="1860" w:type="dxa"/>
            <w:vAlign w:val="bottom"/>
          </w:tcPr>
          <w:p>
            <w:pPr>
              <w:jc w:val="center"/>
              <w:ind w:left="152"/>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1860" w:type="dxa"/>
            <w:vAlign w:val="bottom"/>
          </w:tcPr>
          <w:p>
            <w:pPr>
              <w:jc w:val="center"/>
              <w:ind w:left="132"/>
              <w:spacing w:after="0"/>
              <w:rPr>
                <w:sz w:val="20"/>
                <w:szCs w:val="20"/>
                <w:color w:val="auto"/>
              </w:rPr>
            </w:pPr>
            <w:r>
              <w:rPr>
                <w:rFonts w:ascii="Arial" w:cs="Arial" w:eastAsia="Arial" w:hAnsi="Arial"/>
                <w:sz w:val="18"/>
                <w:szCs w:val="18"/>
                <w:color w:val="auto"/>
                <w:w w:val="90"/>
              </w:rPr>
              <w:t>(I.R.S. Employer</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9"/>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8"/>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HM11, Bermuda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 and zip code)</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(441) 297-9901</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226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832"/>
              <w:spacing w:after="0"/>
              <w:rPr>
                <w:sz w:val="20"/>
                <w:szCs w:val="20"/>
                <w:color w:val="auto"/>
              </w:rPr>
            </w:pPr>
            <w:r>
              <w:rPr>
                <w:rFonts w:ascii="Arial" w:cs="Arial" w:eastAsia="Arial" w:hAnsi="Arial"/>
                <w:sz w:val="14"/>
                <w:szCs w:val="14"/>
                <w:b w:val="1"/>
                <w:bCs w:val="1"/>
                <w:color w:val="auto"/>
                <w:w w:val="82"/>
              </w:rPr>
              <w:t>registered</w:t>
            </w:r>
          </w:p>
        </w:tc>
      </w:tr>
      <w:tr>
        <w:trPr>
          <w:trHeight w:val="216"/>
        </w:trPr>
        <w:tc>
          <w:tcPr>
            <w:tcW w:w="226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6"/>
              </w:rPr>
              <w:t>Common Shares, $0.015 par value</w:t>
            </w:r>
          </w:p>
        </w:tc>
        <w:tc>
          <w:tcPr>
            <w:tcW w:w="112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424"/>
        </w:trPr>
        <w:tc>
          <w:tcPr>
            <w:tcW w:w="4760" w:type="dxa"/>
            <w:vAlign w:val="bottom"/>
            <w:gridSpan w:val="3"/>
          </w:tcPr>
          <w:p>
            <w:pPr>
              <w:spacing w:after="0"/>
              <w:rPr>
                <w:sz w:val="20"/>
                <w:szCs w:val="20"/>
                <w:color w:val="auto"/>
              </w:rPr>
            </w:pPr>
            <w:r>
              <w:rPr>
                <w:rFonts w:ascii="Arial" w:cs="Arial" w:eastAsia="Arial" w:hAnsi="Arial"/>
                <w:sz w:val="18"/>
                <w:szCs w:val="18"/>
                <w:color w:val="auto"/>
                <w:w w:val="93"/>
              </w:rPr>
              <w:t xml:space="preserve">Securities registered pursuant to Section 12(g) of the Act: </w:t>
            </w:r>
            <w:r>
              <w:rPr>
                <w:rFonts w:ascii="Arial" w:cs="Arial" w:eastAsia="Arial" w:hAnsi="Arial"/>
                <w:sz w:val="18"/>
                <w:szCs w:val="18"/>
                <w:b w:val="1"/>
                <w:bCs w:val="1"/>
                <w:color w:val="auto"/>
                <w:w w:val="93"/>
              </w:rPr>
              <w:t>None</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Pr>
          <w:p>
            <w:pPr>
              <w:spacing w:after="0"/>
              <w:rPr>
                <w:sz w:val="18"/>
                <w:szCs w:val="18"/>
                <w:color w:val="auto"/>
              </w:rPr>
            </w:pPr>
          </w:p>
        </w:tc>
      </w:tr>
    </w:tbl>
    <w:p>
      <w:pPr>
        <w:spacing w:after="0" w:line="200" w:lineRule="exact"/>
        <w:rPr>
          <w:sz w:val="24"/>
          <w:szCs w:val="24"/>
          <w:color w:val="auto"/>
        </w:rPr>
      </w:pPr>
    </w:p>
    <w:p>
      <w:pPr>
        <w:sectPr>
          <w:pgSz w:w="11900" w:h="16838" w:orient="portrait"/>
          <w:cols w:equalWidth="0" w:num="1">
            <w:col w:w="10219"/>
          </w:cols>
          <w:pgMar w:left="240" w:top="685" w:right="1440" w:bottom="144" w:gutter="0" w:footer="0" w:header="0"/>
        </w:sectPr>
      </w:pPr>
    </w:p>
    <w:p>
      <w:pPr>
        <w:spacing w:after="0" w:line="332"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9060" w:space="180"/>
            <w:col w:w="979"/>
          </w:cols>
          <w:pgMar w:left="240" w:top="685" w:right="1440" w:bottom="144" w:gutter="0" w:footer="0" w:header="0"/>
          <w:type w:val="continuous"/>
        </w:sectPr>
      </w:pPr>
    </w:p>
    <w:p>
      <w:pPr>
        <w:spacing w:after="0" w:line="60"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2">
            <w:col w:w="9220" w:space="180"/>
            <w:col w:w="819"/>
          </w:cols>
          <w:pgMar w:left="240" w:top="685" w:right="1440" w:bottom="144" w:gutter="0" w:footer="0" w:header="0"/>
          <w:type w:val="continuous"/>
        </w:sectPr>
      </w:pPr>
    </w:p>
    <w:bookmarkStart w:id="1" w:name="page2"/>
    <w:bookmarkEnd w:id="1"/>
    <w:p>
      <w:pPr>
        <w:ind w:right="32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jc w:val="both"/>
        <w:ind w:right="8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0"/>
          <w:szCs w:val="20"/>
          <w:color w:val="auto"/>
        </w:rPr>
      </w:pPr>
    </w:p>
    <w:p>
      <w:pPr>
        <w:jc w:val="both"/>
        <w:ind w:right="240"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31" w:right="259" w:bottom="1440" w:gutter="0" w:footer="0" w:header="0"/>
        </w:sectPr>
      </w:pPr>
    </w:p>
    <w:p>
      <w:pPr>
        <w:spacing w:after="0" w:line="13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0"/>
          <w:szCs w:val="20"/>
          <w:color w:val="auto"/>
        </w:rPr>
      </w:pPr>
    </w:p>
    <w:p>
      <w:pPr>
        <w:sectPr>
          <w:pgSz w:w="11900" w:h="16838" w:orient="portrait"/>
          <w:cols w:equalWidth="0" w:num="4">
            <w:col w:w="2780" w:space="720"/>
            <w:col w:w="1720" w:space="720"/>
            <w:col w:w="2260" w:space="720"/>
            <w:col w:w="2480"/>
          </w:cols>
          <w:pgMar w:left="240" w:top="131" w:right="259" w:bottom="1440" w:gutter="0" w:footer="0" w:header="0"/>
          <w:type w:val="continuous"/>
        </w:sectPr>
      </w:pPr>
    </w:p>
    <w:p>
      <w:pPr>
        <w:jc w:val="center"/>
        <w:ind w:left="2160"/>
        <w:spacing w:after="0"/>
        <w:rPr>
          <w:sz w:val="20"/>
          <w:szCs w:val="20"/>
          <w:color w:val="auto"/>
        </w:rPr>
      </w:pPr>
      <w:r>
        <w:rPr>
          <w:rFonts w:ascii="Arial" w:cs="Arial" w:eastAsia="Arial" w:hAnsi="Arial"/>
          <w:sz w:val="14"/>
          <w:szCs w:val="14"/>
          <w:color w:val="auto"/>
        </w:rPr>
        <w:t>(Do not check if a</w:t>
      </w:r>
    </w:p>
    <w:p>
      <w:pPr>
        <w:jc w:val="center"/>
        <w:ind w:left="21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00"/>
          </w:cols>
          <w:pgMar w:left="240" w:top="131" w:right="259" w:bottom="1440" w:gutter="0" w:footer="0" w:header="0"/>
          <w:type w:val="continuous"/>
        </w:sect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80"/>
            <w:col w:w="2420"/>
          </w:cols>
          <w:pgMar w:left="240" w:top="131" w:right="259" w:bottom="1440" w:gutter="0" w:footer="0" w:header="0"/>
          <w:type w:val="continuous"/>
        </w:sectPr>
      </w:pPr>
    </w:p>
    <w:p>
      <w:pPr>
        <w:spacing w:after="0" w:line="60" w:lineRule="exact"/>
        <w:rPr>
          <w:sz w:val="20"/>
          <w:szCs w:val="20"/>
          <w:color w:val="auto"/>
        </w:rPr>
      </w:pPr>
    </w:p>
    <w:p>
      <w:pPr>
        <w:ind w:right="240" w:firstLine="385"/>
        <w:spacing w:after="0" w:line="332" w:lineRule="auto"/>
        <w:rPr>
          <w:sz w:val="20"/>
          <w:szCs w:val="20"/>
          <w:color w:val="auto"/>
        </w:rPr>
      </w:pPr>
      <w:r>
        <w:rPr>
          <w:rFonts w:ascii="Arial" w:cs="Arial" w:eastAsia="Arial" w:hAnsi="Arial"/>
          <w:sz w:val="16"/>
          <w:szCs w:val="16"/>
          <w:color w:val="auto"/>
        </w:rPr>
        <w:t>As of June 30, 2013, the last business day of the registrant's most recently completed second fiscal quarter, there was no established public market for the registrant's common stock. The registrant's common stock began trading on The New York Stock Exchange on October 31, 2013.</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the registrant's common shares outstanding as of March 3, 2014 was 86,493,803.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Portions of the registrant's proxy statement for the 2014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540" w:type="dxa"/>
            <w:vAlign w:val="bottom"/>
            <w:gridSpan w:val="3"/>
            <w:vMerge w:val="restart"/>
          </w:tcPr>
          <w:p>
            <w:pPr>
              <w:jc w:val="cente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3600" w:type="dxa"/>
            <w:vAlign w:val="bottom"/>
            <w:gridSpan w:val="13"/>
            <w:vMerge w:val="restart"/>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Borders>
              <w:bottom w:val="single" w:sz="8" w:color="0000EE"/>
            </w:tcBorders>
            <w:gridSpan w:val="3"/>
            <w:vMerge w:val="continue"/>
          </w:tcPr>
          <w:p>
            <w:pPr>
              <w:spacing w:after="0"/>
              <w:rPr>
                <w:sz w:val="14"/>
                <w:szCs w:val="14"/>
                <w:color w:val="auto"/>
              </w:rPr>
            </w:pPr>
          </w:p>
        </w:tc>
        <w:tc>
          <w:tcPr>
            <w:tcW w:w="3600" w:type="dxa"/>
            <w:vAlign w:val="bottom"/>
            <w:gridSpan w:val="13"/>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1.</w:t>
              </w:r>
            </w:hyperlink>
          </w:p>
        </w:tc>
        <w:tc>
          <w:tcPr>
            <w:tcW w:w="380" w:type="dxa"/>
            <w:vAlign w:val="bottom"/>
            <w:gridSpan w:val="4"/>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ITEM 1A.</w:t>
              </w:r>
            </w:hyperlink>
          </w:p>
        </w:tc>
        <w:tc>
          <w:tcPr>
            <w:tcW w:w="24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RISK FACTORS</w:t>
              </w:r>
            </w:hyperlink>
          </w:p>
        </w:tc>
        <w:tc>
          <w:tcPr>
            <w:tcW w:w="6340" w:type="dxa"/>
            <w:vAlign w:val="bottom"/>
            <w:gridSpan w:val="2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gridSpan w:val="3"/>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1B.</w:t>
              </w:r>
            </w:hyperlink>
          </w:p>
        </w:tc>
        <w:tc>
          <w:tcPr>
            <w:tcW w:w="260" w:type="dxa"/>
            <w:vAlign w:val="bottom"/>
            <w:gridSpan w:val="2"/>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UNRESOLVED STAFF COMMENTS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2.</w:t>
              </w:r>
            </w:hyperlink>
          </w:p>
        </w:tc>
        <w:tc>
          <w:tcPr>
            <w:tcW w:w="12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PROPERTIES</w:t>
              </w:r>
            </w:hyperlink>
          </w:p>
        </w:tc>
        <w:tc>
          <w:tcPr>
            <w:tcW w:w="1720" w:type="dxa"/>
            <w:vAlign w:val="bottom"/>
            <w:tcBorders>
              <w:top w:val="single" w:sz="8" w:color="0000EE"/>
            </w:tcBorders>
            <w:gridSpan w:val="10"/>
          </w:tcPr>
          <w:p>
            <w:pPr>
              <w:spacing w:after="0"/>
              <w:rPr>
                <w:sz w:val="17"/>
                <w:szCs w:val="17"/>
                <w:color w:val="auto"/>
              </w:rPr>
            </w:pPr>
          </w:p>
        </w:tc>
        <w:tc>
          <w:tcPr>
            <w:tcW w:w="482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3.</w:t>
              </w:r>
            </w:hyperlink>
          </w:p>
        </w:tc>
        <w:tc>
          <w:tcPr>
            <w:tcW w:w="380" w:type="dxa"/>
            <w:vAlign w:val="bottom"/>
            <w:gridSpan w:val="4"/>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4.</w:t>
              </w:r>
            </w:hyperlink>
          </w:p>
        </w:tc>
        <w:tc>
          <w:tcPr>
            <w:tcW w:w="380" w:type="dxa"/>
            <w:vAlign w:val="bottom"/>
            <w:gridSpan w:val="4"/>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gridSpan w:val="17"/>
          </w:tcPr>
          <w:p>
            <w:pPr>
              <w:jc w:val="center"/>
              <w:ind w:right="3580"/>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PART 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ITEM 5.</w:t>
              </w:r>
            </w:hyperlink>
          </w:p>
        </w:tc>
        <w:tc>
          <w:tcPr>
            <w:tcW w:w="380" w:type="dxa"/>
            <w:vAlign w:val="bottom"/>
            <w:gridSpan w:val="4"/>
          </w:tcPr>
          <w:p>
            <w:pPr>
              <w:spacing w:after="0"/>
              <w:rPr>
                <w:sz w:val="17"/>
                <w:szCs w:val="17"/>
                <w:color w:val="auto"/>
              </w:rPr>
            </w:pPr>
          </w:p>
        </w:tc>
        <w:tc>
          <w:tcPr>
            <w:tcW w:w="7120" w:type="dxa"/>
            <w:vAlign w:val="bottom"/>
            <w:tcBorders>
              <w:bottom w:val="single" w:sz="8" w:color="0000EE"/>
            </w:tcBorders>
            <w:gridSpan w:val="32"/>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MARKET FOR THE COMPANY'S COMMON EQUITY, RELATED STOCKHOLDER MATTERS</w:t>
              </w:r>
            </w:hyperlink>
          </w:p>
        </w:tc>
        <w:tc>
          <w:tcPr>
            <w:tcW w:w="4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gridSpan w:val="3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AND ISSUER PURCHASES OF EQUITY SECURITIES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6.</w:t>
              </w:r>
            </w:hyperlink>
          </w:p>
        </w:tc>
        <w:tc>
          <w:tcPr>
            <w:tcW w:w="380" w:type="dxa"/>
            <w:vAlign w:val="bottom"/>
            <w:gridSpan w:val="4"/>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SELECTED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ITEM 7.</w:t>
              </w:r>
            </w:hyperlink>
          </w:p>
        </w:tc>
        <w:tc>
          <w:tcPr>
            <w:tcW w:w="380" w:type="dxa"/>
            <w:vAlign w:val="bottom"/>
            <w:gridSpan w:val="4"/>
          </w:tcPr>
          <w:p>
            <w:pPr>
              <w:spacing w:after="0"/>
              <w:rPr>
                <w:sz w:val="17"/>
                <w:szCs w:val="17"/>
                <w:color w:val="auto"/>
              </w:rPr>
            </w:pPr>
          </w:p>
        </w:tc>
        <w:tc>
          <w:tcPr>
            <w:tcW w:w="728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MANAGEMENT'S DISCUSSION AND ANALYSIS OF FINANCIAL CONDITION AND RESULTS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OF OPERATIONS</w:t>
              </w:r>
            </w:hyperlink>
          </w:p>
        </w:tc>
        <w:tc>
          <w:tcPr>
            <w:tcW w:w="6020" w:type="dxa"/>
            <w:vAlign w:val="bottom"/>
            <w:gridSpan w:val="2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ITEM 7A.</w:t>
              </w:r>
            </w:hyperlink>
          </w:p>
        </w:tc>
        <w:tc>
          <w:tcPr>
            <w:tcW w:w="240" w:type="dxa"/>
            <w:vAlign w:val="bottom"/>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QUANTITATIVE AND QUALITATIVE DISCLOSURES ABOUT MARKET RISK</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102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108">
              <w:r>
                <w:rPr>
                  <w:rFonts w:ascii="Arial" w:cs="Arial" w:eastAsia="Arial" w:hAnsi="Arial"/>
                  <w:sz w:val="18"/>
                  <w:szCs w:val="18"/>
                  <w:color w:val="0000EE"/>
                  <w:w w:val="95"/>
                </w:rPr>
                <w:t>ITEM 8.</w:t>
              </w:r>
            </w:hyperlink>
          </w:p>
        </w:tc>
        <w:tc>
          <w:tcPr>
            <w:tcW w:w="14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gridSpan w:val="26"/>
          </w:tcPr>
          <w:p>
            <w:pPr>
              <w:spacing w:after="0" w:line="196"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FINANCIAL STATEMENTS AND SUPPLEMENTARY DATA</w:t>
              </w:r>
            </w:hyperlink>
          </w:p>
        </w:tc>
        <w:tc>
          <w:tcPr>
            <w:tcW w:w="1440" w:type="dxa"/>
            <w:vAlign w:val="bottom"/>
            <w:gridSpan w:val="2"/>
          </w:tcPr>
          <w:p>
            <w:pPr>
              <w:spacing w:after="0"/>
              <w:rPr>
                <w:sz w:val="17"/>
                <w:szCs w:val="17"/>
                <w:color w:val="auto"/>
              </w:rPr>
            </w:pPr>
          </w:p>
        </w:tc>
        <w:tc>
          <w:tcPr>
            <w:tcW w:w="158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151">
              <w:r>
                <w:rPr>
                  <w:rFonts w:ascii="Arial" w:cs="Arial" w:eastAsia="Arial" w:hAnsi="Arial"/>
                  <w:sz w:val="18"/>
                  <w:szCs w:val="18"/>
                  <w:color w:val="0000EE"/>
                  <w:w w:val="95"/>
                </w:rPr>
                <w:t>ITEM 9.</w:t>
              </w:r>
            </w:hyperlink>
          </w:p>
        </w:tc>
        <w:tc>
          <w:tcPr>
            <w:tcW w:w="380" w:type="dxa"/>
            <w:vAlign w:val="bottom"/>
            <w:gridSpan w:val="4"/>
          </w:tcPr>
          <w:p>
            <w:pPr>
              <w:spacing w:after="0"/>
              <w:rPr>
                <w:sz w:val="17"/>
                <w:szCs w:val="17"/>
                <w:color w:val="auto"/>
              </w:rPr>
            </w:pPr>
          </w:p>
        </w:tc>
        <w:tc>
          <w:tcPr>
            <w:tcW w:w="7560" w:type="dxa"/>
            <w:vAlign w:val="bottom"/>
            <w:gridSpan w:val="34"/>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CHANGES IN AND DISAGREEMENTS WITH ACCOUNTANTS ON ACCOUNTING AND</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FINANCIAL DISCLOSURE</w:t>
              </w:r>
            </w:hyperlink>
          </w:p>
        </w:tc>
        <w:tc>
          <w:tcPr>
            <w:tcW w:w="8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w w:val="98"/>
              </w:rPr>
            </w:pPr>
            <w:hyperlink w:anchor="page151">
              <w:r>
                <w:rPr>
                  <w:rFonts w:ascii="Arial" w:cs="Arial" w:eastAsia="Arial" w:hAnsi="Arial"/>
                  <w:sz w:val="18"/>
                  <w:szCs w:val="18"/>
                  <w:color w:val="0000EE"/>
                  <w:w w:val="98"/>
                </w:rPr>
                <w:t>ITEM 9A.</w:t>
              </w:r>
            </w:hyperlink>
          </w:p>
        </w:tc>
        <w:tc>
          <w:tcPr>
            <w:tcW w:w="240" w:type="dxa"/>
            <w:vAlign w:val="bottom"/>
          </w:tcPr>
          <w:p>
            <w:pPr>
              <w:spacing w:after="0"/>
              <w:rPr>
                <w:sz w:val="17"/>
                <w:szCs w:val="17"/>
                <w:color w:val="auto"/>
              </w:rPr>
            </w:pPr>
          </w:p>
        </w:tc>
        <w:tc>
          <w:tcPr>
            <w:tcW w:w="2540" w:type="dxa"/>
            <w:vAlign w:val="bottom"/>
            <w:gridSpan w:val="13"/>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CONTROLS AND PROCEDURES</w:t>
              </w:r>
            </w:hyperlink>
          </w:p>
        </w:tc>
        <w:tc>
          <w:tcPr>
            <w:tcW w:w="5020" w:type="dxa"/>
            <w:vAlign w:val="bottom"/>
            <w:gridSpan w:val="2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w w:val="98"/>
              </w:rPr>
            </w:pPr>
            <w:hyperlink w:anchor="page151">
              <w:r>
                <w:rPr>
                  <w:rFonts w:ascii="Arial" w:cs="Arial" w:eastAsia="Arial" w:hAnsi="Arial"/>
                  <w:sz w:val="18"/>
                  <w:szCs w:val="18"/>
                  <w:color w:val="0000EE"/>
                  <w:w w:val="98"/>
                </w:rPr>
                <w:t>ITEM 9B.</w:t>
              </w:r>
            </w:hyperlink>
          </w:p>
        </w:tc>
        <w:tc>
          <w:tcPr>
            <w:tcW w:w="240" w:type="dxa"/>
            <w:vAlign w:val="bottom"/>
          </w:tcPr>
          <w:p>
            <w:pPr>
              <w:spacing w:after="0"/>
              <w:rPr>
                <w:sz w:val="17"/>
                <w:szCs w:val="17"/>
                <w:color w:val="auto"/>
              </w:rPr>
            </w:pPr>
          </w:p>
        </w:tc>
        <w:tc>
          <w:tcPr>
            <w:tcW w:w="2540" w:type="dxa"/>
            <w:vAlign w:val="bottom"/>
            <w:gridSpan w:val="1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OTHER INFORMATION</w:t>
              </w:r>
            </w:hyperlink>
          </w:p>
        </w:tc>
        <w:tc>
          <w:tcPr>
            <w:tcW w:w="5020" w:type="dxa"/>
            <w:vAlign w:val="bottom"/>
            <w:gridSpan w:val="2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18"/>
          </w:tcPr>
          <w:p>
            <w:pPr>
              <w:jc w:val="center"/>
              <w:ind w:right="3560"/>
              <w:spacing w:after="0"/>
              <w:rPr>
                <w:rFonts w:ascii="Arial" w:cs="Arial" w:eastAsia="Arial" w:hAnsi="Arial"/>
                <w:sz w:val="18"/>
                <w:szCs w:val="18"/>
                <w:color w:val="0000EE"/>
                <w:w w:val="94"/>
              </w:rPr>
            </w:pPr>
            <w:hyperlink w:anchor="page152">
              <w:r>
                <w:rPr>
                  <w:rFonts w:ascii="Arial" w:cs="Arial" w:eastAsia="Arial" w:hAnsi="Arial"/>
                  <w:sz w:val="18"/>
                  <w:szCs w:val="18"/>
                  <w:color w:val="0000EE"/>
                  <w:w w:val="94"/>
                </w:rPr>
                <w:t>PART III</w:t>
              </w:r>
            </w:hyperlink>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10.</w:t>
              </w:r>
            </w:hyperlink>
          </w:p>
        </w:tc>
        <w:tc>
          <w:tcPr>
            <w:tcW w:w="756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DIRECTORS, EXECUTIVE OFFICERS AND CORPORATE GOVERNANCE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00" w:type="dxa"/>
            <w:vAlign w:val="bottom"/>
            <w:gridSpan w:val="2"/>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ITEM 11.</w:t>
              </w:r>
            </w:hyperlink>
          </w:p>
        </w:tc>
        <w:tc>
          <w:tcPr>
            <w:tcW w:w="300" w:type="dxa"/>
            <w:vAlign w:val="bottom"/>
            <w:gridSpan w:val="3"/>
          </w:tcPr>
          <w:p>
            <w:pPr>
              <w:spacing w:after="0"/>
              <w:rPr>
                <w:sz w:val="17"/>
                <w:szCs w:val="17"/>
                <w:color w:val="auto"/>
              </w:rPr>
            </w:pPr>
          </w:p>
        </w:tc>
        <w:tc>
          <w:tcPr>
            <w:tcW w:w="2380" w:type="dxa"/>
            <w:vAlign w:val="bottom"/>
            <w:gridSpan w:val="12"/>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EXECUTIVE COMPENSATION</w:t>
              </w:r>
            </w:hyperlink>
          </w:p>
        </w:tc>
        <w:tc>
          <w:tcPr>
            <w:tcW w:w="3260" w:type="dxa"/>
            <w:vAlign w:val="bottom"/>
            <w:gridSpan w:val="15"/>
          </w:tcPr>
          <w:p>
            <w:pPr>
              <w:spacing w:after="0"/>
              <w:rPr>
                <w:sz w:val="17"/>
                <w:szCs w:val="17"/>
                <w:color w:val="auto"/>
              </w:rPr>
            </w:pPr>
          </w:p>
        </w:tc>
        <w:tc>
          <w:tcPr>
            <w:tcW w:w="192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12.</w:t>
              </w:r>
            </w:hyperlink>
          </w:p>
        </w:tc>
        <w:tc>
          <w:tcPr>
            <w:tcW w:w="756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SECURITY OWNERSHIP OF CERTAIN BENEFICIAL OWNERS AND MANAGEMENT AND</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RELATED STOCKHOLDER MATTERS</w:t>
              </w:r>
            </w:hyperlink>
          </w:p>
        </w:tc>
        <w:tc>
          <w:tcPr>
            <w:tcW w:w="58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13.</w:t>
              </w:r>
            </w:hyperlink>
          </w:p>
        </w:tc>
        <w:tc>
          <w:tcPr>
            <w:tcW w:w="756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CERTAIN RELATIONSHIPS AND RELATED TRANSACTIONS, AND DIRECTOR</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152">
              <w:r>
                <w:rPr>
                  <w:rFonts w:ascii="Arial" w:cs="Arial" w:eastAsia="Arial" w:hAnsi="Arial"/>
                  <w:sz w:val="18"/>
                  <w:szCs w:val="18"/>
                  <w:color w:val="0000EE"/>
                  <w:w w:val="92"/>
                </w:rPr>
                <w:t>INDEPENDENCE</w:t>
              </w:r>
            </w:hyperlink>
          </w:p>
        </w:tc>
        <w:tc>
          <w:tcPr>
            <w:tcW w:w="4600" w:type="dxa"/>
            <w:vAlign w:val="bottom"/>
            <w:tcBorders>
              <w:top w:val="single" w:sz="8" w:color="0000EE"/>
            </w:tcBorders>
            <w:gridSpan w:val="23"/>
          </w:tcPr>
          <w:p>
            <w:pPr>
              <w:spacing w:after="0"/>
              <w:rPr>
                <w:sz w:val="17"/>
                <w:szCs w:val="17"/>
                <w:color w:val="auto"/>
              </w:rPr>
            </w:pPr>
          </w:p>
        </w:tc>
        <w:tc>
          <w:tcPr>
            <w:tcW w:w="144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14.</w:t>
              </w:r>
            </w:hyperlink>
          </w:p>
        </w:tc>
        <w:tc>
          <w:tcPr>
            <w:tcW w:w="756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PRINCIPAL ACCOUNTING FEES AND SERVICES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bottom w:val="single" w:sz="8" w:color="0000EE"/>
            </w:tcBorders>
            <w:gridSpan w:val="8"/>
          </w:tcPr>
          <w:p>
            <w:pPr>
              <w:jc w:val="center"/>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PART IV</w:t>
              </w:r>
            </w:hyperlink>
          </w:p>
        </w:tc>
        <w:tc>
          <w:tcPr>
            <w:tcW w:w="354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15.</w:t>
              </w:r>
            </w:hyperlink>
          </w:p>
        </w:tc>
        <w:tc>
          <w:tcPr>
            <w:tcW w:w="7560" w:type="dxa"/>
            <w:vAlign w:val="bottom"/>
            <w:gridSpan w:val="34"/>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EXHIBITS, FINANCIAL STATEMENT SCHEDULES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60" w:type="dxa"/>
            <w:vAlign w:val="bottom"/>
            <w:gridSpan w:val="19"/>
            <w:shd w:val="clear" w:color="auto" w:fill="0000EE"/>
          </w:tcPr>
          <w:p>
            <w:pPr>
              <w:spacing w:after="0" w:line="20" w:lineRule="exact"/>
              <w:rPr>
                <w:sz w:val="1"/>
                <w:szCs w:val="1"/>
                <w:color w:val="auto"/>
              </w:rPr>
            </w:pPr>
          </w:p>
        </w:tc>
        <w:tc>
          <w:tcPr>
            <w:tcW w:w="362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39"/>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SIGNATURES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148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62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74"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72" w:lineRule="exact"/>
        <w:rPr>
          <w:sz w:val="20"/>
          <w:szCs w:val="20"/>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new insurance written, or NIW, and franchise value due to loss of a significant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scope of recently enacted legislation is uncertain;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340" w:firstLine="348"/>
        <w:spacing w:after="0" w:line="314" w:lineRule="auto"/>
        <w:rPr>
          <w:sz w:val="20"/>
          <w:szCs w:val="20"/>
          <w:color w:val="auto"/>
        </w:rPr>
      </w:pPr>
      <w:r>
        <w:rPr>
          <w:rFonts w:ascii="Arial" w:cs="Arial" w:eastAsia="Arial" w:hAnsi="Arial"/>
          <w:sz w:val="15"/>
          <w:szCs w:val="15"/>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12.1% market share based on new insurance written, or NIW, excluding NIW under the Home Affordable Refinance Program, or HARP, for the year ended December 31, 2013, up from 8.6% and 4.5% for the years ended December 31, 2012 and 2011, respectively. We believe that our growth has been driven largely by the unique opportunity we offer lenders to partner with a well-capitalized mortgage insurer, unencumbered by legacy business, that provides fair and transparent claims payment practices, and consistency and speed of service.</w:t>
      </w:r>
    </w:p>
    <w:p>
      <w:pPr>
        <w:spacing w:after="0" w:line="15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Private mortgage insurance plays a critical role in the U.S. housing finance system. Essent and other private mortgage insurers provide credit protection to lenders and mortgage investors by covering a portion of the unpaid principal balance of a mortgage in the event of a default. In doing so, we provide private capital to mitigate mortgage credit risk, allowing lenders to make additional mortgage financing available to prospective homeowners.</w:t>
      </w:r>
    </w:p>
    <w:p>
      <w:pPr>
        <w:spacing w:after="0" w:line="16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Private mortgage insurance helps extend affordable home ownership by facilitating the sale of low down payment loans into the secondary market. Two U.S. Federal government-sponsored enterprises, Fannie Mae and Freddie Mac, which we refer to collectively as the GSEs,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were founded in 2008 by an experienced management team who saw a need for a new mortgage insurance company funded by private capital and unencumbered by legacy exposures, and were supported by a group of sophisticated, strategic and financial investors, including affiliates of Pine Brook Road Partners, The Goldman Sachs Group, Inc., an affiliate of Global Atlantic Financial Group, Valorina LLC, which is majority owned by an entity that is managed by Soros Fund Management LLC, Aldermanbury Investments Limited, an affiliate of J.P. Morgan, an affiliate of PartnerRe Principal Finance Inc., RenaissanceRe Ventures Ltd., funds or accounts managed by Wellington Management Company, LLP, and affiliates of HSBC, who collectively invested approximately $438 million to fund our operations prior to the completion of our initial public offering in November 2013.</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wholly owned primary insurance subsidiary, Essent Guaranty, Inc., received its certificate of authority from the Pennsylvania Insurance Department in July 2009, and subsequently received licenses to issue mortgage insurance in all 50 states and the District of Columbia. In December 2009, we acquired our mortgage insurance platform from a former private mortgage insurance industry participant. In February 2010, we became the first mortgage insurer approved by the GSEs since 1995. The financial strength of Essent Guaranty, Inc. is rated Baa2 with a stable outlook by Moody's Investors Service and BBB+ with a stable outlook by Standard &amp; Poor's Rating Services.</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had master policy relationships with approximately 935 customers as of December 31, 2013. We have a fully functioning, scalable and flexible mortgage insurance platform and a highly experienced, talented team of 289 employees as of December 31, 2013. Our holding company is domiciled in Bermuda and our U.S. insurance business is headquartered in Radnor, Pennsylvania. We operate additional underwriting and service centers in Winston-Salem, North Carolina and Irvine, California. For the years ended December 31, 2013, 2012 and 2011, we generated NIW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$21.2 billion, $11.2 billion and $3.2 billion, respectively, and as of December 31, 2013, we had approximately $32.0 billion of insurance in force.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U.S. residential mortgage market is one of the largest in the world with over $9.86 trillion of debt outstanding as of September 30, 2013,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$4.5 trillion, or 45.6%, of total U.S. residential mortgage debt as of September 30, 2013.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lenders have utilized to meet this GSE charter requirement. As a result, the private mortgage insurance industry in the United States is driven in large part by the business practices and mortgage insurance requirements of the GSEs.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1993 through 2012, an average of 23.5% of total annual mortgage origination volume utilized mortgage insurance.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Mortgage insurance industry volumes are influenced by total mortgage originations, and the mix between purchase and refinancing originations. Historically, mortgage insurance utilization has been meaningfully higher in purchase compared to refinancing originations. In 2013, total U.S. residential mortgage origination volume was $1.76 trillion, comprised of $652 billion of purchase originations and $1.1 trillion of refinancing originations. In recent years, historically low interest rates and special refinance programs, such as HARP, have caused refinancing volume to significantly outpace purchase originations. Purchase originations are expected to account for an increasing percentage of the overall mortgage market as the economic recovery and favorable housing market fundamentals stimulate growth in home buying activity, and a rising interest rate environment slows refinancing volume.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91605" cy="2804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160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Source: Mortgage Bankers Association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severe economic and housing market dislocation experienced during the recent financial crisis had a profound impact on our industry. Incumbent insurers experienced record high claims activity and sustained significant financial losses, resulting in depleted capital positions. Three private mortgage insurers who wrote more than $125 billion of NIW, accounting for approximately 36% of total private mortgage insurance market NIW in 2007, have since exited the market, and several other insurers were forced to raise capital to repair their balance sheets and remain in operation. Although certain remaining incumbent insurers continue to deal with legacy challenges, the ongoing improvement of housing market fundamentals and the high credit quality of post-crisis new business are expected to support improved growth and profitability in the private mortgage insurance sector post-crisis.</w:t>
      </w:r>
    </w:p>
    <w:p>
      <w:pPr>
        <w:spacing w:after="0" w:line="174" w:lineRule="exact"/>
        <w:rPr>
          <w:sz w:val="20"/>
          <w:szCs w:val="20"/>
          <w:color w:val="auto"/>
        </w:rPr>
      </w:pPr>
    </w:p>
    <w:p>
      <w:pPr>
        <w:ind w:right="420" w:firstLine="351"/>
        <w:spacing w:after="0" w:line="323" w:lineRule="auto"/>
        <w:rPr>
          <w:sz w:val="20"/>
          <w:szCs w:val="20"/>
          <w:color w:val="auto"/>
        </w:rPr>
      </w:pPr>
      <w:r>
        <w:rPr>
          <w:rFonts w:ascii="Arial" w:cs="Arial" w:eastAsia="Arial" w:hAnsi="Arial"/>
          <w:sz w:val="15"/>
          <w:szCs w:val="15"/>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During the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15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private mortgage insurance industry, however, has begun to recover, capturing an increasing share of the total insured market and thereby leading to higher private mortgage insurance penetration of the total mortgage origination market. In 2013, private mortgage insurance increased to an estimated 37.0% of the total insured market and covered 12.1% of the total mortgage origination volume. These gains have been driven in part by the improved financial position of incumbent insurers, the influx of private capital into the sector to support new entrants like Essent, and the FHA's decision to increase its mortgage insurance premium rates and upfront fees multiple times since 2010.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49060" cy="2435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4906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Source: Inside Mortgage Finance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31915" cy="2495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191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Source: Inside Mortgage Finance, except for total originations for the purpose of calculating private mortgage insurance penetration, which is based on Mortgage Bankers Association. For 2011, 2012 and 2013, private mortgage insurance penetration includes private mortgage insurance HARP NIW.</w:t>
      </w:r>
    </w:p>
    <w:p>
      <w:pPr>
        <w:spacing w:after="0" w:line="1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view HARP as a modification of the coverage on existing insurance in force, and therefore when estimating our market share based on NIW, we exclude HARP NIW from total industry NIW. However, HARP is included as part of total industry NIW when showing private mortgage insurance penetration for the industry.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private mortgage insurance industry is highly competitive. Private mortgage insurers generally compete on the basis of underwriting guidelines, pricing, terms and conditions, financial strength, product and service offerings, customer relationships, name recognition, reputation, the strength of management and field organizations, the effective use of technology, and innovation in the delivery and servicing of insurance products. The private mortgage insurance industry currently consists of seven active private mortgage insurers, including Essent and affiliates of each of CMG Mortgage Insurance Company (which was acquired by Arch Capital Group in 2014), Genworth Financial Inc., Mortgage Guaranty Insurance Corporation, National Mortgage Insurance Corporation, Radian Guaranty Inc. and United Guaranty Corporation.</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and other private mortgage insurers compete directly with Federal and state governmental and quasi-governmental agencies that provide mortgage insurance, principally, the FHA and, to a lesser degree, the VA. As discussed above, the FHA's share of the mortgage insurance market increased following the financial crisis and has decreased as the private mortgage insurance industry has recovered. In addition to competition from the FHA and the VA, we and other private mortgage insurers currently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industry also competes with alternatives to mortgage insurance, which includes products designed to eliminate the need for private mortgage insurance, such as "piggyback loans", which combine a first lien loan with a second lien. In addition, we compete with investors willing to hold credit risk on their own balance sheets without credit enhancement and, in some markets, with alternative forms of credit enhancement such as structured finance products and derivatives.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Primary Mortgage Insurance</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Primary mortgage insurance provides protection on individual loans at specified coverage percentages. Primary mortgage insurance is typically offered to customers on individual loans at the time of origination on a flow basis. Substantially all of our policies are primary mortgage insurance.</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24% of the underlying primary insurance in force, but may vary from policy to policy between 6% and 35% coverage.</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file our premium rates with the insurance departments of the 50 states and the District of Columbia. Premium rates cannot be changed after the issuance of coverage and premiums applicable to an individual loan are based on a broad spectrum of risk variables including coverage percentages, loan to value, or LTV, loan and property attributes, and borrower risk characteristics. See "Management's Discussion and Analysis of Financial Condition and Results of Operations— Factors Affecting Our Results of Operations—Net Premiums Written and Earned" and "—Key Performance Indicators—Average Premium Rate."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In either case, the payment of premium to us generally is the legal responsibility of the insured.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w:t>
      </w:r>
    </w:p>
    <w:p>
      <w:pPr>
        <w:spacing w:after="0" w:line="225"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Although we have not issued any such policies to date, we may in the future also be paid on a "split" basis, where an initial premium is paid upfront along with subsequent monthly payments.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general, we may not terminate mortgage insurance coverage except in the event there is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charter.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also provides for cancellation of BPMI upon a borrower's request when the LTV ratio, based on the current value of the property, reaches 80%, upon satisfaction of the conditions set forth in HOPA. In addition, some states impose their own mortgage insurance notice and cancellation requirements on mortgage loan servicers.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Pool Insurance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Pool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 To date, we have not written any pool insurance and have written a de minimis amount of modified pool insurance.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Master Policy and Clarity of Coverage Endorsement</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issue a master policy to each customer approved by our counterparty risk department before accepting their business. The master policy sets forth the general terms and conditions of our mortgage insurance coverage, including loan eligibility requirements, coverage term, policy administration, payment processing, and exclusions or reductions in coverage.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Mortgage insurance master policies generally protect mortgage insurers from the risk of material misrepresentations and fraud in the origination of an insured loan through remedies including the right to rescind coverage. The relationships between the legacy private mortgage insurers and mortgage lenders have been strained since the financial crisis, in part due to a historically high rate of rescissions, in particular for loans originated from 2006 to 2008. As a result of this rescission activity, lenders found themselves exposed to unanticipated losses. In response, we introduced the Clarity of Coverage® endorsement to our master policy, which provides for fair and transparent treatment of claim investigations and coverage rescissions for every loan we insure. Specifically, Clarity of Coverage identifies what misrepresentations or underwriting errors will be deemed material and, consequently, would be grounds for rescinding a policy. Among other terms beneficial to the customer, in the case of policies underwritten on a delegated basis, after 36 months of timely borrower payments from their own funds we will not rescind coverage unless we identify fraud or misrepresentation of certain material eligibility factors. For policies we underwrite on a non-delegated basis, we assume responsibility for underwriting and will not rescind coverage if we made an underwriting error. We believe this transparency enhances the value of our insurance coverage and serves as an important differentiator for us in the market.</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GSEs have approved the terms of our current master policy. Any new master policy, or material changes to our existing master policy, would be subject to approval by the GSEs and the insurance regulators of each of the states and the District of Columbia. The GSEs have proposed new minimum standards for mortgage insurer master policies, including standards relating to rescission rights, with revised master policy requirements expected to be implemented no earlier than July 1, 2014. In response to these proposed changes, Essent Guaranty, Inc. has received GSE approval for new master policy forms and has filed those policy forms with the state insurance regulators for their approval. See "Risk Factors—Risks Relating to Our Business—</w:t>
      </w:r>
      <w:r>
        <w:rPr>
          <w:rFonts w:ascii="Arial" w:cs="Arial" w:eastAsia="Arial" w:hAnsi="Arial"/>
          <w:sz w:val="16"/>
          <w:szCs w:val="16"/>
          <w:i w:val="1"/>
          <w:iCs w:val="1"/>
          <w:color w:val="auto"/>
        </w:rPr>
        <w:t>Changes in the business practices of the GSEs,</w:t>
      </w:r>
      <w:r>
        <w:rPr>
          <w:rFonts w:ascii="Arial" w:cs="Arial" w:eastAsia="Arial" w:hAnsi="Arial"/>
          <w:sz w:val="16"/>
          <w:szCs w:val="16"/>
          <w:color w:val="auto"/>
        </w:rPr>
        <w:t xml:space="preserve"> </w:t>
      </w:r>
      <w:r>
        <w:rPr>
          <w:rFonts w:ascii="Arial" w:cs="Arial" w:eastAsia="Arial" w:hAnsi="Arial"/>
          <w:sz w:val="16"/>
          <w:szCs w:val="16"/>
          <w:i w:val="1"/>
          <w:iCs w:val="1"/>
          <w:color w:val="auto"/>
        </w:rPr>
        <w:t>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 elsewhere in this Annual Report and "—Regulation—Direct U.S. Regulation—GSE</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Mortgage Insurer Requirements" below.</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and such error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Triad Services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acquisition in 2009 of our mortgage insurance platform from Triad Guaranty Inc. and its wholly owned subsidiary, Triad Guaranty Insurance Company, which we refer to collectively as Triad, we agreed to provide certain information systems maintenance and development services to Triad as its legacy insurance portfolio runs off. Triad retains the obligation for all risks insured under its existing insurance contracts and will continue to directly manage loss mitigation and claim activity on its insured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31"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All of our policies in force were written since May 2010. We believe that we have a high quality portfolio of mortgage insurance that is strong across a variety of metrics.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our insurance in force, or IIF, as of December 31, 2013, by year of policy origination. IIF refers to the unpaid principal balance of mortgage loans that we insure.</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 in thousands)</w:t>
            </w:r>
          </w:p>
        </w:tc>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20,523,351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2012</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9,628,905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1,766,709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2010</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109,231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32,028,196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loan type and amortization as of December 31, 2013 and 2012. RIF refers to the product of the coverage percentage applied to the unpaid principal balance of mortgage loans that we insure.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Total IIF by FICO score</w:t>
            </w:r>
          </w:p>
        </w:tc>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w w:val="90"/>
              </w:rPr>
              <w:t>As of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³760</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17,102,961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7,778,575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740 - 759</w:t>
            </w:r>
          </w:p>
        </w:tc>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5,724,933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2,402,603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720 - 739</w:t>
            </w:r>
          </w:p>
        </w:tc>
        <w:tc>
          <w:tcPr>
            <w:tcW w:w="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4,380,452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1,801,292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700 - 719</w:t>
            </w:r>
          </w:p>
        </w:tc>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2,646,717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988,160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680 - 699</w:t>
            </w:r>
          </w:p>
        </w:tc>
        <w:tc>
          <w:tcPr>
            <w:tcW w:w="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1,665,196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520,496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507,937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137,854</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32,028,196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13,628,980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2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w w:val="97"/>
              </w:rPr>
              <w:t>Total RIF by FICO score</w:t>
            </w: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2"/>
              </w:rPr>
              <w:t>As of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auto"/>
            </w:tcBorders>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³760</w:t>
            </w:r>
          </w:p>
        </w:tc>
        <w:tc>
          <w:tcPr>
            <w:tcW w:w="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4,106,913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1,822,677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740 - 759</w:t>
            </w:r>
          </w:p>
        </w:tc>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1,399,308</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572,440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720 - 739</w:t>
            </w:r>
          </w:p>
        </w:tc>
        <w:tc>
          <w:tcPr>
            <w:tcW w:w="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1,081,286</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435,100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700 - 719</w:t>
            </w:r>
          </w:p>
        </w:tc>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637,086</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230,802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680 - 699</w:t>
            </w:r>
          </w:p>
        </w:tc>
        <w:tc>
          <w:tcPr>
            <w:tcW w:w="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415,414</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128,598</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34,412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7,768,605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3,221,631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Portfolio by LTV</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IIF by LTV</w:t>
            </w:r>
          </w:p>
        </w:tc>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85.00% and below</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4,322,612</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1,994,994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85.01% to 90.00%</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12,171,460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5,739,703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90.01% to 95.00%</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15,121,279</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5,839,127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95.01% and above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55,156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32,028,196</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13,628,980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RIF by LTV</w:t>
            </w: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85.00% and below</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474,763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215,739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85.01% to 90.00%</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2,858,683</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1,334,525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90.01% to 95.00%</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4,296,135</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1,653,258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95.01% and above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139,024</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18,109</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7,768,605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3,221,631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60" w:type="dxa"/>
            <w:vAlign w:val="bottom"/>
            <w:gridSpan w:val="6"/>
          </w:tcPr>
          <w:p>
            <w:pPr>
              <w:jc w:val="right"/>
              <w:ind w:right="80"/>
              <w:spacing w:after="0"/>
              <w:rPr>
                <w:sz w:val="20"/>
                <w:szCs w:val="20"/>
                <w:color w:val="auto"/>
              </w:rPr>
            </w:pPr>
            <w:r>
              <w:rPr>
                <w:rFonts w:ascii="Arial" w:cs="Arial" w:eastAsia="Arial" w:hAnsi="Arial"/>
                <w:sz w:val="18"/>
                <w:szCs w:val="18"/>
                <w:i w:val="1"/>
                <w:iCs w:val="1"/>
                <w:color w:val="auto"/>
                <w:w w:val="96"/>
              </w:rPr>
              <w:t>Portfolio by Loan Amortization Period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IIF by Loan Amortization Period</w:t>
            </w:r>
          </w:p>
        </w:tc>
        <w:tc>
          <w:tcPr>
            <w:tcW w:w="1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Borders>
              <w:left w:val="single" w:sz="8" w:color="auto"/>
            </w:tcBorders>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FRM 30 years and higher</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27,364,633</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11,211,969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FRM 20 - 25 years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1,086,120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585,365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FRM 15 years</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2,354,656</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1,206,579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ARM 5 years and higher</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1,222,787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625,067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32,028,196</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13,628,980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in force portfolio is geographically diverse. As of December 31, 2013, only two states accounted for greater than 5% of our portfolio and no single metropolitan statistical area accounted for greater than 4% of our portfolio, as measured by either IIF or RIF. The following tables provide detail of the IIF and RIF in our top ten most concentrated states and our top ten most concentrated U.S. metropolitan statistical areas as of December 31, 2013 and 2012.</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 Ten States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gridSpan w:val="3"/>
          </w:tcPr>
          <w:p>
            <w:pPr>
              <w:jc w:val="center"/>
              <w:ind w:left="364"/>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8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IIF by State</w:t>
            </w:r>
          </w:p>
        </w:tc>
        <w:tc>
          <w:tcPr>
            <w:tcW w:w="4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CA</w:t>
            </w:r>
          </w:p>
        </w:tc>
        <w:tc>
          <w:tcPr>
            <w:tcW w:w="4860" w:type="dxa"/>
            <w:vAlign w:val="bottom"/>
            <w:gridSpan w:val="3"/>
          </w:tcPr>
          <w:p>
            <w:pPr>
              <w:jc w:val="right"/>
              <w:ind w:right="10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FL</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NC</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IL</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WA</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GA</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AZ</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4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gridSpan w:val="3"/>
          </w:tcPr>
          <w:p>
            <w:pPr>
              <w:jc w:val="center"/>
              <w:ind w:left="364"/>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8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RIF by State</w:t>
            </w:r>
          </w:p>
        </w:tc>
        <w:tc>
          <w:tcPr>
            <w:tcW w:w="4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CA</w:t>
            </w:r>
          </w:p>
        </w:tc>
        <w:tc>
          <w:tcPr>
            <w:tcW w:w="4860" w:type="dxa"/>
            <w:vAlign w:val="bottom"/>
            <w:gridSpan w:val="3"/>
          </w:tcPr>
          <w:p>
            <w:pPr>
              <w:jc w:val="right"/>
              <w:ind w:right="10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FL</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NC</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IL</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WA</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GA</w:t>
            </w:r>
          </w:p>
        </w:tc>
        <w:tc>
          <w:tcPr>
            <w:tcW w:w="486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NY</w:t>
            </w:r>
          </w:p>
        </w:tc>
        <w:tc>
          <w:tcPr>
            <w:tcW w:w="4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4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80" w:type="dxa"/>
            <w:vAlign w:val="bottom"/>
            <w:vMerge w:val="restart"/>
          </w:tcPr>
          <w:p>
            <w:pPr>
              <w:jc w:val="right"/>
              <w:ind w:right="2352"/>
              <w:spacing w:after="0"/>
              <w:rPr>
                <w:sz w:val="20"/>
                <w:szCs w:val="20"/>
                <w:color w:val="auto"/>
              </w:rPr>
            </w:pPr>
            <w:r>
              <w:rPr>
                <w:rFonts w:ascii="Arial" w:cs="Arial" w:eastAsia="Arial" w:hAnsi="Arial"/>
                <w:sz w:val="18"/>
                <w:szCs w:val="18"/>
                <w:color w:val="auto"/>
              </w:rPr>
              <w:t>10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6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52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IIF by Metropolitan Statistical Area</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Chicago-Joliet-Naperville, IL</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Houston-Sugar Land-Baytown, TX</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Phoenix-Mesa-Glendale, AZ</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Atlanta-Sandy Springs-Marietta, GA</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Denver-Aurora, CO</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New York-White Plains-Wayne, NY-NJ</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540" w:type="dxa"/>
            <w:vAlign w:val="bottom"/>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75.5</w:t>
            </w:r>
          </w:p>
        </w:tc>
      </w:tr>
      <w:tr>
        <w:trPr>
          <w:trHeight w:val="20"/>
        </w:trPr>
        <w:tc>
          <w:tcPr>
            <w:tcW w:w="6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0"/>
        </w:trPr>
        <w:tc>
          <w:tcPr>
            <w:tcW w:w="6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6520" w:type="dxa"/>
            <w:vAlign w:val="bottom"/>
          </w:tcPr>
          <w:p>
            <w:pPr>
              <w:spacing w:after="0"/>
              <w:rPr>
                <w:sz w:val="24"/>
                <w:szCs w:val="24"/>
                <w:color w:val="auto"/>
              </w:rPr>
            </w:pPr>
          </w:p>
        </w:tc>
        <w:tc>
          <w:tcPr>
            <w:tcW w:w="86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652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RIF by Metropolitan Statistical Area</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Chicago-Joliet-Naperville, IL</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Atlanta-Sandy Springs-Marietta, GA</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Houston-Sugar Land-Baytown, TX</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Phoenix-Mesa-Glendale, AZ</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Denver-Aurora, CO</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York-White Plains-Wayne, NY-NJ</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54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75.5</w:t>
            </w:r>
          </w:p>
        </w:tc>
      </w:tr>
      <w:tr>
        <w:trPr>
          <w:trHeight w:val="20"/>
        </w:trPr>
        <w:tc>
          <w:tcPr>
            <w:tcW w:w="6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0"/>
        </w:trPr>
        <w:tc>
          <w:tcPr>
            <w:tcW w:w="6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segment our marketing efforts based on the customer's operating model and whether decisions to select a mortgage insurance provider are made centrally, or at the field or customer branch level:</w:t>
      </w:r>
    </w:p>
    <w:p>
      <w:pPr>
        <w:spacing w:after="0" w:line="208" w:lineRule="exact"/>
        <w:rPr>
          <w:sz w:val="20"/>
          <w:szCs w:val="20"/>
          <w:color w:val="auto"/>
        </w:rPr>
      </w:pPr>
    </w:p>
    <w:p>
      <w:pPr>
        <w:ind w:left="1080" w:right="12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Centralized</w:t>
      </w:r>
      <w:r>
        <w:rPr>
          <w:rFonts w:ascii="Arial" w:cs="Arial" w:eastAsia="Arial" w:hAnsi="Arial"/>
          <w:sz w:val="16"/>
          <w:szCs w:val="16"/>
          <w:color w:val="auto"/>
        </w:rPr>
        <w:t>—Centralized customers make decisions regarding the placement and allocation of mortgage insurance among their approved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are more prevalent with regional and mid-size lenders which originate mortgages in a smaller geographic footprint, but are also seen, on a limited basis, among some national lenders.</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6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provides detail on the percentage of our total NIW generated by centralized and decentralized customers, respectively, during the years ended December 31, 2013, 2012 and 2011.</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7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5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Centralized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Decentralized</w:t>
            </w:r>
          </w:p>
        </w:tc>
        <w:tc>
          <w:tcPr>
            <w:tcW w:w="680" w:type="dxa"/>
            <w:vAlign w:val="bottom"/>
            <w:gridSpan w:val="2"/>
          </w:tcPr>
          <w:p>
            <w:pPr>
              <w:jc w:val="right"/>
              <w:ind w:right="92"/>
              <w:spacing w:after="0"/>
              <w:rPr>
                <w:sz w:val="20"/>
                <w:szCs w:val="20"/>
                <w:color w:val="auto"/>
              </w:rPr>
            </w:pPr>
            <w:r>
              <w:rPr>
                <w:rFonts w:ascii="Arial" w:cs="Arial" w:eastAsia="Arial" w:hAnsi="Arial"/>
                <w:sz w:val="18"/>
                <w:szCs w:val="18"/>
                <w:color w:val="auto"/>
              </w:rPr>
              <w:t>44.0</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32.1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r>
      <w:tr>
        <w:trPr>
          <w:trHeight w:val="20"/>
        </w:trPr>
        <w:tc>
          <w:tcPr>
            <w:tcW w:w="5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master policy relationships with approximately 935 customers as of December 31, 2013.</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top ten customers generated 49.6% of our NIW during the year ended December 31, 2013, compared to 60.4% and 84.9% for the years ended December 31, 2012 and 2011, respectively. For the year ended December 31, 2013, one customer, Wells Fargo, exceeded 10% of our consolidated revenue. The loss of any of our larger customers could have a material adverse impact on us and our business. See "Risk Factors—Risks Relating to Our Business—</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 profitability and returns would decline is we lose a significant customer</w:t>
      </w:r>
      <w:r>
        <w:rPr>
          <w:rFonts w:ascii="Arial" w:cs="Arial" w:eastAsia="Arial" w:hAnsi="Arial"/>
          <w:sz w:val="18"/>
          <w:szCs w:val="18"/>
          <w:color w:val="auto"/>
        </w:rPr>
        <w:t>."</w:t>
      </w:r>
    </w:p>
    <w:p>
      <w:pPr>
        <w:spacing w:after="0" w:line="197"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we have grown, we have successfully diversified our customer base. The following chart provides detail on the percentage of our NIW production generated by our top customers for each of the years ended December 31, 2013, 2012 and 2011.</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NIW by Top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4347845" cy="255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4784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9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emphasize a collaborative approach with our customers that includes educational offerings and joint product development and marketing initiatives, including:</w:t>
      </w:r>
    </w:p>
    <w:p>
      <w:pPr>
        <w:spacing w:after="0" w:line="199" w:lineRule="exact"/>
        <w:rPr>
          <w:sz w:val="20"/>
          <w:szCs w:val="20"/>
          <w:color w:val="auto"/>
        </w:rPr>
      </w:pPr>
    </w:p>
    <w:p>
      <w:pPr>
        <w:ind w:left="1080" w:right="5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quarterly or semiannual insured mortgage portfolio reviews with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detailed loan performance metrics.</w:t>
      </w:r>
    </w:p>
    <w:p>
      <w:pPr>
        <w:spacing w:after="0" w:line="212" w:lineRule="exact"/>
        <w:rPr>
          <w:rFonts w:ascii="Arial" w:cs="Arial" w:eastAsia="Arial" w:hAnsi="Arial"/>
          <w:sz w:val="18"/>
          <w:szCs w:val="18"/>
          <w:color w:val="auto"/>
        </w:rPr>
      </w:pPr>
    </w:p>
    <w:p>
      <w:pPr>
        <w:ind w:left="1080" w:right="36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Joint Product Development and Marketing Initiatives. </w:t>
      </w:r>
      <w:r>
        <w:rPr>
          <w:rFonts w:ascii="Arial" w:cs="Arial" w:eastAsia="Arial" w:hAnsi="Arial"/>
          <w:sz w:val="16"/>
          <w:szCs w:val="16"/>
          <w:color w:val="auto"/>
        </w:rPr>
        <w:t>We emphasize the development of specialized products and programs that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0" w:lineRule="exact"/>
        <w:rPr>
          <w:rFonts w:ascii="Arial" w:cs="Arial" w:eastAsia="Arial" w:hAnsi="Arial"/>
          <w:sz w:val="16"/>
          <w:szCs w:val="16"/>
          <w:color w:val="auto"/>
        </w:rPr>
      </w:pPr>
    </w:p>
    <w:p>
      <w:pPr>
        <w:ind w:left="1080" w:right="20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Customer Service, Support and Trainings. </w:t>
      </w:r>
      <w:r>
        <w:rPr>
          <w:rFonts w:ascii="Arial" w:cs="Arial" w:eastAsia="Arial" w:hAnsi="Arial"/>
          <w:sz w:val="16"/>
          <w:szCs w:val="16"/>
          <w:color w:val="auto"/>
        </w:rPr>
        <w:t>We have an experienced and knowledgeable customer services team that strives to provide premier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70"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have regional account managers and dedicated support staff operating in eight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67"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1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continue to build our sales force by hiring qualified mortgage professionals who generally have well-established relationships with industry 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we acquired our mortgage insurance platform, we have continued to upgrade and enhance systems and technology, including:</w:t>
      </w:r>
    </w:p>
    <w:p>
      <w:pPr>
        <w:spacing w:after="0" w:line="239" w:lineRule="exact"/>
        <w:rPr>
          <w:sz w:val="20"/>
          <w:szCs w:val="20"/>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implementing a business rules engine that automatically enforces our eligibility guidelines and pricing rules at the time the mortgage insurance application is submitted; and</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believe that our technology, together with our information technology team, has greatly enhanced our operating efficiency and created competitive advantages. This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67"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GSEs' underwriting systems, subject to certain additional limitations and requirements.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39" w:lineRule="exact"/>
        <w:rPr>
          <w:sz w:val="20"/>
          <w:szCs w:val="20"/>
          <w:color w:val="auto"/>
        </w:rPr>
      </w:pPr>
    </w:p>
    <w:p>
      <w:pPr>
        <w:ind w:left="1080" w:right="120" w:hanging="532"/>
        <w:spacing w:after="0" w:line="290"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Delegated Underwriting. </w:t>
      </w:r>
      <w:r>
        <w:rPr>
          <w:rFonts w:ascii="Arial" w:cs="Arial" w:eastAsia="Arial" w:hAnsi="Arial"/>
          <w:sz w:val="16"/>
          <w:szCs w:val="16"/>
          <w:color w:val="auto"/>
        </w:rPr>
        <w:t>We delegate to eligible customers the ability to underwrite the loans based on agreed-upon underwriting guidelines.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2013, approximately 69% of our insurance in force had been originated on a delegated basis, compared to 75% as of December 31, 2012. See "Risk Factors—Risks Relating to Our Business—</w:t>
      </w:r>
      <w:r>
        <w:rPr>
          <w:rFonts w:ascii="Arial" w:cs="Arial" w:eastAsia="Arial" w:hAnsi="Arial"/>
          <w:sz w:val="16"/>
          <w:szCs w:val="16"/>
          <w:i w:val="1"/>
          <w:iCs w:val="1"/>
          <w:color w:val="auto"/>
        </w:rPr>
        <w:t>Our delegated</w:t>
      </w:r>
      <w:r>
        <w:rPr>
          <w:rFonts w:ascii="Arial" w:cs="Arial" w:eastAsia="Arial" w:hAnsi="Arial"/>
          <w:sz w:val="16"/>
          <w:szCs w:val="16"/>
          <w:color w:val="auto"/>
        </w:rPr>
        <w:t xml:space="preserve"> </w:t>
      </w:r>
      <w:r>
        <w:rPr>
          <w:rFonts w:ascii="Arial" w:cs="Arial" w:eastAsia="Arial" w:hAnsi="Arial"/>
          <w:sz w:val="16"/>
          <w:szCs w:val="16"/>
          <w:i w:val="1"/>
          <w:iCs w:val="1"/>
          <w:color w:val="auto"/>
        </w:rPr>
        <w:t>underwriting program may subject our mortgage insurance business to unanticipated claims</w:t>
      </w:r>
      <w:r>
        <w:rPr>
          <w:rFonts w:ascii="Arial" w:cs="Arial" w:eastAsia="Arial" w:hAnsi="Arial"/>
          <w:sz w:val="16"/>
          <w:szCs w:val="16"/>
          <w:color w:val="auto"/>
        </w:rPr>
        <w:t>."</w:t>
      </w:r>
    </w:p>
    <w:p>
      <w:pPr>
        <w:spacing w:after="0" w:line="199"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Non-Delegated Underwriting. </w:t>
      </w:r>
      <w:r>
        <w:rPr>
          <w:rFonts w:ascii="Arial" w:cs="Arial" w:eastAsia="Arial" w:hAnsi="Arial"/>
          <w:sz w:val="16"/>
          <w:szCs w:val="16"/>
          <w:color w:val="auto"/>
        </w:rPr>
        <w:t>Customers who choose not to participate in, or do not qualify for, our delegated underwriting program submit loan</w:t>
      </w:r>
      <w:r>
        <w:rPr>
          <w:rFonts w:ascii="Arial" w:cs="Arial" w:eastAsia="Arial" w:hAnsi="Arial"/>
          <w:sz w:val="16"/>
          <w:szCs w:val="16"/>
          <w:i w:val="1"/>
          <w:iCs w:val="1"/>
          <w:color w:val="auto"/>
        </w:rPr>
        <w:t xml:space="preserve"> </w:t>
      </w:r>
      <w:r>
        <w:rPr>
          <w:rFonts w:ascii="Arial" w:cs="Arial" w:eastAsia="Arial" w:hAnsi="Arial"/>
          <w:sz w:val="16"/>
          <w:szCs w:val="16"/>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and will not rescind coverage if we make an underwriting error, subject to the terms of our Clarity of Coverage commitment. We seek to ensure that our employees properly underwrite our loans through quality assurance sampling, loan performance monitoring and training. As of December 31, 2013, approximately 31% of our insurance in force had been originated on a non-delegated basis, compared to 25% as of December 31, 2012.</w:t>
      </w:r>
    </w:p>
    <w:p>
      <w:pPr>
        <w:spacing w:after="0" w:line="17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have established risk management controls throughout our organization and have a risk management framework that is designed to reduce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all senior members of our executive team.</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52" w:lineRule="exact"/>
        <w:rPr>
          <w:rFonts w:ascii="Arial" w:cs="Arial" w:eastAsia="Arial" w:hAnsi="Arial"/>
          <w:sz w:val="18"/>
          <w:szCs w:val="18"/>
          <w:color w:val="auto"/>
        </w:rPr>
      </w:pPr>
    </w:p>
    <w:p>
      <w:pPr>
        <w:jc w:val="center"/>
        <w:ind w:left="5620" w:right="1460" w:hanging="5072"/>
        <w:spacing w:after="0" w:line="519" w:lineRule="auto"/>
        <w:tabs>
          <w:tab w:leader="none" w:pos="1082"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—loan performance and lender monitoring with continuous oversight through the settlement of a claim.</w:t>
      </w:r>
      <w:r>
        <w:rPr>
          <w:rFonts w:ascii="Arial" w:cs="Arial" w:eastAsia="Arial" w:hAnsi="Arial"/>
          <w:sz w:val="18"/>
          <w:szCs w:val="18"/>
          <w:i w:val="1"/>
          <w:iCs w:val="1"/>
          <w:color w:val="auto"/>
        </w:rPr>
        <w:t xml:space="preserve"> </w:t>
      </w: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70"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52" w:lineRule="exact"/>
        <w:rPr>
          <w:sz w:val="20"/>
          <w:szCs w:val="20"/>
          <w:color w:val="auto"/>
        </w:rPr>
      </w:pPr>
    </w:p>
    <w:p>
      <w:pPr>
        <w:jc w:val="both"/>
        <w:ind w:right="180" w:firstLine="348"/>
        <w:spacing w:after="0" w:line="303" w:lineRule="auto"/>
        <w:rPr>
          <w:sz w:val="20"/>
          <w:szCs w:val="20"/>
          <w:color w:val="auto"/>
        </w:rPr>
      </w:pPr>
      <w:r>
        <w:rPr>
          <w:rFonts w:ascii="Arial" w:cs="Arial" w:eastAsia="Arial" w:hAnsi="Arial"/>
          <w:sz w:val="15"/>
          <w:szCs w:val="15"/>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Defaults may occur for a variety of reasons including death or illness, divorce or other family problems, unemployment, changes in economic conditions, declines in property values that cause the outstanding mortgage amount to exceed the value of a home or other events. We consider 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loan to be in default when we are notified by the servicer that the borrower has missed at least two consecutive monthly payments.</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accepting a short sale or deed in lieu of foreclosure. Among other requirements, servicers operate under protocols established by the GSEs. See "Risk Factors—Risks Relating to Our Business—</w:t>
      </w:r>
      <w:r>
        <w:rPr>
          <w:rFonts w:ascii="Arial" w:cs="Arial" w:eastAsia="Arial" w:hAnsi="Arial"/>
          <w:sz w:val="18"/>
          <w:szCs w:val="18"/>
          <w:i w:val="1"/>
          <w:iCs w:val="1"/>
          <w:color w:val="auto"/>
        </w:rPr>
        <w:t>If servicers fail to adhere to appropriate servicing standards or experience disruptions to their businesses, our</w:t>
      </w:r>
      <w:r>
        <w:rPr>
          <w:rFonts w:ascii="Arial" w:cs="Arial" w:eastAsia="Arial" w:hAnsi="Arial"/>
          <w:sz w:val="18"/>
          <w:szCs w:val="18"/>
          <w:color w:val="auto"/>
        </w:rPr>
        <w:t xml:space="preserve"> </w:t>
      </w:r>
      <w:r>
        <w:rPr>
          <w:rFonts w:ascii="Arial" w:cs="Arial" w:eastAsia="Arial" w:hAnsi="Arial"/>
          <w:sz w:val="18"/>
          <w:szCs w:val="18"/>
          <w:i w:val="1"/>
          <w:iCs w:val="1"/>
          <w:color w:val="auto"/>
        </w:rPr>
        <w:t>losses could unexpectedly increase</w:t>
      </w:r>
      <w:r>
        <w:rPr>
          <w:rFonts w:ascii="Arial" w:cs="Arial" w:eastAsia="Arial" w:hAnsi="Arial"/>
          <w:sz w:val="18"/>
          <w:szCs w:val="18"/>
          <w:color w:val="auto"/>
        </w:rPr>
        <w:t>."</w:t>
      </w:r>
    </w:p>
    <w:p>
      <w:pPr>
        <w:spacing w:after="0" w:line="19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2013 and 2012:</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policies in force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141,417</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59,764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Loans in default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loans in default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gridSpan w:val="6"/>
          </w:tcPr>
          <w:p>
            <w:pPr>
              <w:jc w:val="right"/>
              <w:ind w:right="60"/>
              <w:spacing w:after="0"/>
              <w:rPr>
                <w:sz w:val="20"/>
                <w:szCs w:val="20"/>
                <w:color w:val="auto"/>
              </w:rPr>
            </w:pPr>
            <w:r>
              <w:rPr>
                <w:rFonts w:ascii="Arial" w:cs="Arial" w:eastAsia="Arial" w:hAnsi="Arial"/>
                <w:sz w:val="18"/>
                <w:szCs w:val="18"/>
                <w:i w:val="1"/>
                <w:iCs w:val="1"/>
                <w:color w:val="auto"/>
              </w:rPr>
              <w:t>Loan Defaults by Originating Year</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w w:val="96"/>
              </w:rPr>
              <w:t>December 31, 2013</w:t>
            </w: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2"/>
              </w:rPr>
              <w:t>Percentage</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of policies</w:t>
            </w: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Defaulted</w:t>
            </w:r>
          </w:p>
        </w:tc>
        <w:tc>
          <w:tcPr>
            <w:tcW w:w="1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Loans</w:t>
            </w: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policies</w:t>
            </w:r>
          </w:p>
        </w:tc>
        <w:tc>
          <w:tcPr>
            <w:tcW w:w="160" w:type="dxa"/>
            <w:vAlign w:val="bottom"/>
          </w:tcPr>
          <w:p>
            <w:pPr>
              <w:spacing w:after="0"/>
              <w:rPr>
                <w:sz w:val="12"/>
                <w:szCs w:val="12"/>
                <w:color w:val="auto"/>
              </w:rPr>
            </w:pPr>
          </w:p>
        </w:tc>
        <w:tc>
          <w:tcPr>
            <w:tcW w:w="11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Defaulted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w:t>
            </w:r>
          </w:p>
        </w:tc>
        <w:tc>
          <w:tcPr>
            <w:tcW w:w="16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written in</w:t>
            </w: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in</w:t>
            </w: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written in</w:t>
            </w:r>
          </w:p>
        </w:tc>
        <w:tc>
          <w:tcPr>
            <w:tcW w:w="160" w:type="dxa"/>
            <w:vAlign w:val="bottom"/>
          </w:tcPr>
          <w:p>
            <w:pPr>
              <w:spacing w:after="0"/>
              <w:rPr>
                <w:sz w:val="12"/>
                <w:szCs w:val="12"/>
                <w:color w:val="auto"/>
              </w:rPr>
            </w:pPr>
          </w:p>
        </w:tc>
        <w:tc>
          <w:tcPr>
            <w:tcW w:w="620" w:type="dxa"/>
            <w:vAlign w:val="bottom"/>
            <w:gridSpan w:val="2"/>
          </w:tcPr>
          <w:p>
            <w:pPr>
              <w:jc w:val="center"/>
              <w:ind w:left="312"/>
              <w:spacing w:after="0" w:line="149" w:lineRule="exact"/>
              <w:rPr>
                <w:sz w:val="20"/>
                <w:szCs w:val="20"/>
                <w:color w:val="auto"/>
              </w:rPr>
            </w:pPr>
            <w:r>
              <w:rPr>
                <w:rFonts w:ascii="Arial" w:cs="Arial" w:eastAsia="Arial" w:hAnsi="Arial"/>
                <w:sz w:val="14"/>
                <w:szCs w:val="14"/>
                <w:b w:val="1"/>
                <w:bCs w:val="1"/>
                <w:color w:val="auto"/>
              </w:rPr>
              <w:t>RIF</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Originating Year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6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period</w:t>
            </w: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Default</w:t>
            </w:r>
          </w:p>
        </w:tc>
        <w:tc>
          <w:tcPr>
            <w:tcW w:w="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period</w:t>
            </w:r>
          </w:p>
        </w:tc>
        <w:tc>
          <w:tcPr>
            <w:tcW w:w="160" w:type="dxa"/>
            <w:vAlign w:val="bottom"/>
          </w:tcPr>
          <w:p>
            <w:pPr>
              <w:spacing w:after="0"/>
              <w:rPr>
                <w:sz w:val="14"/>
                <w:szCs w:val="1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0.1%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2011</w:t>
            </w: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79"/>
              </w:rPr>
              <w:t>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79"/>
              </w:rPr>
              <w:t>0.0</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ind w:left="4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have experienced a low level of defaults to date. This is due, in part, to the weighted average life of our mortgage insurance portfolio being 9.9 months as of December 31, 2013,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experienced by the mortgage insurers that wrote business in 2009 and prior years.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39" w:lineRule="exact"/>
        <w:rPr>
          <w:sz w:val="20"/>
          <w:szCs w:val="20"/>
          <w:color w:val="auto"/>
        </w:rPr>
      </w:pPr>
    </w:p>
    <w:p>
      <w:pPr>
        <w:jc w:val="both"/>
        <w:ind w:left="1080" w:right="2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Notwithstanding our Clarity of Coverage commitment, 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31"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Our investment portfolio, including cash, compromises the largest single component of our balance sheet, representing 95% of our total assets at December 31, 2013. Our primary objectives with respect to our investment portfolio are to preserve capital, generate investment income and maintain sufficient liquidity to cover operating expenses and pay future insurance claims. As of December 31, 2013, all of our investment securities were rated investment-grade.</w:t>
      </w:r>
    </w:p>
    <w:p>
      <w:pPr>
        <w:spacing w:after="0" w:line="14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board of directors annually adopts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investment performance and strategy with the investment committee of the board of directors on a quarterly basis.</w:t>
      </w:r>
    </w:p>
    <w:p>
      <w:pPr>
        <w:spacing w:after="0" w:line="197"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Our current strategy for the investment portfolio is focused primarily on the following: selecting investment-grade, fixed income securities; maintaining sufficient liquidity to meet expected and unexpected financial obligations; mitigating interest rate risk through management of asset durations; continuously monitoring investment quality; and restricting investments to assets that are highly correlated to the residential mortgage market.</w:t>
      </w:r>
    </w:p>
    <w:p>
      <w:pPr>
        <w:spacing w:after="0" w:line="16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89% of our investment assets, excluding cash, were managed by external managers as of December 31, 2013.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and we have not recorded impairments or realized material losses on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assets. We measure investment performance against a market benchmark on both total return and return volatility dimensions.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their charters, Fannie Mae and Freddie Mac purchase or guaranty low down payment loans insured by entities that they determine to be qualified mortgage insurance companies. Both Fannie Mae and Freddie Mac have published comprehensive requirements to become and remain a qualified mortgage insurer. The Federal Housing Finance Agency, or FHFA, as the conservator of the GSEs, has the authority to establish the priorities of the GSEs and to control and direct their operations. The FHFA has established a strategic plan for the GSEs, and publishes a scorecard that sets annual objectives for the GSEs under that strategic plan. In March 2013, the FHFA released its 2013 scorecard detailing specific priorities for Fannie Mae and Freddie Mac in 2013. Among the goals in the 2013 scorecard is the development by the GSEs of aligned counterparty risk management standards for mortgage insurers that include uniform master policy and eligibility requirements. In December 2013, the FHFA informed mortgage insurers that prior to the public release of proposed new eligibility requirements, such requirements would be provided to state regulators for review and comment. We anticipate that state regulatory review of the proposed eligibility requirements will be conducted and completed, and that new eligibility standards will be promulgated, sometime in 2014. Our primary insurance subsidiary, Essent Guaranty, Inc., is currently approved by both Fannie Mae and Freddie Mac as a mortgage insurer, but Essent Guaranty, Inc.'s longer term eligibility may be impacted by its continuing compliance with the eligibility requirements. The GSEs have also proposed minimum standards for mortgage insurer master policies, including standards relating to limitations of a mortgage insurer's rescission rights. We expect the GSEs to implement these revised standards for master policies no earlier than July 1, 2014. In response to these proposed changes, Essent Guaranty, Inc. has received approval from the GSEs for its new master policy forms and has filed those policy forms for the state insurance regulators for their approval.</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U.S. insurance subsidiaries are required by the insurance regulatory authority of its state of domicile, and the insurance regulatory authority of each other jurisdiction in which it is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in all fifty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Mortgage insurance premium rates are regulated to protect policyholders against the adverse effects of excessive, inadequate or unfairly discriminatory rates and to encourage competition in the insurance marketplace. Any increase in premium rates must be justified, generally on the basis of the insurer's loss experience, expenses and future trend analysis. The general mortgage default experience may also be considered. Premium rates are subject to review and challenge by state regulators. See "Management's Discussion and Analysis—Liquidity and Capital Resources" for information about regulations governing our capital adequacy, information about our current capital and our expectations regarding our future capital position.</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insurance holding company laws and regulations of Pennsylvania, the state in which our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State insurance law, and not Federal bankruptcy law, would apply to any insolvency or financially hazardous condition of our insurance subsidiaries.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6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17 to our consolidated financial statements entitled "Statutory Accounting" included elsewhere in this Annual Report.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Federal Laws and Regulation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Certain Federal laws directly or indirectly affect private mortgage insurers. Private mortgage insurers are impacted indirectly by Federal law and regulation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the Fair Credit Reporting Act of 1970, the Fair Debt Collection Practices Act, and others.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define the manner in which companies may pursue collection activities, require disclosures of the cost of credit and provide for other consumer protections.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 On January 10, 2014, the CFPB implemented a final rule regarding Qualified Mortgages, or QMs, and Federal banking regulators, the Department of Housing and Urban Development, or HUD, and the FHFA are in the process of finalizing a rule on Qualified Residential Mortgages, or QRMs, both of which are discussed further below. The CFPB also recently published final residential mortgage servicing rules providing for amendments to Regulation Z (promulgated pursuant to TILA) and RESPA. The full scope of the Dodd-Frank Act and its impact on the mortgage insurance industry remains uncertain at this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Under the Dodd-Frank Act, the CFPB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QM definition. Creditors who violate the ability-to-repay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debt-to-income ratio must not exceed 43%.</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Dodd-Frank Act separately granted statutory authority to HUD (for FHA-insured loans), the VA (for VA-guaranteed loans) and certain other government agency insurance programs to develop their own definitions of a qualified mortgage in consultation with CFPB. On September 30, 2013, HUD proposed a separate definition of a qualified mortgage for loans insured by the FHA and adopted a final rule on December 11, 2013. Under the FHA's QM standard, certain loans which would not qualify as QM loans in the conventional market would still be deemed to be QM loans if insured or guaranteed by FHA or HUD. As a result, lenders may favor the use of FHA insurance to achieve the legal protections of a making a QM loan through the FHA,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conservatorship), the FHA, the VA, the Department of Agriculture or the Rural Housing Service. This temporary QM category expires on January 10, 2021, or earlier if the Federal agencies issue their own qualified mortgage rules or, with respect to GSEs, if the FHFA's conservatorship ends. In May 2013, the FHFA directed the GSEs to limit purchases after January 10, 2014 to loans that meet certain QM criteria, namely loans that are fully amortizing, have terms of 30 years or less, and have points and fees representing 3% or less of the total loan amount.</w:t>
      </w:r>
    </w:p>
    <w:p>
      <w:pPr>
        <w:spacing w:after="0" w:line="17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Under the QM Rule, mortgage insurance premiums that are payable by the consumer at or prior to consummation of the loan are includible in the calculation of points and fees unless, and to the extent that the up-front premiums, or UFPs, are (i) less than or equal to the UFPs charged by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FHA, and (ii) are automatically refundable on a pro rata basis upon satisfaction of the loan. Our borrower-paid single premium products, both refundable and non-refundable, may be includible within the points and fees calculation under the QM Rule. As noted above, the QM Rule includes a limitation on points and fees in excess of 3% of the total loan amount. Because inclusion of mortgage insurance premiums in the calculation of points and fees will reduce the capacity for other points and fees in order for lenders to comply with the cap, mortgage originators may be less likely to utilize borrower-paid single premium mortgage insurance products. Even where the mortgage insurance premium is not directly included in the calculation of points and fees, it may limit the ability of the lender to charge other points and fees. The treatment of mortgage insurance premiums as a component of the points and fees calculation, or the potential indirect impact of mortgage insurance premiums on the total points and fees, may be a key determinant of whether a loan is in the safe harbor, receives a rebuttable presumption of ability to repay, or receives no presumption. As a result, the QM Rule may decrease demand for certain of our single premium products and may increase demand for monthly and annual premium mortgage insurance products that do not impact the points and fees. See "Management's Discussion and Analysis of Financial Condition and Results of Operations—Factors Affecting Our Results of Operations—Persistency and Business Mix."</w:t>
      </w:r>
    </w:p>
    <w:p>
      <w:pPr>
        <w:spacing w:after="0" w:line="177"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Although some large lenders have announced plans to originate loans that do not qualify as QMs, 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will have a direct impact on establishing a subset of borrowers who can meet the regulatory standards and will directly affect the willingness of lenders and mortgage investors to extend mortgage credit and therefore the size of the residential mortgage market. Our business prospects and operating results could be adversely impacted if, and to the extent that, the QM regulations reduce the size of the origination market, reduce the willingness of lenders to extend low down payment credit, favor alternatives to private mortgage insurance such as government mortgage insurance programs, or change the mix of our business in ways that may be unfavorable to us. See "Risk Factors—Risks Relating to Our Business—</w:t>
      </w:r>
      <w:r>
        <w:rPr>
          <w:rFonts w:ascii="Arial" w:cs="Arial" w:eastAsia="Arial" w:hAnsi="Arial"/>
          <w:sz w:val="16"/>
          <w:szCs w:val="16"/>
          <w:i w:val="1"/>
          <w:iCs w:val="1"/>
          <w:color w:val="auto"/>
        </w:rPr>
        <w:t>Our business prospects and operating results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if, and to the extent that, the Consumer Financial Protection Bureau's ("CFPB") final rule defining a qualified mortgage ("QM") reduces the size of the origination market or creates incentives to use government mortgage insurance programs."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risk-retention requirement does not apply to a mortgage loan that is a "qualified residential mortgage," or a "QRM", or that is insured or guaranteed by the FHA or other specified Federal agencies. In March 2011, Federal regulators issued a proposed risk-retention rule that included a definition of QRM and an alternative definition. In response to public comment on the initial proposal, on August 28, 2013, Federal regulators made public a revised proposed risk retention rule and QRM definitions, which we refer to as the "Revised Risk Retention Proposal", subject to a public comment period that ended on October 30, 2013. The Revised Risk Retention Proposal would generally define QRM as a mortgage meeting the requirements of a QM (see "—Qualified Mortgage Regulations—Ability to Repay Requirements" above). In addition, an alternative QRM definition, "QM-plus," that was considered but ultimately not selected as the preferred approach, was also proposed for comment. QM-plus utilizes certain QM criteria but also incorporates a maximum LTV standard of 70% and certain other restrictions selected to reduce the risk of default. Under the QM-plus alternative, significantly fewer loans likely would qualify as a QRM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therefore, be exempt from risk retention. Neither definition of QRM in the Revised Risk Retention Proposal incorporates the use of private mortgage insurance.</w:t>
      </w:r>
    </w:p>
    <w:p>
      <w:pPr>
        <w:spacing w:after="0" w:line="24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with the original proposal, under the Revised Risk Retention Proposal, because of the capital support provided by the U.S. government, the GSEs satisfy the Dodd-Frank Act's risk-retention requirements while they are under the conservatorship of the FHFA. Therefore, lenders that originate loans that are sold to the GSEs while they are in conservatorship will not be required to retain risk associated with those loans. In addition, an equivalent guaranty provided by a limited-life regulated entity that has succeeded to the charter of a GSE and that is operating under specified direction and control of the FHFA would satisfy the risk-retention requirements, provided that the entity is operating with capital support from the U.S. government. However, if a GSE or successor limited-life regulated entity began to operate in another manner, then the guaranty provided by the GSE or such other entity may not satisfy the risk-retention requirements. Changes in final regulations regarding treatment of GSE guaranteed mortgage loans, or changes in the conservatorship or capital support provided to the GSEs by the U.S. government, could impact the manner in which the risk-retention rules apply to GSE securitizations and our business.</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By exempting QRMs from the risk-retention requirements, the cost of securitizing these mortgages would be reduced, thus providing a market incentive for the origination of loans that are exempt from the risk-retention requirement. If the final QRM rules treat all QM loans as QRMs, low down payment loans with private mortgage insurance that do not meet the requirements of the QM rule can only be securitized with a risk retention requirement, which may further deter their origination and adversely affect our business. If the final definition includes a substantial down payment requirement, such as incorporated in QM-plus, without recognition of private mortgage insurance to meet the definition, loans with LTVs in excess of the final requirement that are not guaranteed by the GSEs cannot be securitized without risk retention, which may deter their origination and adversely affect our business.</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final timing of the adoption of any risk retention regulation and the definition of QRM remains uncertain. The impact of these rules on the use of mortgage insurance depends on, among other things, (i) the final definition of QRM, (ii) under the proposed definition, the extent to which the presence of private mortgage insurance may adversely affect the ability of a loan to qualify as a QM and therefore as a QRM, (iii) under the QM-plus definition or any other final definition with an LTV requirement, the level of the final LTV requirement and the extent to which credit would be given for the use of mortgage insurance, if any, in satisfying the LTV requirement, (iv) if, in the future, sellers of loans to the GSEs become subject to risk-retention requirements, and (v) the degree to which originators or issuers subject to risk retention requirements would see it as beneficial to utilize mortgage insurance on non-QRM loans to mitigate their retained credit exposure. See "Risk Factors—Risks Relating to Our Business—</w:t>
      </w:r>
      <w:r>
        <w:rPr>
          <w:rFonts w:ascii="Arial" w:cs="Arial" w:eastAsia="Arial" w:hAnsi="Arial"/>
          <w:sz w:val="16"/>
          <w:szCs w:val="16"/>
          <w:i w:val="1"/>
          <w:iCs w:val="1"/>
          <w:color w:val="auto"/>
        </w:rPr>
        <w:t>The amount of insurance we write could be adversely affected by the</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of the Dodd-Frank Act's risk retention requirements and the definition of Qualified Residential Mortgage ("QRM"</w:t>
      </w:r>
      <w:r>
        <w:rPr>
          <w:rFonts w:ascii="Arial" w:cs="Arial" w:eastAsia="Arial" w:hAnsi="Arial"/>
          <w:sz w:val="16"/>
          <w:szCs w:val="16"/>
          <w:color w:val="auto"/>
        </w:rPr>
        <w: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amended and expanded upon mortgage servicing requirements under TILA and RESPA. The CFPB was required to amend Regulation Z (promulgated pursuant to TILA) and Regulation X (promulgated pursuant to RESPA) to conform these regulations to the statutory requirements. Final rules implementing these detailed new mortgage servicing requirements became effective on January 10, 2014.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prior to the implementation of these rules. As to servicing of mortgage loans covered by our insurance policies, these rules could contribute to delays in realization upon collateral and have an adverse impact on resolution of claims.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Our primary insurance subsidiary received such an inquiry from the CFPB in January 2012; however, we do not currently have nor have we ever had any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will end the challenged practices, pay monetary penalties, and be subject to monitoring by the CFPB and required to make reports to the CFPB in order to ensure their compliance with the provisions of the orders. Although we did not participate in the practices that were the subject of the CFPB investigation, the private mortgage industry and our insurance subsidiaries are, and likely will continue to be, subject to substantial Federal and state regulation, which has increased in recent years as a result of the deterioration of the housing and mortgage markets in the U.S. Increased Federal or state regulatory scrutiny could lead to new legal precedents, new regulations or new practices, or regulatory actions or investigations, which could adversely affect our financial condition and operating results.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SAFE Act requires mortgage loan originators to be licensed and/or registered with the Nationwide Mortgage Licensing System and Registry, or the Registry. The Registry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Registry. The SAFE Act generally prohibits employees of a depository institution (including certain of their subsidiaries that are regulated by a Federal banking agency) from originating residential mortgage loans without first registering with the Registry and maintaining that registration. Certain of our underwriters are licensed pursuant to the SAFE Act.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7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placement of the GSEs into the conservatorship of the FHFA increases the likelihood that the U.S. Congress will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9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path of reform is uncertain, but likely will be influenced by a number of factors including the policy direction of the Obama administration. On February 11, 2011, the Obama administration released a proposal to reform the U.S. housing finance market. Under that proposal, the Federal government's role in housing finance would gradually decline, including winding down the GSEs and a corresponding increase in the role of private capital in the system.</w:t>
      </w:r>
    </w:p>
    <w:p>
      <w:pPr>
        <w:spacing w:after="0" w:line="16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With respect to long-term reform, the proposal outlined three options for a future housing finance system, each of which differs in both the structure and scale of the Federal government's future role:</w:t>
      </w:r>
    </w:p>
    <w:p>
      <w:pPr>
        <w:spacing w:after="0" w:line="199" w:lineRule="exact"/>
        <w:rPr>
          <w:sz w:val="20"/>
          <w:szCs w:val="20"/>
          <w:color w:val="auto"/>
        </w:rPr>
      </w:pPr>
    </w:p>
    <w:p>
      <w:pPr>
        <w:ind w:left="1080" w:right="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 1: Privatized system of housing finance with the Federal government's role limited to providing assistance for narrowly targeted groups of borrowers, leaving the vast majority of the mortgage market to the private sector;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 2: Similar to Option 1, but with ability for the Federal government to scale up to a larger share of the market if private capital withdraws in times of financial stress;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 3: Similar to Option 2, but with assistance to low-and moderate-income borrowers and with the Federal government providing catastrophic reinsurance behind private capital for securities of a targeted range of mortgages.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Many major housing finance reform proposals from legislators and other parties are premised on an Option 3 model, with government providing a backstop or guarantee for mortgage-backed securities for some portion of the market. For example, in 2013 a proposal by the Bipartisan Policy Center's Housing Commission called for winding down the GSEs and implementing a new system built on a U.S. full faith and credit backstop of mortgage-backed securities but with private capital bearing the predominant risk of credit loss in front of taxpayers. Under an Option 3 model, private mortgage insurance can provide capital to reduce taxpayer credit risk where government provides a backstop or guarantee.</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August 6, 2013, President Obama publicly addressed housing finance and, among other announcements, issued a set of core principles for housing finance reform which endorsed an Option 3 model intended to ensure widespread and consistent access to 30-year fixed rate mortgages as the role of the GSEs is eventually transitioned out of the housing finance system. The Obama administration also endorsed intermediate steps to transition to a new housing finance system, including systematically reducing the government's credit risk exposure at the GSEs through two key approaches: (i) a capital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markets approach in which private investors take on the risk of the portfolio's first losses, and (ii) an insurance approach in which well capitalized and regulated private institutions insure a portfolio of mortgages against default and collect insurance premiums.</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On January 22, 2014, Michael Stegman, Housing Finance Policy Counselor to the Secretary of the Treasury, made remarks reaffirming the commitment of the Obama administration to pursue comprehensive, bipartisan housing finance reform, noting the structural flaws of the legacy GSE-centric mortgage finance system and describing the status quo as "neither sustainable or sensible public policy." The remarks state that the Obama administration is engaged with the Senate Banking Committee to shape policy in line with the Obama administration's principles for reform. The remarks reinforce and extend the position of the Obama administration with regard to housing finance reform, stating among other things support for:</w:t>
      </w:r>
    </w:p>
    <w:p>
      <w:pPr>
        <w:spacing w:after="0" w:line="18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preservation of a liquid TBA market and broad access to the 30-year mortgage;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full faith and credit government guarantee of qualified mortgages standing behind substantial private capital in a first loss position;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GSE-legacy securities receiving the same full faith and credit guarantee;</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of a single-security-based future system, with steps taken now to reduce the price gap between Freddie Mac and Fannie Mae securities;</w:t>
      </w:r>
    </w:p>
    <w:p>
      <w:pPr>
        <w:spacing w:after="0" w:line="21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holding or syndicating credit risk to the capital markets should be separated from the act of securitizing mortgages to help prevent a situation where entities holding credit risk are too important to fail because they also control the pipes and infrastructure needed to create securities, which would also improve competition by lowering the barriers to entry for new players willing to take credit risk since they will have to build less infrastructure in the new system;</w:t>
      </w:r>
    </w:p>
    <w:p>
      <w:pPr>
        <w:spacing w:after="0" w:line="210" w:lineRule="exact"/>
        <w:rPr>
          <w:rFonts w:ascii="Arial" w:cs="Arial" w:eastAsia="Arial" w:hAnsi="Arial"/>
          <w:sz w:val="18"/>
          <w:szCs w:val="18"/>
          <w:color w:val="auto"/>
        </w:rPr>
      </w:pPr>
    </w:p>
    <w:p>
      <w:pPr>
        <w:ind w:left="1080" w:right="340" w:hanging="532"/>
        <w:spacing w:after="0" w:line="370"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preference that all single-family mortgages that receive a government-backed wrap be securitized through a single, non-profit securitization utility that would issue standardized mortgage backed securities, replacing the securitization functions that the GSEs perform today;</w:t>
      </w:r>
    </w:p>
    <w:p>
      <w:pPr>
        <w:spacing w:after="0" w:line="129" w:lineRule="exact"/>
        <w:rPr>
          <w:rFonts w:ascii="Arial" w:cs="Arial" w:eastAsia="Arial" w:hAnsi="Arial"/>
          <w:sz w:val="15"/>
          <w:szCs w:val="15"/>
          <w:color w:val="auto"/>
        </w:rPr>
      </w:pPr>
    </w:p>
    <w:p>
      <w:pPr>
        <w:ind w:left="1080" w:right="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attracting significant private capital to take credit risk by granting to the regulator the ability to approve various forms of first loss as long as they meet specified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guarantors and aggregators who deliver eligible loans to provide equitable access for lenders of all sizes;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transitioning to a future system in a way that does not disrupt liquidity and access to credit, likely over a period of at least five years.</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Several proposals have been and are currently being considered by Congress. On July 24, 2012, the House Financial Services Committee passed H.R. 2767, "The Protecting American Taxpayers and Homeowners Act of 2013", or the "PATH Act", a comprehensive secondary market reform plan similar to Option 1 including a very limited risk-bearing role for government and winding down of the GSEs, as well as extensive reforms to the FHA. Since the fall of 2013, the Senate Banking Committee has held extensive hearings to consider legislation to address secondary market and GSE reform. Legislation in the Senate is likely to be influenced by, among other things, proposed bipartisan legislation co-authored by Senators Bob Corker (R-TN) and Mark Warner (D-VA), titled S. 1217, "The Housing Finance Reform and Taxpayer Protection Act", or the "Corker-Warner Bill". The Corker-Warner Bill sets a framework for GSE and secondary market reform that includes winding down the GSEs over a five year period and the creation of a new entity, the Federal Mortgage Insurance Corporation, or FMIC, as a successor to FHFA with responsibility for running a catastrophic government insurance fund for certain mortgage-backed securities and regulating the operation of the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secondary market. Among its provisions, properly underwritten mortgages meeting certain conditions, including private mortgage insurance on loans with LTVs in excess of 80%, will be eligible to be securitized with the catastrophic government guarantee provided by FMIC. The prospects for passage of housing finance and GSE reform legislation remain uncertain in both the House and Senate.</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neither the Obama administration nor Congress has taken significant actions to wind down the GSEs, the FHFA, as the regulator and conservator of the GSEs, has the authority to establish the priorities of the GSEs and to control and direct their operations. In the absence of comprehensive legislative reform of the GSEs, the FHFA has made changes to the business and operations of the GSEs, in part under the direction of an FHFA-developed strategic plan for the conservatorship of the GSEs. This strategic plan calls for the contraction of the role of the GSEs and expansion of the role private capital through a number of actions, including shrinking the portfolios of the GSEs, raising guaranty fees and consideration of expanded use of credit risk sharing with private market participants, including private mortgage insurance and capital markets.</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January 6, 2014, former Congressman Mel Watt (D-NC) was sworn into office as the Director of the FHFA. As Director, Mr. Watt may make changes to the priories and direction of the GSEs, but the extent and timing of any such changes is uncertain.</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9, 2013, FHFA announced a further increase in GSE guarantee fees and LLPAs, resulting in an overall expected increase in guarantee fees of 14 basis points on a typical 30-year loan. The changes reflect a greater emphasis on more risk-based pricing, resulting in relatively greater increases on low down payment loans, and are likely to contract the role of the GSEs by raising the cost of GSE loans to lenders and borrowers. The announced changes were to become effective with loans delivered on and after April 1, 2014. However, Director Watt delayed the implementation of these changes pending an evaluation of the full rationale for the plan and the effects on credit cost and availability.</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December 16, 2013, the FHFA proposed for public comment a plan to gradually reduce the size of loans that Fannie Mae and Freddie Mac may purchase to further the goal of contracting the market presence of the GSEs. In areas where the statutory maximum loan limit for one-unit properties is currently $417,000, the plan contemplates a loan purchase limit of $400,000, representing an approximately four percent reduction. The loan purchase limit would be reduced by the same percentage in other parts of the country, including those areas where current limits are at $625,500, where the limit would decline to $600,000. As part of its proposal, the FHFA seeks input on the implementation of the proposed limits including whether six months' advance notice is adequate, whether it is preferable for FHFA to announce a multi-year schedule of decreases, and to what date any future loan purchase limit reductions should be tied. The contemplated action is a plan and not a final decision. The FHFA stated that no final decision on loan purchase limits will be made until the comments are reviewed and, in any event, the changes would not affect loans originated before October 1, 2014. Public comments on the plan are due by March 20, 2014. Should this proposal be adopted, it could adversely affect our business.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second quarter of 2012, both Fannie Mae and Freddie Mac reported profits for the first time since the fourth quarter of 2006. Also, the second quarter of 2012 was the first time since the financial crisis that neither of the GSEs had to request financial support from the U.S. Treasury. These developments continued in 2013 when both Fannie Mae and Freddie Mac reported record profits. Under the terms of the preferred stock investment agreements between the U.S. Treasury and the GSEs, all GSE profits are remitted to the U.S. Treasury, and as such the return to profitability of the GSEs has become a source of revenues to the Federal government at a time of large Federal deficits. The profitability of the GSEs, and the active interest of investors in GSE securities which would benefit from a recapitalization of the GSEs, may impact the pace and direction of housing finance reform.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6"/>
          <w:szCs w:val="16"/>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is January 1, 2014 for advanced approaches banking organizations that are not savings and loan holding companies.</w:t>
      </w:r>
    </w:p>
    <w:p>
      <w:pPr>
        <w:spacing w:after="0" w:line="177"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percent risk weight to loans secured by one-to- four-family residential properties. Generally, residential mortgage exposures secured by a first lien on a one-to-four family residential property that are prudently underwritten and that are performing according to their original terms receive a 50 percent risk weighting. All other one- to-four family residential mortgage loans are assigned a</w:t>
      </w:r>
    </w:p>
    <w:p>
      <w:pPr>
        <w:ind w:right="380"/>
        <w:spacing w:after="0" w:line="255" w:lineRule="auto"/>
        <w:rPr>
          <w:sz w:val="20"/>
          <w:szCs w:val="20"/>
          <w:color w:val="auto"/>
        </w:rPr>
      </w:pPr>
      <w:r>
        <w:rPr>
          <w:rFonts w:ascii="Arial" w:cs="Arial" w:eastAsia="Arial" w:hAnsi="Arial"/>
          <w:sz w:val="18"/>
          <w:szCs w:val="18"/>
          <w:color w:val="auto"/>
        </w:rPr>
        <w:t>100 percent risk weight. The Basel III Rules continue to afford FHA-insured loans a lower risk-weighting than low down payment loans insured with private mortgage insurance, and Ginnie Mae mortgage-backed securities are afforded a lower risk weighting than Fannie Mae and Freddie Mac mortgage-backed securities.</w:t>
      </w:r>
    </w:p>
    <w:p>
      <w:pPr>
        <w:spacing w:after="0" w:line="198"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225"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In 2006, Congress enacted the private mortgage insurance tax deduction in order to foster homeownership. The deduction was enacted on a temporary basis and it expired at the end of 2011. In January 2013, Congress passed the American Taxpayer Relief Act, which extended the private mortgage insurance tax deduction retroactively for one year and prospectively for one year through 2013. The provisions allowing for the deduction for mortgage insurance premiums expired at the end of 2013. Several pieces of legislation have been introduced to extend the deduction for mortgage insurance premiums, including S. 688, which would permanently extend the deduction for mortgage insurance premiums, and H.R. 3941, which would extend the deduction for mortgage insurance premiums through 2014. Congress may choose to extend the deduction for mortgage insurance premiums for an additional year or may address this issue as part of the comprehensive tax reform debate. We cannot predict whether the tax deduction will be made permanent and if not, whether it will be further extended after 2013.</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compete with the single-family mortgage insurance programs of the FHA, which is part of HUD. In HUD's annual report to Congress dated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16, 2012 on the financial status of the FHA Mutual Mortgage Insurance Fund, or MMIF, the capital reserve ratio of the MMIF was a negative 1.44%,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the Congressionally mandated required minimum level of 2%. In part as a result of this capital shortfall, Congress is considering legislation to reform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FHA. In 2012, an FHA reform bill, H.R. 4264 "The FHA Emergency Fiscal Solvency Act of 2012," passed the House of Representatives and came close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passage in the Senate. In July 2013, the House Financial Services Committee passed the PATH Act, which contains among its provisions extensive reforms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FHA, including an increase to the minimum capital reserve ratio to 4%, a 5% minimum borrower down payment, mandated minimum premiums and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authority, increased authority for the FHA to seek indemnification from lenders for improperly originated loans and requires the implementation of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risk sharing agreements. In addition, on July 31, 2013, the Senate Banking Committee passed the S. 1376 "The FHA Solvency Act of 2013," which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changes, raises the minimum capital reserve ratio to 3%, sets certain minimum and maximum premiums and grants authority for higher premiums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permitted, and strengthens the authority of the FHA to seek indemnifications from lenders for improperly originated loans. Despite areas of similarity,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provisions to strengthen the solvency of the FHA MMIF, there are significant differences between the PATH Act and the FHA Solvency Act of 2013.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prospects for passage of FHA reform legislation in either the House or Senate, and how differences in proposed reforms between the House and Senate might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resolved in any final legislation, remain uncertain. If FHA reform were to raise FHA premiums, tighten FHA credit guidelines, make other changes which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use of the FHA less attractive, or implement credit risk sharing between the FHA and private mortgage insurers, these changes may be beneficial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However, there can be no assurance that any FHA reform legislation will be enacted into law, and what provisions may be contained in any final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legislation, if any.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Lobbying Disclosure Act of 1995</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employ an in-house lobbyist in order to engage in the public policy debates that have been referred to herein, and accordingly have registered with the Secretary of the Senate and the Clerk of the House of Representatives as required by the Lobbying Disclosure Act. The Lobbying Disclosure Act requires initial registration and periodic reports relative to an organization's Federal lobbying activities and expenditures.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Banking Regulation</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Goldman Sachs Group, Inc., which holds interests in us directly or through its affiliates, is a bank holding company and regulated as a financial holding company under the Bank Holding Company Act, or the BHC Act. Due to the size of its voting and economic interests in us, we are deemed to be controlled by The Goldman Sachs Group, Inc., and are therefore considered to be a non-bank subsidiary of The Goldman Sachs Group, Inc., under the BHC Act. As a result, although we do not engage in banking operations, we are subject to regulation, supervision, examination and potential enforcement action by the Federal Reserve and to certain banking laws, regulations and orders that apply to The Goldman Sachs Group, Inc. In addition, we are subject to the examination authority of, and may be required to submit reports to, the CFPB because we are an affiliate of Goldman Sachs Bank USA, which is an insured depository institution with more than $10 billion in assets. The bank regulatory framework is intended primarily to protect depositors, the Deposit Insurance Fund of the Federal Deposit Insurance Corporation, the safety and soundness of depository institutions and the financial system as a whole, rather than our shareholders. Because of The Goldman Sachs Group, Inc.'s status as a bank holding company, we have agreed to certain restrictions on our activities imposed by The Goldman Sachs Group, Inc. that are intended to facilitate its compliance with the BHC Act. For a discussion of these restrictions, see "Certain Relationships and Related Party Transactions, and Director Independence" elsewhere in this Annual Report.</w:t>
      </w:r>
    </w:p>
    <w:p>
      <w:pPr>
        <w:spacing w:after="0" w:line="18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remain subject to this regulatory regime until The Goldman Sachs Group, Inc. is no longer deemed to control us for bank regulatory purposes, which we do not generally have the ability to control and which will not occur until The Goldman Sachs Group, Inc. has significantly reduced its voting and economic interests in us. We cannot predict the ownership level at which the Federal Reserve would consider us no longer controlled by The Goldman Sachs Group, Inc.</w:t>
      </w:r>
    </w:p>
    <w:p>
      <w:pPr>
        <w:spacing w:after="0" w:line="16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Goldman Sachs Group, Inc. and its non-bank subsidiaries, including Essent, generally may conduct only activities that are authorized for a bank holding company or a financial holding company under the BHC Act. The scope of services we may provide to our customers is limited under the BHC Act to those which are (i) financial in nature or incidental to financial activities (including insurance underwriting and selling insurance as agent or broker such as our activity of offering private mortgage insurance and reinsurance coverage for single-family mortgage loans) or (ii) complementary to a financial activity and which do not pose a substantial risk to the safety and soundness of depository institutions or the financial system generally. Any failure of The Goldman Sachs Group, Inc. to maintain its status as a financial holding company could result in substantial limitations on our activities and our growth. In particular, our permissible activities could be further restricted to only those that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constitute banking or activities closely related to banking. The Goldman Sachs Group, Inc.'s loss of its financial holding company status could be caused by several factors, including any failure by The Goldman Sachs Group, Inc.'s bank subsidiaries to remain sufficiently capitalized, by any examination downgrade of one of The Goldman Sachs Group's bank subsidiaries, or by any failure of one of The Goldman Sachs Group, Inc.'s bank subsidiaries to maintain a satisfactory rating under the Community Reinvestment Act. In addition, the Dodd-Frank Act broadened the requirements for maintaining financial holding company status by also requiring the holding company to remain well capitalized and well managed. We have no ability to prevent such occurrences from happening nor can we control whether The Goldman Sachs Group, Inc. remains well capitalized and well managed.</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Federal Reserve has broad enforcement authority over us, including the power to prohibit us from conducting any activity that, in the Federal Reserve's opinion, is unauthorized or constitutes an unsafe or unsound practice in conducting our business. The Federal Reserve may approve, deny or refuse to act upon applications or notices for The Goldman Sachs Group, Inc. and its subsidiaries to conduct new activities, acquire or divest businesses or assets, or reconfigure existing operations. The Federal Reserve may also impose substantial fines and other penalties for violations of applicable banking laws, regulations and orders. The Dodd-Frank Act strengthened the Federal Reserve's supervisory and enforcement authority over a bank holding company's non-bank affiliates.</w:t>
      </w:r>
    </w:p>
    <w:p>
      <w:pPr>
        <w:spacing w:after="0" w:line="15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There are limits on the ability of The Goldman Sachs Group, Inc.'s bank subsidiaries to extend credit to or conduct other transactions with us. In general, any loans to us from a bank subsidiary of The Goldman Sachs Group, Inc. must be on market terms and secured by designated amounts of specified collateral and are limited to 10% of the lending bank's capital stock and surplus. Statutory changes made by the Dodd-Frank Act will place certain additional restrictions on transactions between us and The Goldman Sachs Group, Inc. in the future, which we do not expect to be material to us.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 registered insurer or its parent company is a fit and proper person to exercise such degree of control.</w:t>
      </w:r>
    </w:p>
    <w:p>
      <w:pPr>
        <w:spacing w:after="0" w:line="172"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insurers carrying on general business (Classes 1, 2, 3, 3A, 3B, and 4) with Class 1 insurers subject to the lightest regulation and Class 4 insurers subject to the strictest regulation.</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97"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Although licensed as a Class 3A reinsurer, through December 31, 2013, Essent Reinsurance Ltd. has not entered into any insurance contracts. As such, the BMA has, on an annual basis, granted Essent Reinsurance, Ltd. a direction which exempts it from having to comply with certain provisions of the Insurance Act, including the requirement to prepare and file audited annual statutory financial statements, file an annual statutory financial return, appoint an auditor and file an annual opinion of a loss reserve specialist. Each of these requirements are described more fully below. The BMA has also granted a direction which modifies the minimum solvency margin applicable to Essent Reinsurance Ltd. to US$120,000, on the basis that it shall not enter into any contracts of insurance or reinsurance.</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An insurer is required to maintain a principal office in Bermuda and to appoint and maintain a principal representative in Bermuda. For the purpose of the Insurance Act, Essent Reinsurance Ltd.'s principal representative is Kane (Bermuda) Limited and its principal office for these purposes is the offices of Kane.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14 days of such notification to the BMA, the principal representative must furnish the BMA with a written report setting out all the particulars of the case that are available to the principal representative.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Authority may appoint an approved auditor for the insurer and shall fix the remuneration to be paid to the approved auditor within 14 days, if not agreed sooner by the insurer and the auditor.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Authority.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Class 3A insurer will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Class 3A insurer must at all times maintain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restrictions on declaring or paying dividends and distributions under the Insurance Act are in addition to those under the Companies Act which apply to all Bermuda companies.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140" w:firstLine="348"/>
        <w:spacing w:after="0" w:line="335" w:lineRule="auto"/>
        <w:rPr>
          <w:sz w:val="20"/>
          <w:szCs w:val="20"/>
          <w:color w:val="auto"/>
        </w:rPr>
      </w:pPr>
      <w:r>
        <w:rPr>
          <w:rFonts w:ascii="Arial" w:cs="Arial" w:eastAsia="Arial" w:hAnsi="Arial"/>
          <w:sz w:val="15"/>
          <w:szCs w:val="15"/>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42"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There are certain categories of assets which, unless specifically permitted by the Authority, do not automatically qualify as relevant assets, such as unquoted equity securities, investments in and advances to affiliates and real estate and collateral loans.</w:t>
      </w:r>
    </w:p>
    <w:p>
      <w:pPr>
        <w:spacing w:after="0" w:line="186"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9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regulatory authority. Further, the BMA must consider whether cooperation is in the public interest. The grounds for disclosure are limited and the Insurance Act provides for sanctions for breach of the statutory duty of confidentiality.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300" w:firstLine="341"/>
        <w:spacing w:after="0" w:line="370" w:lineRule="auto"/>
        <w:rPr>
          <w:sz w:val="20"/>
          <w:szCs w:val="20"/>
          <w:color w:val="auto"/>
        </w:rPr>
      </w:pPr>
      <w:r>
        <w:rPr>
          <w:rFonts w:ascii="Arial" w:cs="Arial" w:eastAsia="Arial" w:hAnsi="Arial"/>
          <w:sz w:val="15"/>
          <w:szCs w:val="15"/>
          <w:color w:val="auto"/>
        </w:rPr>
        <w:t>As of December 31, 2013, we had 289 employees, substantially all of whom are based in the United States. None of our employees are represented by a labor union and we consider our employee relations to be good. We also periodically engage contractors who provide services to us on a temporary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primary mortgage insurance operations to date have been conducted through Essent Guaranty, Inc., a Pennsylvania domiciled insurer which is a monoline insurance company licensed in all 50 states and the District of Columbia. Essent Guaranty of PA, Inc. provides reinsurance to Essent Guaranty, Inc. for mortgage insurance coverage in excess of 25% of the balance of any mortgage loan insured by Essent Guaranty, Inc. We also have a wholly-owned Bermuda-domiciled reinsurer, Essent Reinsurance Ltd., which has a Class 3A insurance license issued by the Bermuda Monetary Authority.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illustrates our corporate structure, together with the jurisdiction of incorporation of our subsidiaries, each of which is wholly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163195</wp:posOffset>
            </wp:positionV>
            <wp:extent cx="5866130" cy="3627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613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Members of the public may read and copy materials that we file with the SEC at the SEC's Public Reference Room at 100 F Street, N.E., Washington, D.C. 20549. Members of the public may also obtain information on the Public Reference Room by calling the SEC at 1-800-732-0330. The SEC also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94"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Since 2008, the Federal government has assumed an expanded role in many key aspects of the U.S. housing finance system. In particular, 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five years.</w:t>
      </w:r>
    </w:p>
    <w:p>
      <w:pPr>
        <w:spacing w:after="0" w:line="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Since 2011, a number of comprehensive GSE/secondary market legislative reform bills have also been introduced or announced, differing widely with regard to the future role of the GSEs, the overall structure of the secondary market and the role of the Federal government within the mortgage market. As a result of the uncertainty regarding resolution of the conservatorship of the GSEs and the proper structure of any new secondary mortgage market, as well as the Federal government's recently increased role within the housing market,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6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3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level of coverage when private mortgage insurance is used to satisfy the GSEs' charter requirements on low down payment mortgages;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overall level of guaranty fees or the amount of loan level delivery fees that the GSEs assess on loans that require mortgage insurance;</w:t>
      </w:r>
    </w:p>
    <w:p>
      <w:pPr>
        <w:spacing w:after="0" w:line="26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on which mortgage insurance coverage can be canceled before reaching the cancellation thresholds established by law;</w:t>
      </w:r>
    </w:p>
    <w:p>
      <w:pPr>
        <w:spacing w:after="0" w:line="261"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extent to which the GSEs establish requirements for mortgage insurers' rescission practices or rescission settlement practices with lenders;</w:t>
      </w:r>
    </w:p>
    <w:p>
      <w:pPr>
        <w:spacing w:after="0" w:line="275" w:lineRule="exact"/>
        <w:rPr>
          <w:rFonts w:ascii="Arial" w:cs="Arial" w:eastAsia="Arial" w:hAnsi="Arial"/>
          <w:sz w:val="16"/>
          <w:szCs w:val="16"/>
          <w:color w:val="auto"/>
        </w:rPr>
      </w:pPr>
    </w:p>
    <w:p>
      <w:pPr>
        <w:ind w:left="1080" w:right="4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52"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and the terms that the GSEs require to be included in mortgage insurance master policies for loans that they purchase or guaranty.</w:t>
      </w:r>
    </w:p>
    <w:p>
      <w:pPr>
        <w:spacing w:after="0" w:line="194" w:lineRule="exact"/>
        <w:rPr>
          <w:sz w:val="20"/>
          <w:szCs w:val="20"/>
          <w:color w:val="auto"/>
        </w:rPr>
      </w:pPr>
    </w:p>
    <w:p>
      <w:pPr>
        <w:ind w:right="600" w:firstLine="348"/>
        <w:spacing w:after="0" w:line="370" w:lineRule="auto"/>
        <w:rPr>
          <w:sz w:val="20"/>
          <w:szCs w:val="20"/>
          <w:color w:val="auto"/>
        </w:rPr>
      </w:pPr>
      <w:r>
        <w:rPr>
          <w:rFonts w:ascii="Arial" w:cs="Arial" w:eastAsia="Arial" w:hAnsi="Arial"/>
          <w:sz w:val="15"/>
          <w:szCs w:val="15"/>
          <w:color w:val="auto"/>
        </w:rPr>
        <w:t>The GSEs have proposed minimum standards for mortgage insurer master policies, including standards relating to limitations of a mortgage insurer's rescission rights. Mortgage insurance master policies implementing the new minimum standards are expected to become effective no earlier than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July 1, 2014. These standards require us to make changes to our master policy, some of which will not be favorable to us and which could result in us paying more claims than required under our current master policy or could otherwise increase our operating costs. The imposition of standardized master policies may also make it more difficult for us to distinguish ourselves from our competitors on the basis of coverage terms.</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each of the GSEs maintains eligibility requirements for mortgage insurers. See "Business—Regulation—Direct U.S. Regulation—GSE Qualified Mortgage Insurer Requirements." The GSEs are currently developing revisions to their respective eligibility standards for approved mortgage insurers. Although the GSEs have not publicly commented on the substance of such new eligibility requirements for mortgage insurers, we expect those rules to include a new capital adequacy framework with minimum capital requirements. Any changes in these eligibility requirements may negatively impact our ability to write mortgage insurance at our current levels, generate the returns we anticipate from our business or otherwise participate in the private mortgage insurance market at all. Such changes may also make us less competitive with our competitors and with providers of alternatives to mortgage insurance if we must increase our premiums in order to maintain our target returns.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52" w:lineRule="exact"/>
        <w:rPr>
          <w:rFonts w:ascii="Arial" w:cs="Arial" w:eastAsia="Arial" w:hAnsi="Arial"/>
          <w:sz w:val="18"/>
          <w:szCs w:val="18"/>
          <w:color w:val="auto"/>
        </w:rPr>
      </w:pPr>
    </w:p>
    <w:p>
      <w:pPr>
        <w:ind w:left="340" w:right="740" w:firstLine="208"/>
        <w:spacing w:after="0" w:line="501" w:lineRule="auto"/>
        <w:tabs>
          <w:tab w:leader="none" w:pos="10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6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Any of these alternatives to private mortgage insurance could reduce or eliminate the demand for our product, cause us to lose business or limit our ability to attract the business that we would prefer to insure. In particular, there has been substantial competition from government-sponsored mortgage insurance programs in the wake of the recent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may be viewed by investors as more desirable than Fannie Mae and Freddie Mac securities due to the explicit backing of Ginnie Mae securities by the full faith and credit of the U.S. Federal government.</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differences in the enforcement of program requirements by the FHA relative to the enforcement of policy terms by private entities; and</w:t>
      </w:r>
    </w:p>
    <w:p>
      <w:pPr>
        <w:spacing w:after="0" w:line="261"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implementation of new regulations under the Dodd-Frank Act (particularly the Qualified Mortgage and Qualified Residential Mortgage rules) and the Basel III Rules, which may be more favorable to the FHA than to private mortgage insurers (see "</w:t>
      </w:r>
      <w:r>
        <w:rPr>
          <w:rFonts w:ascii="Arial" w:cs="Arial" w:eastAsia="Arial" w:hAnsi="Arial"/>
          <w:sz w:val="16"/>
          <w:szCs w:val="16"/>
          <w:i w:val="1"/>
          <w:iCs w:val="1"/>
          <w:color w:val="auto"/>
        </w:rPr>
        <w:t>—Our business prospects and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could be adversely impacted if, and to the extent that, the Consumer Financial Protection Bureau's ("CFPB") final rule defining a qualified mortgage ("QM") reduces the size of the origination market or creates incentives to use government mortgage insurance programs</w:t>
      </w:r>
      <w:r>
        <w:rPr>
          <w:rFonts w:ascii="Arial" w:cs="Arial" w:eastAsia="Arial" w:hAnsi="Arial"/>
          <w:sz w:val="16"/>
          <w:szCs w:val="16"/>
          <w:color w:val="auto"/>
        </w:rPr>
        <w:t>", "—</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 "—</w:t>
      </w:r>
      <w:r>
        <w:rPr>
          <w:rFonts w:ascii="Arial" w:cs="Arial" w:eastAsia="Arial" w:hAnsi="Arial"/>
          <w:sz w:val="16"/>
          <w:szCs w:val="16"/>
          <w:i w:val="1"/>
          <w:iCs w:val="1"/>
          <w:color w:val="auto"/>
        </w:rPr>
        <w:t>The implementation of the Basel III Capital Accord, or other changes to our customers' capital requirements, may discourage the use of mortgage insurance</w:t>
      </w:r>
      <w:r>
        <w:rPr>
          <w:rFonts w:ascii="Arial" w:cs="Arial" w:eastAsia="Arial" w:hAnsi="Arial"/>
          <w:sz w:val="16"/>
          <w:szCs w:val="16"/>
          <w:color w:val="auto"/>
        </w:rPr>
        <w:t>").</w:t>
      </w:r>
    </w:p>
    <w:p>
      <w:pPr>
        <w:spacing w:after="0" w:line="172"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implementation of the Basel III Capital Accord, or other changes to our customers' capital requirements, may discourage the use of mortgage insurance.</w:t>
      </w:r>
    </w:p>
    <w:p>
      <w:pPr>
        <w:spacing w:after="0" w:line="260"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74"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 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54"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Our mortgage insurance business depends on our relationships with our customers, and in particular, our relationships with our largest lending customers. Our top ten customers generated 49.6% of our new insurance written, or NIW, during year ended December 31, 2013, compared to 60.4% and 84.9% for the years ended December 31, 2012 and 2011, respectively. For the year ended December 31, 2013, one customer represented in excess of 10% of our consolidated revenues. Maintaining our business relationships and business volumes with our largest lending customers remains critical to the success of our business.</w:t>
      </w:r>
    </w:p>
    <w:p>
      <w:pPr>
        <w:spacing w:after="0" w:line="152"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the economic downturn and challenging market conditions of the recent past adversely affected the financial condition of a number of our largest customers. If the U.S. economy enters into another recessionary period, these customers could again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private mortgage insurance industry is intensely competitive, with seven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our financial strength has been a reason that some customers have done business with us. However, this competitive advantage may be mitigated if our competitors continue to improve their capital positions, profitability and financial strength ratings, or if we incur losses which weaken our financial position. Our customers may choose to diversify the mortgage insurers with which they do business due to weakness in our relative financial strength or other reasons, which could negatively affect our level of NIW and our market share.</w:t>
      </w:r>
    </w:p>
    <w:p>
      <w:pPr>
        <w:spacing w:after="0" w:line="19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ability to write new business depends, among other things, on the origination volume of low down payment mortgages that require mortgage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Factors that affect the volume of low down payment mortgage originations include:</w:t>
      </w:r>
    </w:p>
    <w:p>
      <w:pPr>
        <w:spacing w:after="0" w:line="23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level of home mortgage interest rates and the deductibility of mortgage interest and mortgage insurance for income tax purposes;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government housing policies encouraging loans to borrowers that may need low down payment financing, such as first-time homebuyers;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risk-retention requirements for securitized mortgage loans affecting lenders as discussed below.</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Dodd-Frank, however, provides a statutory presumption of eligibility of loans that satisfy the QM definition. The CFPB has issued a final rule defining what constitutes a QM, which we refer to as the "QM Rule," that took effect on January 10, 2014. Under the rule, a loan is deemed to be a QM if, among other factors:</w:t>
      </w:r>
    </w:p>
    <w:p>
      <w:pPr>
        <w:spacing w:after="0" w:line="18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Dodd-Frank Act separately granted statutory authority to HUD (for FHA-insured loans), the VA (for VA-guaranteed loans) and certain other government agency insurance programs to develop their own definitions of a qualified mortgage in consultation with CFPB. On September 30, 2013, HUD proposed a separate definition of a qualified mortgage for loans insured by the FHA and adopted a final rule on December 11, 2013. Under the FHA's QM standard, certain loans which would not qualify as QM loans in the conventional market would still be deemed to be QM loans if insured or guaranteed by FHA or HUD. As a result, lenders may favor the use of FHA insurance to achieve the legal protections of a making a QM loan through the FHA, even if the same loan could be made at the same or lower cost to the borrower using private mortgage insurance, which could adversely impact our business. To the extent that the other government agencies adopt their own definitions of a qualified mortgage which are more favorable to lenders and mortgage holders than those applicable to the market in which we operate, our business may be adversely affected.</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 However, it is difficult to predict with any certainty how lenders' origination practices will change as a result of the QM rule and whether any such changes would have a negative impact on the mortgage insurance industry. Our business prospects and operating results could be adversely impacted if the QM regulations reduce the size of the origination market, reduce the willingness of lenders to extend low-down payment credit, favor alternatives to private mortgage insurance such as government mortgage insurance programs or change the mix of our business in ways that may be unfavorable to us.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Qualified Residential Mortgage ("QRM").</w:t>
      </w:r>
    </w:p>
    <w:p>
      <w:pPr>
        <w:spacing w:after="0" w:line="186" w:lineRule="exact"/>
        <w:rPr>
          <w:sz w:val="20"/>
          <w:szCs w:val="20"/>
          <w:color w:val="auto"/>
        </w:rPr>
      </w:pPr>
    </w:p>
    <w:p>
      <w:pPr>
        <w:ind w:right="20" w:firstLine="348"/>
        <w:spacing w:after="0" w:line="307" w:lineRule="auto"/>
        <w:rPr>
          <w:sz w:val="20"/>
          <w:szCs w:val="20"/>
          <w:color w:val="auto"/>
        </w:rPr>
      </w:pPr>
      <w:r>
        <w:rPr>
          <w:rFonts w:ascii="Arial" w:cs="Arial" w:eastAsia="Arial" w:hAnsi="Arial"/>
          <w:sz w:val="15"/>
          <w:szCs w:val="15"/>
          <w:color w:val="auto"/>
        </w:rPr>
        <w:t>The Dodd-Frank Act requires an originator or issuer to retain a specified percentage of the credit risk exposure on securitized mortgages that do not meet the definition of QRM. In March 2011, Federal regulators issued a set of proposed rules that outlined the risk retention requirements and defined the conditions necessary to satisfy the QRM definition. In response to public comments to such proposed rule, Federal regulators issued a revised proposed risk retention rule, including QRM definitions, on August 28, 2013. The new proposed rule generally defines QRM as a mortgage meeting the requirements of a QM (see "</w:t>
      </w:r>
      <w:r>
        <w:rPr>
          <w:rFonts w:ascii="Arial" w:cs="Arial" w:eastAsia="Arial" w:hAnsi="Arial"/>
          <w:sz w:val="15"/>
          <w:szCs w:val="15"/>
          <w:i w:val="1"/>
          <w:iCs w:val="1"/>
          <w:color w:val="auto"/>
        </w:rPr>
        <w:t>—Our</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r>
        <w:rPr>
          <w:rFonts w:ascii="Arial" w:cs="Arial" w:eastAsia="Arial" w:hAnsi="Arial"/>
          <w:sz w:val="15"/>
          <w:szCs w:val="15"/>
          <w:color w:val="auto"/>
        </w:rPr>
        <w:t>"). The</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regulators also proposed an alternative QRM definition, "QM-plus," which utilizes certain QM criteria but also incorporates a maximum LTV standard of 70% and certain other restrictions selected to reduce the risk of default. Neither of the revised proposed definitions of QRM incorporate the use of private mortgage insurance. Because of the capital support provided by the U.S. Government to the GSEs, the GSEs satisfy the proposed risk retention requirements of the Dodd-Frank Act while they are in conservatorship and sellers of loans to the GSEs are not otherwise subject to risk retention requirements. The public comments for the new proposed rule were due by October 30, 2013. The final timing of the adoption of any risk retention regulation and the definition of QRM remains uncertain.</w:t>
      </w:r>
    </w:p>
    <w:p>
      <w:pPr>
        <w:spacing w:after="0" w:line="16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the final QRM rule does not give consideration to mortgage insurance in computing LTV and a large down payment is necessary for a loan to qualify as a QRM, the attractiveness of originating and securitizing loans with lower down payments may be reduced, which may adversely affect the future demand for mortgage insurance. In addition, changes in the final regulations regarding treatment of GSE-guaranteed mortgage loans, or changes in the conservatorship or capital support provided to the GSEs by the U.S. Government, could impact the manner in which the risk-retention rules apply to GSE securitizations, originators who sell loans to GSEs and our business. The impact of these rules on the use of private mortgage insurance depends on, among other things, (i) the final definition of QRM, (ii) under the proposed definition, the extent to which the presence of private mortgage insurance may adversely affect the ability of a loan to qualify as a QM and therefore as a QRM, (iii) under the QM-plus definition or any other final definition with an LTV requirement, the level of the final LTV</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requirement and the extent to which credit would be given for the use of mortgage insurance, if any, in satisfying the LTV requirement, (iv) if, in the future, sellers of loans to the GSEs become subject to risk-retention requirements, and (v) the degree to which originators or issuers subject to risk retention requirements would see it as beneficial to utilize mortgage insurance on non-QRM loans to mitigate their retained credit exposure.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believe, based upon our experience and industry data, that claims incidence for mortgage insurance is generally highest in the third through sixth years after loan origination. Although the claims experience on new insurance written by us in the years ended December 31, 2010, 2011, 2012 and 2013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 to 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7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86"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accordance with industry practice and statutory accounting rules applicable to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20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39"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The residential mortgage market in the United States has for some time experienced a variety of worsening economic conditions and housing values that have recently begun to stabilize but may not continue to do so.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floods and tornadoes,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 party reinsurance structures, will be successful.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investment portfolio consists primarily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8"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6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predominately of investment 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86.1% at December 31, 2013, compared to 94% at December 31, 2011. The factors affecting the persistency of our insurance portfolio include:</w:t>
      </w:r>
    </w:p>
    <w:p>
      <w:pPr>
        <w:spacing w:after="0" w:line="211" w:lineRule="exact"/>
        <w:rPr>
          <w:sz w:val="20"/>
          <w:szCs w:val="20"/>
          <w:color w:val="auto"/>
        </w:rPr>
      </w:pPr>
    </w:p>
    <w:p>
      <w:pPr>
        <w:ind w:left="1080" w:right="5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Mortgage interest rates reached historic lows in the first half of 2013 and have since risen largely in response to current and expected future changes in monetary policy by the Federal Reserve. Some portion of our insured portfolio may still be able to refinance at the current level of mortgage rates, which may reduce our future revenues. If interest rates continue to rise, persistency is likely to increase, which may extend the average life of our insured portfolio and result in higher levels of future claims as more loans remain outstanding.</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 Accordingly, we have assumed some credit risk in connection with providing these services. We also face regulatory and litigation risk in providing these services.</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86"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 (i) 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if the GSEs renew their historical focus on financial strength or other third 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 practices of the GSEs,</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actions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decisions to decrease or discontinue the use of mortgage insurance or changes in the GSEs' eligibility requirements for mortgage insurers, could reduce our revenues or adversely affect our profitability and returns" and "</w:t>
      </w:r>
      <w:r>
        <w:rPr>
          <w:rFonts w:ascii="Arial" w:cs="Arial" w:eastAsia="Arial" w:hAnsi="Arial"/>
          <w:sz w:val="18"/>
          <w:szCs w:val="18"/>
          <w:color w:val="auto"/>
        </w:rPr>
        <w:t>Business—Regulation—Direct U.S. Regulation—GSE Qualified Mortgage Insurer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in particular our chief executive officer, executive vice president, chief risk officer, chief financial officer and chief legal officer. We have employment agreements with our senior management team. We have not yet experienced the departure of any key personnel; however, such departures in the future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86"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negative unassigned surplus of $104 million as of December 31, 2013, and as a result we would not have been permitted to pay ordinary dividends from Essent Guaranty, Inc. as of that date. In addition, Essent Guaranty of PA, Inc. had unassigned surplus of less than $1 million as of December 31, 2013, and as a result we would have limited ability to pay ordinary dividends from Essent Guaranty of PA, Inc. as of that date. As a result of these dividend limitations, we likely will not receive dividend income from our subsidiaries for several years and, consequently, Essent Group Ltd. may have limited liquidity and may be required to raise additional capital.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require incremental capital to support our growth and comply with regulatory requirements. Historically, we have relied upon capital commitments from our existing investors to meet capital requirements and to fund our operations. To the extent we require capital in the future, we may need to obtain financing from the capital markets or other third party sources of financing. Potential investors or lenders may be unable to provide us with financing that is attractive to us. Our access to such financing will depend, in part, on:</w:t>
      </w:r>
    </w:p>
    <w:p>
      <w:pPr>
        <w:spacing w:after="0" w:line="21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reasonable, not absolute, assurance that the disclosure controls and procedures are met. Any ineffectiveness in our controls or procedures could have a material adverse effect on our business.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We received such an inquiry from the CFPB in January 2012; however, we do not currently have nor have we ever had any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will end the challenged practices, pay monetary penalties, and be subject to monitoring by the CFPB and required to make reports to the CFPB in order to ensure their compliance with the provisions of the orders. Although we did not participate in the practices that were the subject of the CFPB investigation, the private mortgage insurance industry and our insurance subsidiaries are, and likely will continue to be, subject to substantial Federal and state regulation, which has increased in recent years as a result of the deterioration of the housing and mortgage markets in the United States. Increased Federal or state regulatory scrutiny could lead to new legal precedents, new regulations or new practices, or regulatory actions or investigations, which could adversely affect our financial condition and operating results.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86"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claims practices, advertising, policy forms, and capital adequacy. These agencies are concerned primarily with the protection of policyholders rather than shareholders. Moreover, insurance laws and regulations, among other things:</w:t>
      </w:r>
    </w:p>
    <w:p>
      <w:pPr>
        <w:spacing w:after="0" w:line="18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NAIC examines existing state insurance laws and regulations in the United States. 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In mid-2013, the MGIWG published a "concept list" of twelve potential regulatory changes and thereafter drafted amendments to the NAIC Mortgage Guaranty Insurers Model Act , which were exposed for comment on November 25, 2013 through February 15, 2014.</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the NAIC were to adopt a revised Mortgage Guaranty Insurance Model Act,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Bermuda insurance and reinsurance subsidiary, Essent Reinsurance Ltd., conducts its business from its offices in Bermuda and is not licensed or admitted to do business in any jurisdiction except Bermuda. We do not believe that Essent Reinsurance Ltd. is subject to the insurance laws of any state in the United States.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w:t>
      </w:r>
    </w:p>
    <w:p>
      <w:pPr>
        <w:spacing w:after="0" w:line="167"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1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reinsurance subsidiary, Essent Reinsurance Ltd., is a registered Bermuda Class 3A Insurer pursuant to Section 4 of the Insurance Act 1978. As such, it is subject to regulation and supervision in Bermuda. Bermuda insurance statutes and the regulations, and policies of the BMA, require Essent Reinsurance Ltd. to, among other things:</w:t>
      </w:r>
    </w:p>
    <w:p>
      <w:pPr>
        <w:spacing w:after="0" w:line="20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These statutes and regulations may restrict Essent Reinsurance Ltd.'s ability to write insurance and reinsurance policies, distribute funds and pursue its investment strategy. We do not presently intend for Essent Reinsurance Ltd. to be admitted to do business in the United States, the U.K. or any jurisdiction other than Bermuda. However, we cannot assure you that insurance regulators in the United States, the U.K. or elsewhere will not review the activities of Essent Reinsurance Ltd. or its subsidiaries or agents and assert that Essent Reinsurance Ltd. is subject to such jurisdiction's licensing requirements.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Generally, Bermuda insurance statutes and regulations applicable to Essent Reinsurance Ltd. are less restrictive than those that would be applicable if they were governed by the laws of any state in the United States.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97"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Because Essent Reinsurance Ltd. is a Bermuda company, it is subject to changes in Bermuda law and regulation that may have an adverse impact on our operations, including through the imposition of tax liability or increased regulatory supervision. In addition, Essent Reinsurance Ltd. will be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take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banking regulations that may limit our business activities.</w:t>
      </w:r>
    </w:p>
    <w:p>
      <w:pPr>
        <w:spacing w:after="0" w:line="225"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The Goldman Sachs Group, Inc., which holds interests in us directly or through its affiliates, including Global Atlantic Financial Group, is a bank holding company and regulated as a financial holding company under the Bank Holding Company Act of 1956, as amended, or the BHC Act. The BHC Act imposes regulations and requirements on The Goldman Sachs Group and on any company that is deemed to be controlled by The Goldman Sachs Group, Inc. under the BHC Act and the regulations of the Board of Governors of the Federal Reserve System, or the Federal Reserve. Due to the size of its voting and economic interests in us, we are deemed to be controlled by The Goldman Sachs Group, Inc., and are therefore considered to be a non-bank subsidiary of The Goldman Sachs Group, Inc. under the BHC Act and so we are subject to the supervision and regulation of the Federal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Reserve and to certain banking laws, regulations and orders that apply to The Goldman Sachs Group, Inc. We will remain subject to this regulatory regime until The Goldman Sachs Group, Inc. is no longer deemed to control us for purposes of the BHC Act, which we do not generally have the ability to control and which will not occur until The Goldman Sachs Group, Inc. has significantly reduced its voting and economic interests in us.</w:t>
      </w:r>
    </w:p>
    <w:p>
      <w:pPr>
        <w:spacing w:after="0" w:line="16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controlled non-bank subsidiary of The Goldman Sachs Group, Inc., we are restricted from engaging in activities that are not permissible under the BHC Act, or the rules and regulations promulgated thereunder. Permitted activities for a financial holding company or any controlled non-bank subsidiary generally include activities that the Federal Reserve has previously determined to be closely related to banking, financial in nature, or incidental or complementary to financial activities, including insurance underwriting and selling insurance as agent or broker such as our activity of offering private mortgage insurance and reinsurance coverage for single-family mortgage loans. Further, as a result of being subject to regulation and supervision by the Federal Reserve, we may be required to obtain the prior approval of the Federal Reserve before engaging in certain new activities or businesses, whether organically or by acquisition. The Federal Reserve could exercise its power to restrict us from engaging in any activity that, in the Federal Reserve's opinion, is unauthorized or constitutes an unsafe or unsound business practice. To the extent that these regulations impose limitations on our business, we could be at a competitive disadvantage because some of our competitors are not subject to these limitations.</w:t>
      </w:r>
    </w:p>
    <w:p>
      <w:pPr>
        <w:spacing w:after="0" w:line="17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subsidiary of a bank holding company, we are subject to examination by the Federal Reserve and required to provide information and reports for use by the Federal Reserve under the BHC Act. In addition, we are subject to the examination authority of, and may be required to submit reports to, the CFPB because we are an affiliate of Goldman Sachs Bank USA, which is an insured depository institution with more than $10 billion in assets. Further, the Dodd-Frank Act and related financial regulatory reform calls for the issuance of numerous regulations designed to increase and strengthen the regulation of bank holding companies, including The Goldman Sachs Group, Inc. and its affiliates. We cannot predict the impact of regulatory changes on our business with certainty.</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Because of The Goldman Sachs Group, Inc.'s status as a bank holding company, we have agreed to certain restrictions on our activities imposed by The Goldman Sachs Group, Inc. that are intended to facilitate compliance with the BHC Act and that may impose certain obligations on the Company. Furthermore, additional restrictions placed on The Goldman Sachs Group as a result of supervisory or enforcement actions may restrict us or our activities in certain circumstances, even if these actions are unrelated to our conduct or business.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further discussion of the applicability of banking regulation to our business and the risks presented by such regulation, see "Business—Regulation— Banking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reinsurance contract between related parties to reflect the proper "amount, source or character" for each item (in contrast to prior law, which only covered "source and character"). If, in future periods, we were to generate income from our Bermuda operations, then any U.S. Federal income and branch profits taxes levied upon earnings from such operations could materially adversely affect our shareholders' equity and earnings.</w:t>
      </w:r>
    </w:p>
    <w:p>
      <w:pPr>
        <w:spacing w:after="0" w:line="161"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 recently reintroduced legislative proposal would treat certain foreign corporations as U.S. corporations if such corporation is primarily managed and controlled within the United States. There can be no assurance that the proposal would not apply to Essent Group Ltd.</w:t>
      </w:r>
    </w:p>
    <w:p>
      <w:pPr>
        <w:spacing w:after="0" w:line="13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Congress has been considering legislation intended to eliminate certain perceived tax advantages of Bermuda and other non-U.S. insurance companies and U.S. insurance companies having Bermuda and other non-U.S. affiliates, including perceived tax benefits resulting principally from reinsurance between or among U.S. insurance companies and their Bermuda affiliates.</w:t>
      </w:r>
    </w:p>
    <w:p>
      <w:pPr>
        <w:spacing w:after="0" w:line="194"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 legislative proposal in the House of Representatives as well as a prior Senate Finance Committee staff discussion draft and other prior proposals would limit deductions for premiums ceded to affiliated non-U.S. reinsurers above certain levels. The Administration's Fiscal Year 2014 Revenue Proposals contain a similar but more restrictive provision that would deny deductions for all premiums ceded to affiliated non-U.S. reinsurers, offset by an exclusion for any ceding commissions received or reinsurance recovered from such affiliates. Enactment of such legislation or proposal as well as other changes in U.S. tax laws, regulations and interpretations thereof to address these issues could adversely affect us to the extent we generate income from our Bermuda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Insurance Excise Tax may apply on a cascading basis.</w:t>
      </w:r>
    </w:p>
    <w:p>
      <w:pPr>
        <w:spacing w:after="0" w:line="225" w:lineRule="exact"/>
        <w:rPr>
          <w:sz w:val="20"/>
          <w:szCs w:val="20"/>
          <w:color w:val="auto"/>
        </w:rPr>
      </w:pPr>
    </w:p>
    <w:p>
      <w:pPr>
        <w:ind w:right="400" w:firstLine="348"/>
        <w:spacing w:after="0" w:line="305" w:lineRule="auto"/>
        <w:rPr>
          <w:sz w:val="20"/>
          <w:szCs w:val="20"/>
          <w:color w:val="auto"/>
        </w:rPr>
      </w:pPr>
      <w:r>
        <w:rPr>
          <w:rFonts w:ascii="Arial" w:cs="Arial" w:eastAsia="Arial" w:hAnsi="Arial"/>
          <w:sz w:val="15"/>
          <w:szCs w:val="15"/>
          <w:color w:val="auto"/>
        </w:rPr>
        <w:t>The IRS, in Revenue Ruling 2008-15, formally announced its position that the Federal Insurance Excise Tax (the "FET") is applicable (at a 1% rate on premiums) to all reinsurance cessions or retrocessions of risks by non-U.S. insurers or reinsurers to non-U.S. reinsurers where the underlying risks are either</w:t>
      </w:r>
    </w:p>
    <w:p>
      <w:pPr>
        <w:ind w:firstLine="8"/>
        <w:spacing w:after="0" w:line="252"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of a U.S. entity or individual located wholly or partly within the United States, or (ii) risks of a non-U.S. entity or individual engaged in a trade or business in the United States which are located within the United States ("U.S. Situs Risks"), even if the FET has been paid on prior cessions of the same risks. The legal and jurisdictional basis for the IRS' position is unclear, and the District Court for the District of Columbia recently held that the FET does not apply to retrocessions. Although certain U.S. income tax treaties provide for an exemption from the FET, including the "cascading" FET, the U.S. income tax treaty with Bermuda does not provide for such an exemption. We expect that, pursuant to Revenue Ruling 2008-15, the FET potentially could apply to (i) risks ceded to Essent Reinsurance Ltd. from a non-U.S. insurance company, or (ii) risks ceded by Essent Reinsurance Ltd. to a non-U.S. insurance company that does not have a FET treaty exemption.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24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you are a "10% U.S. Shareholder" of a non-U.S. corporation deemed to be a "U.S. Person" (as defined below) who owns (directly, indirectly through non-U.S. entities or "constructively" (as defined below)) at least 10% of the total combined voting power of all classes of stock entitled to vote) and such non-U.S. corporation is a CFC for an uninterrupted period of 30 days or more during a taxable year and you own shares in the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"Subpart F income" of a non-U.S. insurance corporation typically includes "foreign personal holding company income" (such as interest, dividends and other types of passive income), as well as insurance and reinsurance income (including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underwriting and investment income). A non-U.S. corporation is considered a CFC if "10% U.S. Shareholders" own (directly, indirectly through non-U.S. entities or by attribution by application of the constructive ownership rules of section 958(b) of the Code, (i.e., "constructively")) more than 50% of the total combined voting power of all classes of voting stock of that non-U.S. corporation, or the total value of all stock of that non-U.S. corporation. For purposes of taking into account insurance income, a CFC also includes a non-U.S. corporation earning insurance income in which more than 25% of the total combined voting power of all classes of stock (or more than 25% of the total value of the stock) is owned by 10% U.S. Shareholders on any day during the taxable year of such corporation, if the gross amount of premiums or other consideration for the reinsurance or the issuing of insurance or annuity contracts (other than certain insurance or reinsurance related to some country risks written by certain insurance companies, not applicable here) exceeds 75% of the gross amount of all premiums or other consideration in respect of all risks.</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9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 xml:space="preserve">We believe that because of the anticipated dispersion of our share ownership, provisions in our organizational documents that limit voting power and other factors, no U.S. Person who owns our common shares directly or indirectly through one or more non-U.S. entities should be treated as owning (directly, indirectly through non-U.S. entities, or constructively) 10% or more of the total voting power of all classes of shares of the Company or Essent Reinsurance Ltd. See "— </w:t>
      </w:r>
      <w:r>
        <w:rPr>
          <w:rFonts w:ascii="Arial" w:cs="Arial" w:eastAsia="Arial" w:hAnsi="Arial"/>
          <w:sz w:val="18"/>
          <w:szCs w:val="18"/>
          <w:i w:val="1"/>
          <w:iCs w:val="1"/>
          <w:color w:val="auto"/>
        </w:rPr>
        <w:t>Provisions in our bye-laws may reduce or increase the voting rights of our shares.</w:t>
      </w:r>
      <w:r>
        <w:rPr>
          <w:rFonts w:ascii="Arial" w:cs="Arial" w:eastAsia="Arial" w:hAnsi="Arial"/>
          <w:sz w:val="18"/>
          <w:szCs w:val="18"/>
          <w:color w:val="auto"/>
        </w:rPr>
        <w:t>" It is possible, however, that the IRS could successfully challenge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these provisions.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dispose of our shares may be subject to U.S. Federal income taxation at the rates applicable to dividends on a portion of such disposition.</w:t>
      </w:r>
    </w:p>
    <w:p>
      <w:pPr>
        <w:spacing w:after="0" w:line="26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and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we are considered a PFIC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we were considered a PFIC, upon the death of any U.S. individual owning shares, such individual's heirs or estate would not be entitled to a "step-up" in the basis of the shares that might otherwise be available under U.S. Federal income tax laws. We believe that we are not, have not been, and currently do not expect to become, a PFIC for U.S. Federal income tax purposes. We cannot assure you, however, that we will not be deemed a PFIC by the IRS. If we were considered a PFIC, it could have material adverse tax consequences for an investor that is subject to U.S. Federal income taxation. There are currently no regulations regarding the application of the PFIC provisions to an insurance company. New regulations or pronouncements interpreting or clarifying these rules may be forthcoming. We cannot predict what impact, if any, such guidance would have on an investor that is subject to U.S. Federal income taxation.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U.S. tax-exempt organization may recognize unrelated business taxable income if a portion of the insurance income of any of our non-U.S. insurance subsidiaries is allocated to the organization, which generally would be the case if any of our non-U.S. insurance subsidiaries is a CFC and the tax-exempt shareholder is a 10% U.S. Shareholder or there is RPII,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U.S. Persons holding our common shares should consider their possible obligation to file an FINCEN Form TD 114—Report of Foreign Bank and Financial Accounts Report—with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the common shares are approved for listing on a national securities exchange.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Sales of substantial amounts of our common shares in the public market, or the perception that these sales could occur, could cause the market price of our common shares to decline. As of March 3, 2014, we had 86,493,803 outstanding common shares. We, our executive officers, directors and all of our shareholders immediately prior to consummation of our initial public offering completed on November 5, 2013 agreed to a "lock-up," meaning that, subject to certain exceptions, neither we nor they will sell any shares without the prior consent of Goldman, Sachs &amp; Co., J.P. Morgan Securities LLC and Barclays Capital Inc. until April 28, 2014. On and after the expiration of the lockup agreements on April 28, 2014, approximately 61 million additional common shares will be eligible for future sale, subject to the applicable volume, manner of sale, holding period and other limitations of Rule 144 and subject to any restrictions on unvested shares issued under our share incentive plans. In addition, certain of our significant shareholders may distribute shares that they hold to their investors who themselves may then sell into the public market following the expiration of the lock-up period. Such sales may not be subject to the volume, manner of sale, holding period and other limitations of Rule 144. As resale restrictions end, the market price of our common shares could decline if the holders of those shares sell them or are perceived by the market as intending to sell them. In addition, holders of approximately 61 million shares have registration rights, subject to some conditions, to require us to file registration statements covering the sale of their shares or to include their shares in registration statements that we may file for ourselves or other shareholders in the future, although we will be restricted from filing such registration statements during the lock-up period. Once we register the shares for the holders of registration rights, they can be freely sold in the public market upon issuance.</w:t>
      </w:r>
    </w:p>
    <w:p>
      <w:pPr>
        <w:spacing w:after="0" w:line="17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disclosure requirements applicable to emerging growth companies could make our common shares less attractive to investors.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including, but not limited to, reduced disclosure obligations regarding executive compensation in our periodic reports and proxy statements and exemptions from the requirements of holding a nonbinding advisory vote on executive compensation, shareholder approval of any golden parachute payments not previously approved and 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exemption from the auditor attestation requirement in the assessment of our internal controls over financial reporting pursuant to the Sarbanes-Oxley Act of 2002.</w:t>
      </w:r>
    </w:p>
    <w:p>
      <w:pPr>
        <w:spacing w:after="0" w:line="260" w:lineRule="exact"/>
        <w:rPr>
          <w:sz w:val="20"/>
          <w:szCs w:val="20"/>
          <w:color w:val="auto"/>
        </w:rPr>
      </w:pPr>
    </w:p>
    <w:p>
      <w:pPr>
        <w:ind w:right="120" w:firstLine="348"/>
        <w:spacing w:after="0" w:line="284" w:lineRule="auto"/>
        <w:rPr>
          <w:sz w:val="20"/>
          <w:szCs w:val="20"/>
          <w:color w:val="auto"/>
        </w:rPr>
      </w:pPr>
      <w:r>
        <w:rPr>
          <w:rFonts w:ascii="Arial" w:cs="Arial" w:eastAsia="Arial" w:hAnsi="Arial"/>
          <w:sz w:val="16"/>
          <w:szCs w:val="16"/>
          <w:color w:val="auto"/>
        </w:rPr>
        <w:t>We could remain an "emerging growth company" for up to five years, or until the earliest of (i) the last day of the first fiscal year in which our annual gross revenues exceed $1 billion, (ii) the date that we become a "large accelerated filer" as defined in Rule 12b-2 under the Securities Exchange Act of 1934, as amended (the "Exchange Act"), which would occur if, among other things, the market value of common equity securities held by non-affiliates exceeds</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$700 million as of the last business day of our most recently completed second fiscal quarter, or (iii) the date on which we have issued more than $1 billion in non-convertible debt during the preceding three-year period.</w:t>
      </w:r>
    </w:p>
    <w:p>
      <w:pPr>
        <w:spacing w:after="0" w:line="19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cannot predict whether investors will find our common shares less attractive if we choose to rely on one or more of these exemptions. If some investors find our common shares less attractive as a result of any decisions to reduce future disclosure, there may be a less active trading market for our common shares and our share price may be more volatile.</w:t>
      </w:r>
    </w:p>
    <w:p>
      <w:pPr>
        <w:spacing w:after="0" w:line="19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do not intend to declare and pay dividends on our share capital for the foreseeable future. We currently intend to retain all our future earnings, if any, to fund our growth. Therefore, you are not likely to receive any dividends on your common shares for the foreseeable future and the success of an investment in our common shares will depend upon any future appreciation in their value. There is no guarantee that our common shares will appreciate in value or even maintain the price at which our shareholders have purchased their shares. Furthermore, our subsidiaries are restricted by state insurance laws and regulations from declaring dividends to us. See "—</w:t>
      </w:r>
      <w:r>
        <w:rPr>
          <w:rFonts w:ascii="Arial" w:cs="Arial" w:eastAsia="Arial" w:hAnsi="Arial"/>
          <w:sz w:val="16"/>
          <w:szCs w:val="16"/>
          <w:i w:val="1"/>
          <w:iCs w:val="1"/>
          <w:color w:val="auto"/>
        </w:rPr>
        <w:t>Our holding company structure and certain regulatory and other constraints, including adverse business performance, could</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negatively affect our liquidity and potentially require us to raise more capital.</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are a Bermuda exempted company. As a result, the rights of holders of our common shares will be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persons who own our shares may have more difficulty in protecting their interests than U.S. persons who are shareholders of a U.S. corporation.</w:t>
      </w:r>
    </w:p>
    <w:p>
      <w:pPr>
        <w:spacing w:after="0" w:line="248"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Companies Act 1981 of Bermuda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Interested Directors: </w:t>
      </w:r>
      <w:r>
        <w:rPr>
          <w:rFonts w:ascii="Arial" w:cs="Arial" w:eastAsia="Arial" w:hAnsi="Arial"/>
          <w:sz w:val="16"/>
          <w:szCs w:val="16"/>
          <w:color w:val="auto"/>
        </w:rPr>
        <w:t>Bermuda law provides that if a director has an interest in a material contract or proposed material contract with us or any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74" w:lineRule="exact"/>
        <w:rPr>
          <w:sz w:val="20"/>
          <w:szCs w:val="20"/>
          <w:color w:val="auto"/>
        </w:rPr>
      </w:pPr>
    </w:p>
    <w:p>
      <w:pPr>
        <w:ind w:left="1080" w:right="1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86"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20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8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tax, legal or regulatory consequences to us, any of our subsidiaries or any direct or indirect shareholder or its affiliates. "Controlled shares" include, among other things, all shares that a U.S. Person is deemed to own directly, indirectly or constructively (within the meaning of section 958 of the Code).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18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7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do not own any real property. We lease office facilities totaling approximately 77,000 square feet, including 27,000 square feet for our U.S. operations headquarters in Radnor, Pennsylvania. We lease additional office space in Winston-Salem, North Carolina, Irvine, California and Bermuda. We believe our current facilities are adequate for our current needs and that suitable additional space will be available as and when needed.</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80"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Our Common Shares commenced trading on the New York Stock Exchange (NYSE) under the symbol "ESNT" on October 31, 2013. Before our initial public offering, there was no public market for our Common Shares. The following table sets forth, for the periods indicated, the high and low intra-day sales prices of our Common Shares as reported by the NYSE:</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2013</w:t>
            </w:r>
          </w:p>
        </w:tc>
        <w:tc>
          <w:tcPr>
            <w:tcW w:w="57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c>
          <w:tcPr>
            <w:tcW w:w="16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(since October 31,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24.10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19.95</w:t>
            </w:r>
          </w:p>
        </w:tc>
      </w:tr>
      <w:tr>
        <w:trPr>
          <w:trHeight w:val="430"/>
        </w:trPr>
        <w:tc>
          <w:tcPr>
            <w:tcW w:w="7800" w:type="dxa"/>
            <w:vAlign w:val="bottom"/>
            <w:gridSpan w:val="3"/>
          </w:tcPr>
          <w:p>
            <w:pPr>
              <w:spacing w:after="0"/>
              <w:rPr>
                <w:sz w:val="20"/>
                <w:szCs w:val="20"/>
                <w:color w:val="auto"/>
              </w:rPr>
            </w:pPr>
            <w:r>
              <w:rPr>
                <w:rFonts w:ascii="Arial" w:cs="Arial" w:eastAsia="Arial" w:hAnsi="Arial"/>
                <w:sz w:val="18"/>
                <w:szCs w:val="18"/>
                <w:color w:val="auto"/>
              </w:rPr>
              <w:t>As of March 3, 2014, we had approximately 45 holders of record of our Common Shares.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2013,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123190</wp:posOffset>
            </wp:positionV>
            <wp:extent cx="5514340" cy="2598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434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10/31/2013</w:t>
            </w:r>
          </w:p>
        </w:tc>
        <w:tc>
          <w:tcPr>
            <w:tcW w:w="2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11/29/2013</w:t>
            </w: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12/31/2013</w:t>
            </w:r>
          </w:p>
        </w:tc>
        <w:tc>
          <w:tcPr>
            <w:tcW w:w="16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102.80</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Peer Group</w:t>
            </w:r>
          </w:p>
        </w:tc>
        <w:tc>
          <w:tcPr>
            <w:tcW w:w="300" w:type="dxa"/>
            <w:vAlign w:val="bottom"/>
          </w:tcPr>
          <w:p>
            <w:pPr>
              <w:jc w:val="right"/>
              <w:ind w:right="11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99.60</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100.98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ESNT</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105.23</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114.57</w:t>
            </w:r>
          </w:p>
        </w:tc>
      </w:tr>
    </w:tbl>
    <w:p>
      <w:pPr>
        <w:spacing w:after="0" w:line="208"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 as amended, or the Exchange Act, except to the extent that we specifically incorporate it by reference into such filing.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have not declared or paid any dividends during the past two fiscal years, and we do not currently expect to declare or pay dividends on our Common Shares for the foreseeable future. Instead, we intend to retain earnings to finance the growth and development of our business and general corporate purposes. Any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 In addition, the ability of our insurance subsidiaries to pay dividends to Essent Group Ltd. is limited by state insurance laws. See "Management's Discussion and Analysis of Financial Condition and Results of Operations—Liquidity and Capital Resources" and "Risk Factors—Risks Relating to Our Business—</w:t>
      </w:r>
      <w:r>
        <w:rPr>
          <w:rFonts w:ascii="Arial" w:cs="Arial" w:eastAsia="Arial" w:hAnsi="Arial"/>
          <w:sz w:val="16"/>
          <w:szCs w:val="16"/>
          <w:i w:val="1"/>
          <w:iCs w:val="1"/>
          <w:color w:val="auto"/>
        </w:rPr>
        <w:t>Our holding company structure and certain regulatory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constraints, including adverse business performance, could negatively impact our liquidity and potentially require us to raise more capital.</w:t>
      </w:r>
      <w:r>
        <w:rPr>
          <w:rFonts w:ascii="Arial" w:cs="Arial" w:eastAsia="Arial" w:hAnsi="Arial"/>
          <w:sz w:val="16"/>
          <w:szCs w:val="16"/>
          <w:color w:val="auto"/>
        </w:rPr>
        <w:t>"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Bermuda Companies Act, we may only declare or pay a dividend if, among other matters, there are reasonable grounds for believing that we are, and would after the payment be, able to pay our respective liabilities as they become due and that the realizable value of our assets will, and after the payment would, exceed our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During the year ended December 31, 2013, we issued unregistered securities in the transactions detailed below. The information set forth below does not gives effect to the conversion of our Class A common shares and Class B-2 common shares into Common Shares and the 2-for-3 reverse stock split that was effected on November 5, 2013 upon the consummation of our initial public offering.</w:t>
      </w:r>
    </w:p>
    <w:p>
      <w:pPr>
        <w:spacing w:after="0" w:line="194" w:lineRule="exact"/>
        <w:rPr>
          <w:sz w:val="20"/>
          <w:szCs w:val="20"/>
          <w:color w:val="auto"/>
        </w:rPr>
      </w:pPr>
    </w:p>
    <w:p>
      <w:pPr>
        <w:ind w:right="160" w:firstLine="359"/>
        <w:spacing w:after="0" w:line="268" w:lineRule="auto"/>
        <w:tabs>
          <w:tab w:leader="none" w:pos="7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January 31, 2013 to May 31, 2013, we issued to our officers and employees an aggregate of 55,976 of our Class B-2 common shares pursuant to the Company's 2009 Restricted Share Plan, which such shares vest pursuant to the terms thereof.</w:t>
      </w:r>
    </w:p>
    <w:p>
      <w:pPr>
        <w:spacing w:after="0" w:line="185" w:lineRule="exact"/>
        <w:rPr>
          <w:rFonts w:ascii="Arial" w:cs="Arial" w:eastAsia="Arial" w:hAnsi="Arial"/>
          <w:sz w:val="18"/>
          <w:szCs w:val="18"/>
          <w:color w:val="auto"/>
        </w:rPr>
      </w:pPr>
    </w:p>
    <w:p>
      <w:pPr>
        <w:ind w:right="220" w:firstLine="359"/>
        <w:spacing w:after="0" w:line="259" w:lineRule="auto"/>
        <w:tabs>
          <w:tab w:leader="none" w:pos="7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March 6, 2013 through March 23, 2013, we issued to our officers and employees and a director of a subsidiary of the Company an aggregate of 273,081 of our Class A common shares pursuant to the Company's annual bonus program, which vest pursuant to the terms provided in an agreement between each holder and the Company.</w:t>
      </w:r>
    </w:p>
    <w:p>
      <w:pPr>
        <w:spacing w:after="0" w:line="194" w:lineRule="exact"/>
        <w:rPr>
          <w:rFonts w:ascii="Arial" w:cs="Arial" w:eastAsia="Arial" w:hAnsi="Arial"/>
          <w:sz w:val="18"/>
          <w:szCs w:val="18"/>
          <w:color w:val="auto"/>
        </w:rPr>
      </w:pPr>
    </w:p>
    <w:p>
      <w:pPr>
        <w:ind w:left="720" w:hanging="361"/>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March 22, 2013, we sold and issued to 42 accredited investors an aggregate of 4,930,291 of our Class A common shares at purchase prices from</w:t>
      </w:r>
    </w:p>
    <w:p>
      <w:pPr>
        <w:spacing w:after="0" w:line="38" w:lineRule="exact"/>
        <w:rPr>
          <w:sz w:val="20"/>
          <w:szCs w:val="20"/>
          <w:color w:val="auto"/>
        </w:rPr>
      </w:pPr>
    </w:p>
    <w:p>
      <w:pPr>
        <w:ind w:right="480"/>
        <w:spacing w:after="0" w:line="361" w:lineRule="auto"/>
        <w:rPr>
          <w:sz w:val="20"/>
          <w:szCs w:val="20"/>
          <w:color w:val="auto"/>
        </w:rPr>
      </w:pPr>
      <w:r>
        <w:rPr>
          <w:rFonts w:ascii="Arial" w:cs="Arial" w:eastAsia="Arial" w:hAnsi="Arial"/>
          <w:sz w:val="15"/>
          <w:szCs w:val="15"/>
          <w:color w:val="auto"/>
        </w:rPr>
        <w:t>$10.00 to $12.00 per share for an aggregate purchase price of $50,000,000. On June 24, 2013, we sold and issued to 42 accredited investors an aggregate of 7,394,938 of our Class A common shares at purchase prices from $10.00 to $12.00 per share for an aggregate purchase price of $74,995,020.</w:t>
      </w:r>
    </w:p>
    <w:p>
      <w:pPr>
        <w:spacing w:after="0" w:line="123"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transactions were exempt from the registration requirements of the Securities Act in reliance on Section 4(2) thereof, and the rules and regulations promulgated thereunder (including Regulation D and Rule 506), or Rule 701 as transactions pursuant to compensatory benefit plans and contracts relating to compensation. None of the transactions involved any underwriters, underwriting discounts or commissions, or any public offering. Recipients of securities issued by us in reliance on Section 4(2) of the Securities Act were accredited or sophisticated and either received adequate information about the registrant or had access, through their relationships with us, to such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2013</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sets forth, as of December 31, 2013, information concerning equity compensation plans under which our securities are authorized for issuance. The table does not reflect grants, awards, exercises, terminations or expirations since that date.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 Securities</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61"/>
        </w:trPr>
        <w:tc>
          <w:tcPr>
            <w:tcW w:w="448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Warrants and Rights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Compensation Plans</w:t>
            </w:r>
          </w:p>
        </w:tc>
      </w:tr>
      <w:tr>
        <w:trPr>
          <w:trHeight w:val="142"/>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528,175(1)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12,321,825(3)</w:t>
            </w: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528,175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12,321,825</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21" w:lineRule="exact"/>
        <w:rPr>
          <w:sz w:val="20"/>
          <w:szCs w:val="20"/>
          <w:color w:val="auto"/>
        </w:rPr>
      </w:pPr>
    </w:p>
    <w:p>
      <w:pPr>
        <w:ind w:left="1680" w:right="60" w:hanging="531"/>
        <w:spacing w:after="0" w:line="259"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share unit awards. This number does not include 3,715,785 shares that are subject to then-outstanding, but unvested, restricted share awards because those securities have been subtracted from the number of securities remaining available for future issuance under Column (c).</w:t>
      </w:r>
    </w:p>
    <w:p>
      <w:pPr>
        <w:spacing w:after="0" w:line="221" w:lineRule="exact"/>
        <w:rPr>
          <w:rFonts w:ascii="Arial" w:cs="Arial" w:eastAsia="Arial" w:hAnsi="Arial"/>
          <w:sz w:val="18"/>
          <w:szCs w:val="18"/>
          <w:color w:val="auto"/>
        </w:rPr>
      </w:pPr>
    </w:p>
    <w:p>
      <w:pPr>
        <w:ind w:left="1680" w:right="38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 because all outstanding awards reflected in Column (a) will be issued upon the vesting of outstanding restricted share units.</w:t>
      </w:r>
    </w:p>
    <w:p>
      <w:pPr>
        <w:spacing w:after="0" w:line="199" w:lineRule="exact"/>
        <w:rPr>
          <w:rFonts w:ascii="Arial" w:cs="Arial" w:eastAsia="Arial" w:hAnsi="Arial"/>
          <w:sz w:val="18"/>
          <w:szCs w:val="18"/>
          <w:color w:val="auto"/>
        </w:rPr>
      </w:pPr>
    </w:p>
    <w:p>
      <w:pPr>
        <w:ind w:left="1680" w:hanging="531"/>
        <w:spacing w:after="0" w:line="285"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of the shares that remained available for future issuance as of December 31, 2013 were available under the 2013 Essent Group Ltd. Long-Term Incentive Plan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14,700,000 common shares were originally reserved and available for delivery under the 2013 Plan. The total number of common shares reserved and available for delivery under the 2013 Plan will be increased on the first day of each of our fiscal years beginning with 2014 in an amount equal to the lesser of (i) 1,500,000 common shares, (ii) 2% of our outstanding common shares on the last day of the immediately preceding fiscal year, or (iii) such number of common shares as determined by our board of directors. The number of common shares reserved and available for delivery under the 2013 Plan is subject to adjustment, as described below. The maximum number of common shares that may be issued in respect of incentive share options under the 2013 Plan is 14,700,000. Common shares underlying awards that are settled in cash, canceled,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table below sets forth information regarding repurchases of our common shares during the fourth quarter of 2013. All of the shares represent common shares that were tendered to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by employees in connection with the vesting of restricted shares to satisfy tax withholding obligations. We do not consider these transactions to be a share buyback program.</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4"/>
                <w:szCs w:val="14"/>
                <w:b w:val="1"/>
                <w:bCs w:val="1"/>
                <w:color w:val="auto"/>
                <w:w w:val="84"/>
              </w:rPr>
              <w:t>Paid Per Share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November 1 - November 30, 2013</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November 5, 2013, we completed an initial public offering of an aggregate of 22,666,635 Common Shares at a price of $17.00 per share for an aggregate offering price of $385,332,795. On that date, we issued and sold 19,956,517 shares, including 2,956,517 shares pursuant to the underwriters' exercise of their option to purchase additional shares, and certain of our shareholders sold an additional 2,710,118 shares, and the offering terminated. Goldman, Sachs &amp; Co., J.P. Morgan Securities LLC, and Barclays Capital Inc. served as joint representatives of the several underwriters for the offering. As a result of the initial public offering, we raised approximately $313.7 million in net proceeds, after deducting underwriting discounts and commissions of approximately $21.5 million and estimated expenses in connection with the offering of approximately $4 million. We did not receive any proceeds from the sale of shares by the selling shareholders. No payments were made by us to our directors, officers or any of their associates, persons owning 10% or more of our Common Shares, or their associates, or our affiliates, except for approximately $11.7 million that was paid in the aggregate in underwriting discounts and commissions to Goldman, Sachs &amp; Co. and J.P. Morgan Securities LLC, affiliates of which owned more than 11% and 8%, respectively, of our outstanding capital immediately prior to our initial public offering. We believe that the services performed by Goldman, Sachs &amp; Co. and J.P. Morgan Securities LLC in connection with the above offering were provided on terms no more or less favorable than those with unrelated parties.</w:t>
      </w:r>
    </w:p>
    <w:p>
      <w:pPr>
        <w:spacing w:after="0" w:line="18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Prior to December 31, 2013, we contributed in the aggregate approximately $75 million of our net proceeds from the offering to our U.S. insurance subsidiaries as capital investments. The remaining portion of the net proceeds has been utilized as temporary investments in cash and cash equivalents. There has been no material change in the planned use of proceeds from our initial public offering as described in our final prospectus filed with the SEC pursuant to Rule 424(b).</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Summary of Operations</w:t>
            </w: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60" w:type="dxa"/>
            <w:vAlign w:val="bottom"/>
            <w:gridSpan w:val="4"/>
            <w:vMerge w:val="continue"/>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60" w:type="dxa"/>
            <w:vAlign w:val="bottom"/>
            <w:gridSpan w:val="4"/>
          </w:tcPr>
          <w:p>
            <w:pPr>
              <w:ind w:left="1140"/>
              <w:spacing w:after="0"/>
              <w:rPr>
                <w:sz w:val="20"/>
                <w:szCs w:val="20"/>
                <w:color w:val="auto"/>
              </w:rPr>
            </w:pPr>
            <w:r>
              <w:rPr>
                <w:rFonts w:ascii="Arial" w:cs="Arial" w:eastAsia="Arial" w:hAnsi="Arial"/>
                <w:sz w:val="14"/>
                <w:szCs w:val="14"/>
                <w:b w:val="1"/>
                <w:bCs w:val="1"/>
                <w:color w:val="auto"/>
              </w:rPr>
              <w:t>($ in thousands, except per share amounts)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Net premiums written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5"/>
              </w:rPr>
              <w:t>186,200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72,668</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17,865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(62,829)</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(30,875)</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4"/>
          </w:tcPr>
          <w:p>
            <w:pPr>
              <w:ind w:left="1140"/>
              <w:spacing w:after="0"/>
              <w:rPr>
                <w:sz w:val="20"/>
                <w:szCs w:val="20"/>
                <w:color w:val="auto"/>
              </w:rPr>
            </w:pPr>
            <w:r>
              <w:rPr>
                <w:rFonts w:ascii="Arial" w:cs="Arial" w:eastAsia="Arial" w:hAnsi="Arial"/>
                <w:sz w:val="18"/>
                <w:szCs w:val="18"/>
                <w:color w:val="auto"/>
              </w:rPr>
              <w:t>Net premiums earned</w:t>
            </w: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123,371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41,793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Realized investment gains, net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Total revenues</w:t>
            </w: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131,403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Provision for losses and LAE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71,055</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Total losses and expenses</w:t>
            </w: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(13,876)</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(34,450)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(27,628)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65,413</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(13,543)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(33,555)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(27,574)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Earnings (loss) per share (EPS)(1):</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4"/>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Common Shares(2)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Class B-2 common shares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Common Shares(2)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Class B-2 common shares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Weighted average common shares outstanding:</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Class A common shares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Class A common shares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51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Balance sheet data</w:t>
            </w: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60" w:type="dxa"/>
            <w:vAlign w:val="bottom"/>
            <w:gridSpan w:val="4"/>
            <w:vMerge w:val="continue"/>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60" w:type="dxa"/>
            <w:vAlign w:val="bottom"/>
            <w:gridSpan w:val="4"/>
          </w:tcPr>
          <w:p>
            <w:pPr>
              <w:ind w:left="1140"/>
              <w:spacing w:after="0"/>
              <w:rPr>
                <w:sz w:val="20"/>
                <w:szCs w:val="20"/>
                <w:color w:val="auto"/>
              </w:rPr>
            </w:pPr>
            <w:r>
              <w:rPr>
                <w:rFonts w:ascii="Arial" w:cs="Arial" w:eastAsia="Arial" w:hAnsi="Arial"/>
                <w:sz w:val="14"/>
                <w:szCs w:val="14"/>
                <w:b w:val="1"/>
                <w:bCs w:val="1"/>
                <w:color w:val="auto"/>
              </w:rPr>
              <w:t>($ in thousands)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332,555</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247,414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171,091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161,725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Cash</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477,655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853,970</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283,332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210,066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193,589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Reserve for losses and LAE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Unearned premium reserve</w:t>
            </w: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103,399</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Amounts due under Asset Purchase Agreement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722,141</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219,123</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176,061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183,493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jc w:val="right"/>
              <w:ind w:right="652"/>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Selected additional data</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8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gridSpan w:val="5"/>
          </w:tcPr>
          <w:p>
            <w:pPr>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insurance written</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21,152,638</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11,241,161</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3,229,720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480" w:type="dxa"/>
            <w:vAlign w:val="bottom"/>
            <w:gridSpan w:val="5"/>
          </w:tcPr>
          <w:p>
            <w:pPr>
              <w:spacing w:after="0"/>
              <w:rPr>
                <w:sz w:val="20"/>
                <w:szCs w:val="20"/>
                <w:color w:val="auto"/>
              </w:rPr>
            </w:pPr>
            <w:r>
              <w:rPr>
                <w:rFonts w:ascii="Arial" w:cs="Arial" w:eastAsia="Arial" w:hAnsi="Arial"/>
                <w:sz w:val="18"/>
                <w:szCs w:val="18"/>
                <w:color w:val="auto"/>
              </w:rPr>
              <w:t>Loss ratio(3)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 ratio(4)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16,156.2%</w:t>
            </w:r>
          </w:p>
        </w:tc>
        <w:tc>
          <w:tcPr>
            <w:tcW w:w="0" w:type="dxa"/>
            <w:vAlign w:val="bottom"/>
          </w:tcPr>
          <w:p>
            <w:pPr>
              <w:spacing w:after="0"/>
              <w:rPr>
                <w:sz w:val="1"/>
                <w:szCs w:val="1"/>
                <w:color w:val="auto"/>
              </w:rPr>
            </w:pPr>
          </w:p>
        </w:tc>
      </w:tr>
      <w:tr>
        <w:trPr>
          <w:trHeight w:val="20"/>
        </w:trPr>
        <w:tc>
          <w:tcPr>
            <w:tcW w:w="4480" w:type="dxa"/>
            <w:vAlign w:val="bottom"/>
            <w:gridSpan w:val="5"/>
            <w:vMerge w:val="restart"/>
          </w:tcPr>
          <w:p>
            <w:pPr>
              <w:spacing w:after="0"/>
              <w:rPr>
                <w:sz w:val="20"/>
                <w:szCs w:val="20"/>
                <w:color w:val="auto"/>
              </w:rPr>
            </w:pPr>
            <w:r>
              <w:rPr>
                <w:rFonts w:ascii="Arial" w:cs="Arial" w:eastAsia="Arial" w:hAnsi="Arial"/>
                <w:sz w:val="18"/>
                <w:szCs w:val="18"/>
                <w:color w:val="auto"/>
              </w:rPr>
              <w:t>Combined ratio</w:t>
            </w: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597.1%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4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Insurance portfolio</w:t>
            </w: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8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gridSpan w:val="5"/>
          </w:tcPr>
          <w:p>
            <w:pPr>
              <w:spacing w:after="0"/>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Insurance in force</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32,028,196</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13,628,980</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3,376,708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244,968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Risk in force</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7,768,605</w:t>
            </w:r>
          </w:p>
        </w:tc>
        <w:tc>
          <w:tcPr>
            <w:tcW w:w="2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3,221,631</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777,460</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Policies in force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141,417</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Loans in default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Percentage of loans in default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b w:val="1"/>
                <w:bCs w:val="1"/>
                <w:color w:val="auto"/>
              </w:rPr>
              <w:t>Insurance company capital: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Combined statutory capital(5)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469,424</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203,611</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150,851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spacing w:after="0"/>
              <w:rPr>
                <w:sz w:val="20"/>
                <w:szCs w:val="20"/>
                <w:color w:val="auto"/>
              </w:rPr>
            </w:pPr>
            <w:r>
              <w:rPr>
                <w:rFonts w:ascii="Arial" w:cs="Arial" w:eastAsia="Arial" w:hAnsi="Arial"/>
                <w:sz w:val="18"/>
                <w:szCs w:val="18"/>
                <w:color w:val="auto"/>
              </w:rPr>
              <w:t>Risk to capital ratios: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Essent Guaranty, Inc.</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tcPr>
          <w:p>
            <w:pPr>
              <w:ind w:left="160"/>
              <w:spacing w:after="0"/>
              <w:rPr>
                <w:sz w:val="20"/>
                <w:szCs w:val="20"/>
                <w:color w:val="auto"/>
              </w:rPr>
            </w:pPr>
            <w:r>
              <w:rPr>
                <w:rFonts w:ascii="Arial" w:cs="Arial" w:eastAsia="Arial" w:hAnsi="Arial"/>
                <w:sz w:val="18"/>
                <w:szCs w:val="18"/>
                <w:color w:val="auto"/>
              </w:rPr>
              <w:t>Essent Guaranty of PA, Inc.</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Combined(6)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310" w:lineRule="auto"/>
        <w:tabs>
          <w:tab w:leader="none" w:pos="16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Prior to the initial public offering (IPO) which was completed on November 5, 2013, the Company had two classes of common shares outstanding: Class A common shares and Class B-2 common shares. The Class A common shares accrued a 10% cumulative dividend and the Class B-2 common shares had no stated dividend rate with any dividends being declared at the discretion of the Company's Board of Directors. Accordingly, earnings (loss) per common share was calculated using the "two-class" method which provides that earnings and losses be allocated to each class of common shares according to dividends declared and their respective participation rights. Substantially all of the net income (loss) for the periods prior to the IPO was allocated to the Class A common shares for purposes of determining earnings per share. Upon the completion of the IPO, all of the Class A common shares and the Class B-2 common shares converted into a single class of common shares (the "Common Shares"), as more fully described in Note 9 to our consolidated financial statements.</w:t>
      </w:r>
    </w:p>
    <w:p>
      <w:pPr>
        <w:spacing w:after="0" w:line="189" w:lineRule="exact"/>
        <w:rPr>
          <w:rFonts w:ascii="Arial" w:cs="Arial" w:eastAsia="Arial" w:hAnsi="Arial"/>
          <w:sz w:val="15"/>
          <w:szCs w:val="15"/>
          <w:color w:val="auto"/>
        </w:rPr>
      </w:pPr>
    </w:p>
    <w:p>
      <w:pPr>
        <w:ind w:left="1680" w:right="40" w:hanging="531"/>
        <w:spacing w:after="0" w:line="294"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weighted average Common Shares outstanding as presented in the table above includes: (a) the weighted average Common Shares outstanding for the period from November 5, 2013 until December 31, 2013, and (b) the weighted average Class B-2 common shares outstanding (adjusted for the 2 for 3 share split) for the period from January 1, 2013 until the date of the conversion to Common Shares at the IPO. For purposes of determining EPS in 2013, the net income allocated to the Class B-2 common shares and all net income of the Company for the period following the IPO are allocated to the Common Shares.</w:t>
      </w:r>
    </w:p>
    <w:p>
      <w:pPr>
        <w:spacing w:after="0" w:line="183" w:lineRule="exact"/>
        <w:rPr>
          <w:rFonts w:ascii="Arial" w:cs="Arial" w:eastAsia="Arial" w:hAnsi="Arial"/>
          <w:sz w:val="16"/>
          <w:szCs w:val="16"/>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 and loss adjustment expenses by net premiums earned.</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52" w:lineRule="exact"/>
        <w:rPr>
          <w:rFonts w:ascii="Arial" w:cs="Arial" w:eastAsia="Arial" w:hAnsi="Arial"/>
          <w:sz w:val="18"/>
          <w:szCs w:val="18"/>
          <w:color w:val="auto"/>
        </w:rPr>
      </w:pPr>
    </w:p>
    <w:p>
      <w:pPr>
        <w:ind w:left="1680" w:right="4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Combined statutory capital equals the sum of statutory capital of Essent Guaranty, Inc. plus Essent Guaranty of PA, Inc., after eliminating the impact of intercompany transactions.</w:t>
      </w:r>
    </w:p>
    <w:p>
      <w:pPr>
        <w:spacing w:after="0" w:line="199" w:lineRule="exact"/>
        <w:rPr>
          <w:rFonts w:ascii="Arial" w:cs="Arial" w:eastAsia="Arial" w:hAnsi="Arial"/>
          <w:sz w:val="18"/>
          <w:szCs w:val="18"/>
          <w:color w:val="auto"/>
        </w:rPr>
      </w:pPr>
    </w:p>
    <w:p>
      <w:pPr>
        <w:ind w:left="1680" w:right="6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combined risk to capital ratio equals the sum of the net risk in force of Essent Guaranty, Inc. and Essent Guaranty of PA, Inc. divided by combined statutory capital.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12.1% market share based on new insurance written, or NIW, excluding NIW under the Home Affordable Refinance Program, for the year ended December 31, 2013, up from 8.6% and 4.5% for the years ended December 31, 2012 and 2011, respectively. We believe that our growth has been driven largely by the unique opportunity we offer lenders to partner with a well-capitalized mortgage insurer, unencumbered by legacy business, that provides fair and transparent claims payment practices, and consistency and speed of service.</w:t>
      </w:r>
    </w:p>
    <w:p>
      <w:pPr>
        <w:spacing w:after="0" w:line="174"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In 2010, Essent became the first private mortgage insurer to be approved by the GSEs since 1995, and is licensed to write coverage in all 50 states and the District of Columbia. We completed our initial public offering in November 2013. The financial strength of Essent Guaranty, Inc., our wholly-owned insurance subsidiary, is rated Baa2 with a stable outlook by Moody's Investors Service and BBB+ with a stable outlook by Standard &amp; Poor's Rating Services.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had master policy relationships with approximately 935 customers as of December 31, 2013. We have a fully functioning, scalable and flexible mortgage insurance platform, which we acquired from Triad Guaranty Inc. and its wholly-owned subsidiary, Triad Guaranty Insurance Corporation, which we refer to collectively as "Triad", in exchange for up to $30 million in cash and the assumption of certain contractual obligations. Our holding company is domiciled in Bermuda and our U.S. insurance business is headquartered in Radnor, Pennsylvania. We operate additional underwriting and service centers in Winston-Salem, North Carolina and Irvine, California. We have a highly experienced, talented team with 289 employees as of December 31, 2013. For the years ended December 31, 2013, 2012 and 2011, we generated new insurance written of approximately $21.2 billion, $11.2 billion and $3.2 billion, respectively, and as of December 31, 2013, we had approximately $32.0 billion of insurance in 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Housing Finance and GSE Reform</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overwhelming majority of our current and expected future business is the provision of mortgage insurance on loans sold to the GSEs. Therefore, changes to the business practices of the GSEs or any regulation relating to the GSEs may impact our business and our results of operations. The FHFA is the regulator and conservator of the GSEs with authority to control and direct their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operations. The FHFA has directed, and is likely to continue to direct, changes to the business operations of the GSEs in ways that affect the mortgage insurance industry. In addition, 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 See "Business—Regulation—Federal Laws and Regulations—Housing Finance Reform", "Risk Factors—Risks Relating to Our Business—</w:t>
      </w:r>
      <w:r>
        <w:rPr>
          <w:rFonts w:ascii="Arial" w:cs="Arial" w:eastAsia="Arial" w:hAnsi="Arial"/>
          <w:sz w:val="16"/>
          <w:szCs w:val="16"/>
          <w:i w:val="1"/>
          <w:iCs w:val="1"/>
          <w:color w:val="auto"/>
        </w:rPr>
        <w:t>Legislative or regulatory actions or decisions to change the role of the GSEs in the U.S.</w:t>
      </w:r>
      <w:r>
        <w:rPr>
          <w:rFonts w:ascii="Arial" w:cs="Arial" w:eastAsia="Arial" w:hAnsi="Arial"/>
          <w:sz w:val="16"/>
          <w:szCs w:val="16"/>
          <w:color w:val="auto"/>
        </w:rPr>
        <w:t xml:space="preserve"> </w:t>
      </w:r>
      <w:r>
        <w:rPr>
          <w:rFonts w:ascii="Arial" w:cs="Arial" w:eastAsia="Arial" w:hAnsi="Arial"/>
          <w:sz w:val="16"/>
          <w:szCs w:val="16"/>
          <w:i w:val="1"/>
          <w:iCs w:val="1"/>
          <w:color w:val="auto"/>
        </w:rPr>
        <w:t>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Dodd-Frank Act, the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On January 10, 2014, the CFPB implemented a final rule regarding QMs, which we refer to as the "QM Rule". Under the QM Rule, a loan is deemed to be a QM if it has certain loan features, satisfies extensive documentation requirements and meets limitations on fees and points and APRs. The QM Rule also provides for a second temporary category with more flexible requirements if the loan is eligible to be purchased or guaranteed by the GSEs while they are in conservatorship, which is the overwhelming majority of our business. This second temporary category still requires that loans satisfy certain criteria, including the requirement that the points and fees represent 3% or less of the total loan amount.</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Failure to comply with the ability-to-repay requirement exposes a lender to substantial potential liability. As a result, we believe that the QM regulations may cause changes in the lending standards and origination practices of our customers. Such changes may include a further tightening of mortgage origination practices and lending standards, which may further improve the credit quality of new mortgages, but may also result in a reduction of the overall volume of mortgage originations.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 —Persistency and Business Mix." Finally, to the extent that government agencies that offer mortgage insurance adopt their own definitions of a qualified mortgage and those definitions are more favorable to lenders than those applicable in the market we operate in, our business may be adversely affected. See "Business—Regulation—Federal Laws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Regulation—Dodd-Frank Act—Qualified Residential Mortgage Regulations—Risk Retention Requirements" and "Risk Factors—Risks Relating to Our Business</w:t>
      </w:r>
    </w:p>
    <w:p>
      <w:pPr>
        <w:spacing w:after="0" w:line="3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Our business prospects and operating results could be adversely impacted if, and to the extent that, the Consumer Financial Protection Bureau's ("CFPB")</w:t>
      </w:r>
      <w:r>
        <w:rPr>
          <w:rFonts w:ascii="Arial" w:cs="Arial" w:eastAsia="Arial" w:hAnsi="Arial"/>
          <w:sz w:val="18"/>
          <w:szCs w:val="18"/>
          <w:color w:val="auto"/>
        </w:rPr>
        <w:t xml:space="preserve"> </w:t>
      </w:r>
      <w:r>
        <w:rPr>
          <w:rFonts w:ascii="Arial" w:cs="Arial" w:eastAsia="Arial" w:hAnsi="Arial"/>
          <w:sz w:val="18"/>
          <w:szCs w:val="18"/>
          <w:i w:val="1"/>
          <w:iCs w:val="1"/>
          <w:color w:val="auto"/>
        </w:rPr>
        <w:t>final rule defining a qualified mortgage ("QM") reduces the size of the origination market or creates incentives to use government mortgage insurance programs."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Dodd-Frank Act provides for an originator or issuer risk-retention requirement on securitized mortgage loans that do not meet the definition of a QRM. Federal regulators issued the proposed risk-retention rule in March 2011, and in response to public comment on such proposed rule, issued a revised proposed-risk retention rule on August 28, 2013, including a definition of QRM that generally defines QRM as a mortgage meeting the requirements of QM (see "Business —Regulation—Federal Laws and Regulations—Dodd-Frank Act—Qualified Mortgage Regulations—Ability to Repay Requirements"). In addition, the regulators also requested public comments on an alternative definition that, among other things, incorporates a maximum LTV standard of 70% and certain other restrictions selected to reduce the risk of default. Neither of the revised proposed definitions of QRM incorporate the use of private mortgage insurance. Under the proposed rule, the GSEs satisfy the risk retention requirements of the Dodd-Frank Act while they are in conservatorship. The public comment period for the proposed rule ended on October 30, 2013 and final rules have yet to be issued. The final timing of the adoption of any risk retention regulation and the definition of QRM remains uncertain.</w:t>
      </w:r>
    </w:p>
    <w:p>
      <w:pPr>
        <w:spacing w:after="0" w:line="17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Issuers may prefer not to retain risk and may therefore have a strong incentive to originate loans that meet the definition of a QRM. If the final rule gives consideration to private mortgage insurance in the definition of QRM, issuers may benefit from the use of private mortgage insurance for mortgage securitizations subject to the risk retention requirements. However, if the final QRM rule does not give consideration to mortgage insurance in the definition of QRM, the attractiveness of originating and securitizing loans with lower down payments may be reduced, which may adversely affect the future demand for mortgage insurance and our business. In addition, changes in the final regulations regarding treatment of GSE-guaranteed mortgage loans, could impact our business. The ultimate impact of these rules on the use of mortgage insurance depends on, among other things, (i) the final definition of QRM, (ii) under the proposed definition, the extent to which the presence of private mortgage insurance may adversely affect the ability of a loan to qualify as a QM and therefore as a QRM,</w:t>
      </w:r>
    </w:p>
    <w:p>
      <w:pPr>
        <w:ind w:firstLine="8"/>
        <w:spacing w:after="0" w:line="290" w:lineRule="auto"/>
        <w:tabs>
          <w:tab w:leader="none" w:pos="307"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QM-plus definition or any other final definition with an LTV requirement, the level of the final LTV requirement and the extent to which credit would be given for the use of mortgage insurance, if any, in satisfying the LTV requirement, (iv) if, in the future, sellers of loans to the GSEs become subject to risk-retention requirements, and (v) the degree to which originators or issuers subject to risk retention requirements would see it as beneficial to utilize mortgage insurance on non-QRM loans to mitigate their retained credit exposure. See "Business—Regulation—Federal Laws and Regulation—Dodd-Frank Act—Qualified Residential Mortgage Regulations—Risk Retention Requirements" and "Risk Factors—Risks Relating to Our Business—</w:t>
      </w:r>
      <w:r>
        <w:rPr>
          <w:rFonts w:ascii="Arial" w:cs="Arial" w:eastAsia="Arial" w:hAnsi="Arial"/>
          <w:sz w:val="16"/>
          <w:szCs w:val="16"/>
          <w:i w:val="1"/>
          <w:iCs w:val="1"/>
          <w:color w:val="auto"/>
        </w:rPr>
        <w:t>The amount of insurance we write could</w:t>
      </w:r>
      <w:r>
        <w:rPr>
          <w:rFonts w:ascii="Arial" w:cs="Arial" w:eastAsia="Arial" w:hAnsi="Arial"/>
          <w:sz w:val="16"/>
          <w:szCs w:val="16"/>
          <w:color w:val="auto"/>
        </w:rPr>
        <w:t xml:space="preserve"> </w:t>
      </w:r>
      <w:r>
        <w:rPr>
          <w:rFonts w:ascii="Arial" w:cs="Arial" w:eastAsia="Arial" w:hAnsi="Arial"/>
          <w:sz w:val="16"/>
          <w:szCs w:val="16"/>
          <w:i w:val="1"/>
          <w:iCs w:val="1"/>
          <w:color w:val="auto"/>
        </w:rPr>
        <w:t>be adversely affected by the implementation of the Dodd-Frank Act's risk retention requirements and the definition of Qualified Residential Mortgage ("QRM")</w:t>
      </w:r>
      <w:r>
        <w:rPr>
          <w:rFonts w:ascii="Arial" w:cs="Arial" w:eastAsia="Arial" w:hAnsi="Arial"/>
          <w:sz w:val="16"/>
          <w:szCs w:val="16"/>
          <w:color w:val="auto"/>
        </w:rPr>
        <w: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July 2013, the Federal Reserve Board, the Office of the Comptroller of the Currency and the Federal Deposit Insurance Corporation approved publication of the Basel III Rules governing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January 1, 2015 for banking organizations other than advanced approaches banking organizations that are not savings and loan holding companies.</w:t>
      </w:r>
    </w:p>
    <w:p>
      <w:pPr>
        <w:spacing w:after="0" w:line="248"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Federal banking agencies previously issued proposed rules that would have made extensive changes to the capital requirements for residential mortgages, including eliminating capital recognition for certain low down payment mortgages covered by mortgage insurance. After consideration of extensive comments with regard to the proposed capital rules for residential mortgages, the Federal banking agencies decided to retain in the Basel III Rules the treatment for residential mortgage exposures that is currently set forth in the general risk-based capital rules and the treatment of mortgage insurance.</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Basel III Rules continue to afford FHA-insured loans a lower risk-weighting than low down payment loans insured with private mortgage insurance, and Ginnie Mae mortgage-backed securities are afforded a lower risk weighting than Fannie Mae and Freddie Mac mortgage-backed securities. Therefore, with respect to capital requirements, FHA-insured loans will continue to have a competitive advantage over loans insured by private mortgage insurance and then sold to and securitized by the GSEs.</w:t>
      </w:r>
    </w:p>
    <w:p>
      <w:pPr>
        <w:spacing w:after="0" w:line="197"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39"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but may create incentives for banks to originate and sell loans to the GSEs which could expand demand for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 "Risk Factors—Risks Relating to Our Business—</w:t>
      </w:r>
      <w:r>
        <w:rPr>
          <w:rFonts w:ascii="Arial" w:cs="Arial" w:eastAsia="Arial" w:hAnsi="Arial"/>
          <w:sz w:val="16"/>
          <w:szCs w:val="16"/>
          <w:i w:val="1"/>
          <w:iCs w:val="1"/>
          <w:color w:val="auto"/>
        </w:rPr>
        <w:t>The implementation of the Basel III Capital Accord, or other changes to our customers'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may discourage the use of mortgage insurance</w:t>
      </w:r>
      <w:r>
        <w:rPr>
          <w:rFonts w:ascii="Arial" w:cs="Arial" w:eastAsia="Arial" w:hAnsi="Arial"/>
          <w:sz w:val="16"/>
          <w:szCs w:val="16"/>
          <w:color w:val="auto"/>
        </w:rPr>
        <w: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FHA is our primary competitor outside of the private mortgage insurance industry and the FHA's role in the mortgage insurance industry is also significantly dependent upon regulatory developments. The U.S. Congress is considering reforms of the housing finance market, which includes consideration of the future mission, size and structure of the FHA, which is part of HUD. In HUD's annual report to Congress on the financial status of the FHA Mutual Mortgage Insurance Fund, or MMIF, dated November 16, 2012, the capital reserve ratio of the MMIF turned to a negative 1.44%, below the congressionally mandated required minimum level of 2%. In part as a result of this capital shortfall, Congress is considering legislation to reform the FHA. If FHA reform were to raise FHA premiums, tighten FHA credit guidelines, make other changes which make lender use of FHA less attractive, or implement credit risk sharing between FHA and private mortgage insurers, these changes may be beneficial to our business. However, there can be no assurance that any FHA reform legislation will be enacted into law, and what provisions may be contained in any final legislation, if any. Therefore, the future impact on our business is uncertain. See "Business— Regulation—Federal Laws and Regulation—FHA Reform" and "Risk Factors—Risks Relating to Our Business—</w:t>
      </w:r>
      <w:r>
        <w:rPr>
          <w:rFonts w:ascii="Arial" w:cs="Arial" w:eastAsia="Arial" w:hAnsi="Arial"/>
          <w:sz w:val="16"/>
          <w:szCs w:val="16"/>
          <w:i w:val="1"/>
          <w:iCs w:val="1"/>
          <w:color w:val="auto"/>
        </w:rPr>
        <w:t>The amount of insurance we may be able to</w:t>
      </w:r>
      <w:r>
        <w:rPr>
          <w:rFonts w:ascii="Arial" w:cs="Arial" w:eastAsia="Arial" w:hAnsi="Arial"/>
          <w:sz w:val="16"/>
          <w:szCs w:val="16"/>
          <w:color w:val="auto"/>
        </w:rPr>
        <w:t xml:space="preserve"> </w:t>
      </w:r>
      <w:r>
        <w:rPr>
          <w:rFonts w:ascii="Arial" w:cs="Arial" w:eastAsia="Arial" w:hAnsi="Arial"/>
          <w:sz w:val="16"/>
          <w:szCs w:val="16"/>
          <w:i w:val="1"/>
          <w:iCs w:val="1"/>
          <w:color w:val="auto"/>
        </w:rPr>
        <w:t>write could be adversely affected if lenders and investors select alternatives to private mortgage insurance.</w:t>
      </w:r>
      <w:r>
        <w:rPr>
          <w:rFonts w:ascii="Arial" w:cs="Arial" w:eastAsia="Arial" w:hAnsi="Arial"/>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Premiums are based on insurance in force, or IIF, during all or a portion of a period. A change in the average IIF during a period causes premiums to increase or decrease as compared to prior periods. Average premiums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211" w:lineRule="exact"/>
        <w:rPr>
          <w:sz w:val="20"/>
          <w:szCs w:val="20"/>
          <w:color w:val="auto"/>
        </w:rPr>
      </w:pPr>
    </w:p>
    <w:p>
      <w:pPr>
        <w:ind w:left="1080" w:right="14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66" w:lineRule="exact"/>
        <w:rPr>
          <w:rFonts w:ascii="Arial" w:cs="Arial" w:eastAsia="Arial" w:hAnsi="Arial"/>
          <w:sz w:val="16"/>
          <w:szCs w:val="16"/>
          <w:color w:val="auto"/>
        </w:rPr>
      </w:pPr>
    </w:p>
    <w:p>
      <w:pPr>
        <w:ind w:left="1080" w:right="26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spacing w:after="0" w:line="152"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To date, we have not entered into any reinsurance contracts.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2013 were non-refundable. Premiums collected on annual policies are recognized as net premiums earned on a straight line basis over the year of coverage. For the year ended December 31, 2013, monthly and single premium policies comprised 80% and 20% of our NIW, respectively.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86.1% at December 31, 2013. Generally, higher prepayment speeds lead to lower persistency.</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are repaid earlier than anticipated, our premium earned with respect to those loans and therefore our profitability declines. Currently, the expected return on single premium policies is less than the expected return on monthly policies.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investment portfolio was comprised entirely of investment grade fixed income securities and money market investments as of December 31, 2013. The principal factors that influence investment income are the size of the investment portfolio and the yield.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 than temporary" impairments recognized in earnings. The amount received on the sale of fixed income securities is affected by the coupon rate of the security compared to the yield of comparable securities at the time of sale.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provides for a minimum monthly fee of $150,000 for the duration of the services agreement. The services agreement expires on November 30, 2014 and provides for two subsequent five year renewals at Triad's option. See Note 6 to our consolidated financial statements.</w:t>
      </w:r>
    </w:p>
    <w:p>
      <w:pPr>
        <w:spacing w:after="0" w:line="174"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Other income also includes revenues associated with contract underwriting services. The level of contract underwriting revenue is dependent upon the number of customers who have engaged us for this service and the number of loans underwritten for these customers.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Losses incurred are generally affected by:</w:t>
      </w:r>
    </w:p>
    <w:p>
      <w:pPr>
        <w:spacing w:after="0" w:line="239" w:lineRule="exact"/>
        <w:rPr>
          <w:sz w:val="20"/>
          <w:szCs w:val="20"/>
          <w:color w:val="auto"/>
        </w:rPr>
      </w:pPr>
    </w:p>
    <w:p>
      <w:pPr>
        <w:ind w:left="1080" w:right="2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21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Clarity of Coverage master policy endorsement, we expect that our level of rescission activity will be lower than recent rescission activity seen in the mortgage insurance industry; and</w:t>
      </w:r>
    </w:p>
    <w:p>
      <w:pPr>
        <w:spacing w:after="0" w:line="22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94% of our IIF as of December 31, 2013 having been originated since January 1, 2012. As a result, based on historical industry performance, we expect the number of defaults and claims we experience, as well as our provision for losses and loss adjustment expenses, to increase as our portfolio seasons. See "—Mortgage Insurance Earnings and Cash Flow Cycle" below.</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 Critical Accounting Policies" for further information.</w:t>
      </w:r>
    </w:p>
    <w:p>
      <w:pPr>
        <w:spacing w:after="0" w:line="197"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We believe, based upon our experience and industry data, that claims incidence for mortgage insurance is generally highest in the third through sixth years after loan origination. As of December 31, 2013, 64% of our IIF relates to business written in 2013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 to 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86"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Our most significant expense is compensation and benefits for our employees, which represented 66%, 52% and 49% of other underwriting and operating expenses for the years ended December 31, 2013, 2012 and 2011, respectively. Compensation and benefits expense includes base and incentive cash compensation, stock compensation expense, benefits and payroll taxes. Compensation and benefits expense has steadily increased each period as we have increased our staffing from 103 employees at January 1, 2011 to 289 at December 31, 2013, primarily in our business development and operations functions to support the growth of our business. The growth in our sales organization contributed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growth of our active customers and NIW. We also expanded our underwriting and customer service teams to support this new business.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Depreciation and amortization expense represented 3%, 25% and 28% of other underwriting and operating expenses for the years ended December 31, 2013, 2012 and 2011, respectively. A significant portion of the depreciation expense recorded during 2011 and 2012 related to the assets acquired from Triad for $30 million in cash and the assumption of certain contractual obligations under that certain asset purchase agreement, dated October 7, 2009, among Essent Guaranty, Inc. and Triad (the "Asset Purchase Agreement"). The purchase price of the assets acquired from Triad was allocated primarily to acquired technology (94%) and workforce-in-place (4%) and was amortized to expense on a straight-line basis over 36 months and 48 months, respectively, from the date of acquisition. The acquired technology component of the purchase price was fully depreciated as of November 30, 2012 and the workforce-in-place component of the purchase price was fully amortized as of November 30, 2013 and, accordingly, depreciation and amortization expense declined in 2013 compared to prior periods.</w:t>
      </w:r>
    </w:p>
    <w:p>
      <w:pPr>
        <w:spacing w:after="0" w:line="199"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color w:val="auto"/>
        </w:rPr>
        <w:t>Underwriting and other expenses also include legal, consulting, other professional fees, premium taxes, travel, entertainment, marketing, licensing, supplies, hardware, software, rent, utilities and other expenses.</w:t>
      </w:r>
    </w:p>
    <w:p>
      <w:pPr>
        <w:spacing w:after="0" w:line="186"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Further, we expect to incur incremental costs related to being a public company, including certain operating and compensation expenses.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To date, substantially all of our business activity has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The amount of income tax expense or benefit recorded in future periods will be dependent on the jurisdictions in which we operate and the tax laws and regulations in effect.</w:t>
      </w:r>
    </w:p>
    <w:p>
      <w:pPr>
        <w:spacing w:after="0" w:line="19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Essent Group Ltd. and its wholly owned subsidiary, Essent Reinsurance, Ltd. ("Essent Re"), are domiciled in Bermuda, which does not have a corporate income tax. To date, these entities have incurred expenses and generated limited amounts of investment income.</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Since inception and prior to June 30, 2013, we recorded a valuation allowance against deferred tax assets, and, as such, we generally did not record a benefit associated with the losses incurred in prior periods or other income tax benefits. The income tax provision or benefit recognized in prior periods related to changes in our valuation allowance associated with changes in deferred tax liabilities resulting from the increase or decrease in the unrealized gain on our investment portfolio. At June 30, 2013, after weighing all the evidence, we concluded that it was more likely than not that our deferred tax assets would be realized. As a result, through December 31, 2013, we have released the valuation allowance on our deferred tax assets. The release of the valuation allowance resulted in the recognition of a net $7.4 million benefit for Federal income taxes in the year ended December 31, 2013. Starting in 2014, we expect that our effective tax rate will approach the statutory tax rate.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jc w:val="both"/>
        <w:ind w:right="40" w:firstLine="341"/>
        <w:spacing w:after="0" w:line="294" w:lineRule="auto"/>
        <w:rPr>
          <w:sz w:val="20"/>
          <w:szCs w:val="20"/>
          <w:color w:val="auto"/>
        </w:rPr>
      </w:pPr>
      <w:r>
        <w:rPr>
          <w:rFonts w:ascii="Arial" w:cs="Arial" w:eastAsia="Arial" w:hAnsi="Arial"/>
          <w:sz w:val="16"/>
          <w:szCs w:val="16"/>
          <w:color w:val="auto"/>
        </w:rPr>
        <w:t>As discussed above, premiums we collect and earn are generated based on our IIF, which is a function of our NIW and cancellations. From May 2010, when we first began writing policies, through December 31, 2013, we have increased our NIW. We have also grown the number of customers who have approved us to provide mortgage insurance over this period, as well as increased our share of NIW from certain customers over time. The following table includes a summary of the change in our IIF for the years ended December 31, 2013, 2012 and 2011. In addition, this table includes our RIF at the end of each period and the number of customers that purchased mortgage insurance during each respective period.</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7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IIF, beginning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13,628,980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3,376,708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NIW</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21,152,638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11,241,161</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3,229,720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Cancellations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(2,753,422)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(988,889)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(97,980)</w:t>
            </w:r>
          </w:p>
        </w:tc>
        <w:tc>
          <w:tcPr>
            <w:tcW w:w="0" w:type="dxa"/>
            <w:vAlign w:val="bottom"/>
          </w:tcPr>
          <w:p>
            <w:pPr>
              <w:spacing w:after="0"/>
              <w:rPr>
                <w:sz w:val="1"/>
                <w:szCs w:val="1"/>
                <w:color w:val="auto"/>
              </w:rPr>
            </w:pPr>
          </w:p>
        </w:tc>
      </w:tr>
      <w:tr>
        <w:trPr>
          <w:trHeight w:val="210"/>
        </w:trPr>
        <w:tc>
          <w:tcPr>
            <w:tcW w:w="4560" w:type="dxa"/>
            <w:vAlign w:val="bottom"/>
            <w:gridSpan w:val="3"/>
          </w:tcPr>
          <w:p>
            <w:pPr>
              <w:spacing w:after="0"/>
              <w:rPr>
                <w:sz w:val="20"/>
                <w:szCs w:val="20"/>
                <w:color w:val="auto"/>
              </w:rPr>
            </w:pPr>
            <w:r>
              <w:rPr>
                <w:rFonts w:ascii="Arial" w:cs="Arial" w:eastAsia="Arial" w:hAnsi="Arial"/>
                <w:sz w:val="18"/>
                <w:szCs w:val="18"/>
                <w:color w:val="auto"/>
              </w:rPr>
              <w:t>IIF, end of period</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32,028,196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13,628,980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3,376,708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IIF during the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0"/>
              </w:rPr>
              <w:t>22,787,671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7,581,042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2"/>
              </w:rPr>
              <w:t>1,397,224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RIF, end of period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7,768,605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3,221,631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customers generating NIW during the period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cancellation activity is relatively low because the average age of our insurance portfolio is young. Following is a summary of our IIF at December 31, 2013 by vintage:</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 in thousands)</w:t>
            </w:r>
          </w:p>
        </w:tc>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20,523,351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2012</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9,628,905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1,766,709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2010</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109,231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32,028,196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w:t>
      </w:r>
    </w:p>
    <w:p>
      <w:pPr>
        <w:spacing w:after="0" w:line="38"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mix of monthly premiums compared to single premiums in our portfolio; (3) cancellations of non-refundable single premiums during the period;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our pricing.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outlines our average premium rate, which reflects net premiums earned as a percentage of average IIF,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Average IIF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22,787,671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7,581,042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1,397,224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premium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risk to capital ratio is frequently used as a measure of capital adequacy in the mortgage insurance industry and is calculated as a ratio of net risk in force to statutory capital. Net risk in force represents total risk in force net of reinsurance ceded and net of exposures on policies for which loss reserves have been established. Statutory capital is computed based on accounting practices prescribed or permitted by the Pennsylvania Insurance Department. See additional discussion in "—Liquidity and Capital Resources—Risk to Capital."</w:t>
      </w:r>
    </w:p>
    <w:p>
      <w:pPr>
        <w:spacing w:after="0" w:line="197"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December 31, 2013, our combined net risk in force was $7.8 billion and our combined statutory capital was $469.4 million resulting in a risk to capital ratio of 16.5 to 1. The amount of capital required varies in each jurisdiction in which we operate; however, generally, the maximum permitted risk to capital ratio is 25.0 to 1. As a condition to its approval from Freddie Mac, until December 31, 2013 Essent Guaranty, Inc. was required to maintain a risk-to-capital ratio of no greater than 20.0:1. State insurance regulators and the GSEs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Summary of Operations</w:t>
            </w: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Net premiums written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186,200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72,668</w:t>
            </w:r>
          </w:p>
        </w:tc>
        <w:tc>
          <w:tcPr>
            <w:tcW w:w="1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(30,875)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123,371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41,793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Realized investment gains,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131,403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Provision for losses and LAE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Total losses and expenses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62,592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(13,876)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(7,386)</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(13,543)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(33,555)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the Year Ended December 31, 2012</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For the year ended December 31, 2013, we reported net income of $65.4 million, compared to a net loss of $13.5 million for the year ended December 31, 2012. The increase in our operating results in 2013 over 2012 was primarily due to an increase in net premiums earned associated with the growth of our IIF and an increase in net investment income as well as the income tax benefit recorded due to the reversal of our valuation allowance against deferred tax assets, partially offset by increases in other underwriting and operating expenses and the provision for losses and loss adjustment expenses and a reduction in other income.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Net premiums earned increased in the year ended December 31, 2013 by 195% compared to the year ended December 31, 2012 primarily due to the increase in our average IIF from $7.6 billion in 2012 to $22.8 billion in 2013. Net premiums written increased in the year ended December 31, 2013 by 156% over the prior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year ended December 31, 2013, unearned premiums increased by $62.8 million as a result of net premiums written on single premium policies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$78.5 million which was partially offset by $15.7 million of unearned premium that was recognized in earnings during the year. In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unearned premiums increased by $30.9 million as a result of net premiums written on single premium policies of $35.7 million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$4.8 million of unearned premium that was recognized in earnings during the year.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increase in net investment income to $4.1 million for the year ended December 31, 2013 as compared to $2.3 million for the year ended December 31, 2012 is primarily due to an increase in the weighted average balance of our investment portfolio as a result of capital contributions from our initial investors in June and March 2013, and cash flows generated from operations. The average cash and investment portfolio balance was $442.8 million and $214.0 million during the years ended December 31, 2013 and 2012, respectively. The pre-tax investment income yield was 1.1% and 1.2% in the years ended December 31, 2013 and 2012, respectively. The pre-tax investment income yields are calculated based on amortized cost. See "—Liquidity and Capital Resources" for further details of our investment portfolio.</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and contract underwriting revenues. The decrease in other income for the year ended December 31, 2013 compared to the same period in 2012 is primarily due to a reduction in the number of Triad's mortgage insurance policies in force, partially offset by an increase in contract underwriting revenue. The fees earned from Triad will continue to decrease over time as Triad's existing policies are cancelled.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increase in the provision for losses and LAE in 2013 as compared to 2012 was primarily due to an increase in the number of insured loans in default partially offset by previously identified defaults that cured.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Beginning default inventory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Plus: new defaults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cures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Less: claims paid</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6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Ending default inventory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increase in the number of defaults at December 31, 2013 compared to December 31, 2012 is primarily due to an increase in our IIF and policies in force, as well as further seasoning of our insurance portfolio.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79"/>
              </w:rPr>
              <w:t>As of</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Case reserves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2,807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Ending default inventory</w:t>
            </w:r>
          </w:p>
        </w:tc>
        <w:tc>
          <w:tcPr>
            <w:tcW w:w="140" w:type="dxa"/>
            <w:vAlign w:val="bottom"/>
          </w:tcPr>
          <w:p>
            <w:pPr>
              <w:spacing w:after="0"/>
              <w:rPr>
                <w:sz w:val="18"/>
                <w:szCs w:val="18"/>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reserve per default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17,658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24,860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Default rate</w:t>
            </w:r>
          </w:p>
        </w:tc>
        <w:tc>
          <w:tcPr>
            <w:tcW w:w="140" w:type="dxa"/>
            <w:vAlign w:val="bottom"/>
          </w:tcPr>
          <w:p>
            <w:pPr>
              <w:spacing w:after="0"/>
              <w:rPr>
                <w:sz w:val="18"/>
                <w:szCs w:val="18"/>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Claims received included in ending default inventory</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bl>
    <w:p>
      <w:pPr>
        <w:spacing w:after="0" w:line="208"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decrease in the average reserve per default is primarily due to changes in the composition (such as mark-to-market loan to value ratios, risk in force, and number of months past due) of the underlying loans in default. In addition, historical cure ratios showed continued improvement in 2013.</w:t>
      </w:r>
    </w:p>
    <w:p>
      <w:pPr>
        <w:spacing w:after="0" w:line="13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62"/>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 in thousands)</w:t>
            </w:r>
          </w:p>
        </w:tc>
        <w:tc>
          <w:tcPr>
            <w:tcW w:w="122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11"/>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center"/>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10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Reserve for losses and LAE at beginning of year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Add provision for losses and LAE occurring in: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8"/>
              </w:rPr>
              <w:t>1,523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3"/>
          </w:tcPr>
          <w:p>
            <w:pPr>
              <w:ind w:left="180"/>
              <w:spacing w:after="0"/>
              <w:rPr>
                <w:sz w:val="20"/>
                <w:szCs w:val="20"/>
                <w:color w:val="auto"/>
              </w:rPr>
            </w:pPr>
            <w:r>
              <w:rPr>
                <w:rFonts w:ascii="Arial" w:cs="Arial" w:eastAsia="Arial" w:hAnsi="Arial"/>
                <w:sz w:val="18"/>
                <w:szCs w:val="18"/>
                <w:color w:val="auto"/>
              </w:rPr>
              <w:t>Prior years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32"/>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2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Incurred losses during the current period</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8"/>
              </w:rPr>
              <w:t>1,466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040" w:type="dxa"/>
            <w:vAlign w:val="bottom"/>
            <w:gridSpan w:val="8"/>
          </w:tcPr>
          <w:p>
            <w:pPr>
              <w:ind w:left="560"/>
              <w:spacing w:after="0"/>
              <w:rPr>
                <w:sz w:val="20"/>
                <w:szCs w:val="20"/>
                <w:color w:val="auto"/>
              </w:rPr>
            </w:pPr>
            <w:r>
              <w:rPr>
                <w:rFonts w:ascii="Arial" w:cs="Arial" w:eastAsia="Arial" w:hAnsi="Arial"/>
                <w:sz w:val="18"/>
                <w:szCs w:val="18"/>
                <w:color w:val="auto"/>
              </w:rPr>
              <w:t>Deduct payments for losses and LAE occurring in: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00" w:type="dxa"/>
            <w:vAlign w:val="bottom"/>
            <w:gridSpan w:val="3"/>
          </w:tcPr>
          <w:p>
            <w:pPr>
              <w:ind w:left="180"/>
              <w:spacing w:after="0"/>
              <w:rPr>
                <w:sz w:val="20"/>
                <w:szCs w:val="20"/>
                <w:color w:val="auto"/>
              </w:rPr>
            </w:pPr>
            <w:r>
              <w:rPr>
                <w:rFonts w:ascii="Arial" w:cs="Arial" w:eastAsia="Arial" w:hAnsi="Arial"/>
                <w:sz w:val="18"/>
                <w:szCs w:val="18"/>
                <w:color w:val="auto"/>
              </w:rPr>
              <w:t>Prior years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4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Loss and LAE payments during the current period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6"/>
          </w:tcPr>
          <w:p>
            <w:pPr>
              <w:ind w:left="560"/>
              <w:spacing w:after="0"/>
              <w:rPr>
                <w:sz w:val="20"/>
                <w:szCs w:val="20"/>
                <w:color w:val="auto"/>
              </w:rPr>
            </w:pPr>
            <w:r>
              <w:rPr>
                <w:rFonts w:ascii="Arial" w:cs="Arial" w:eastAsia="Arial" w:hAnsi="Arial"/>
                <w:sz w:val="18"/>
                <w:szCs w:val="18"/>
                <w:color w:val="auto"/>
                <w:w w:val="91"/>
              </w:rPr>
              <w:t>Reserve for losses and LAE at end of period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1,499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w w:val="89"/>
              </w:rPr>
              <w:t>As of December 31, 2013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0"/>
              </w:rPr>
              <w:t>Reserves</w:t>
            </w:r>
          </w:p>
        </w:tc>
        <w:tc>
          <w:tcPr>
            <w:tcW w:w="1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4"/>
          </w:tcPr>
          <w:p>
            <w:pPr>
              <w:jc w:val="center"/>
              <w:ind w:right="1460"/>
              <w:spacing w:after="0" w:line="149" w:lineRule="exact"/>
              <w:rPr>
                <w:sz w:val="20"/>
                <w:szCs w:val="20"/>
                <w:color w:val="auto"/>
              </w:rPr>
            </w:pPr>
            <w:r>
              <w:rPr>
                <w:rFonts w:ascii="Arial" w:cs="Arial" w:eastAsia="Arial" w:hAnsi="Arial"/>
                <w:sz w:val="14"/>
                <w:szCs w:val="14"/>
                <w:b w:val="1"/>
                <w:bCs w:val="1"/>
                <w:color w:val="auto"/>
                <w:w w:val="80"/>
              </w:rPr>
              <w:t>as a</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Policies in</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of Policies in</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Amount of</w:t>
            </w:r>
          </w:p>
        </w:tc>
        <w:tc>
          <w:tcPr>
            <w:tcW w:w="160" w:type="dxa"/>
            <w:vAlign w:val="bottom"/>
          </w:tcPr>
          <w:p>
            <w:pPr>
              <w:spacing w:after="0"/>
              <w:rPr>
                <w:sz w:val="12"/>
                <w:szCs w:val="12"/>
                <w:color w:val="auto"/>
              </w:rPr>
            </w:pPr>
          </w:p>
        </w:tc>
        <w:tc>
          <w:tcPr>
            <w:tcW w:w="1140" w:type="dxa"/>
            <w:vAlign w:val="bottom"/>
            <w:gridSpan w:val="3"/>
          </w:tcPr>
          <w:p>
            <w:pPr>
              <w:jc w:val="right"/>
              <w:ind w:right="192"/>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2"/>
                <w:szCs w:val="12"/>
                <w:color w:val="auto"/>
              </w:rPr>
            </w:pPr>
          </w:p>
        </w:tc>
        <w:tc>
          <w:tcPr>
            <w:tcW w:w="720" w:type="dxa"/>
            <w:vAlign w:val="bottom"/>
            <w:gridSpan w:val="5"/>
          </w:tcPr>
          <w:p>
            <w:pPr>
              <w:jc w:val="right"/>
              <w:ind w:right="2"/>
              <w:spacing w:after="0" w:line="149" w:lineRule="exact"/>
              <w:rPr>
                <w:sz w:val="20"/>
                <w:szCs w:val="20"/>
                <w:color w:val="auto"/>
              </w:rPr>
            </w:pPr>
            <w:r>
              <w:rPr>
                <w:rFonts w:ascii="Arial" w:cs="Arial" w:eastAsia="Arial" w:hAnsi="Arial"/>
                <w:sz w:val="14"/>
                <w:szCs w:val="14"/>
                <w:b w:val="1"/>
                <w:bCs w:val="1"/>
                <w:color w:val="auto"/>
                <w:w w:val="97"/>
              </w:rPr>
              <w:t>Defaulted</w:t>
            </w:r>
          </w:p>
        </w:tc>
        <w:tc>
          <w:tcPr>
            <w:tcW w:w="160" w:type="dxa"/>
            <w:vAlign w:val="bottom"/>
          </w:tcPr>
          <w:p>
            <w:pPr>
              <w:spacing w:after="0"/>
              <w:rPr>
                <w:sz w:val="12"/>
                <w:szCs w:val="12"/>
                <w:color w:val="auto"/>
              </w:rPr>
            </w:pPr>
          </w:p>
        </w:tc>
        <w:tc>
          <w:tcPr>
            <w:tcW w:w="2140" w:type="dxa"/>
            <w:vAlign w:val="bottom"/>
            <w:gridSpan w:val="5"/>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4020" w:type="dxa"/>
            <w:vAlign w:val="bottom"/>
            <w:gridSpan w:val="5"/>
          </w:tcPr>
          <w:p>
            <w:pPr>
              <w:ind w:left="1140"/>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Default</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w w:val="80"/>
              </w:rPr>
              <w:t>Reserves</w:t>
            </w:r>
          </w:p>
        </w:tc>
        <w:tc>
          <w:tcPr>
            <w:tcW w:w="160" w:type="dxa"/>
            <w:vAlign w:val="bottom"/>
          </w:tcPr>
          <w:p>
            <w:pPr>
              <w:spacing w:after="0"/>
              <w:rPr>
                <w:sz w:val="14"/>
                <w:szCs w:val="14"/>
                <w:color w:val="auto"/>
              </w:rPr>
            </w:pPr>
          </w:p>
        </w:tc>
        <w:tc>
          <w:tcPr>
            <w:tcW w:w="11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Reserves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center"/>
              <w:ind w:right="1460"/>
              <w:spacing w:after="0"/>
              <w:rPr>
                <w:sz w:val="20"/>
                <w:szCs w:val="20"/>
                <w:color w:val="auto"/>
              </w:rPr>
            </w:pPr>
            <w:r>
              <w:rPr>
                <w:rFonts w:ascii="Arial" w:cs="Arial" w:eastAsia="Arial" w:hAnsi="Arial"/>
                <w:sz w:val="14"/>
                <w:szCs w:val="14"/>
                <w:b w:val="1"/>
                <w:bCs w:val="1"/>
                <w:color w:val="auto"/>
                <w:w w:val="97"/>
              </w:rPr>
              <w:t>RIF</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4"/>
          </w:tcPr>
          <w:p>
            <w:pPr>
              <w:ind w:left="160"/>
              <w:spacing w:after="0"/>
              <w:rPr>
                <w:sz w:val="20"/>
                <w:szCs w:val="20"/>
                <w:color w:val="auto"/>
              </w:rPr>
            </w:pPr>
            <w:r>
              <w:rPr>
                <w:rFonts w:ascii="Arial" w:cs="Arial" w:eastAsia="Arial" w:hAnsi="Arial"/>
                <w:sz w:val="18"/>
                <w:szCs w:val="18"/>
                <w:color w:val="auto"/>
              </w:rPr>
              <w:t>Three payments or less</w:t>
            </w: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841</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3,972</w:t>
            </w: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4"/>
          </w:tcPr>
          <w:p>
            <w:pPr>
              <w:ind w:left="160"/>
              <w:spacing w:after="0"/>
              <w:rPr>
                <w:sz w:val="20"/>
                <w:szCs w:val="20"/>
                <w:color w:val="auto"/>
              </w:rPr>
            </w:pPr>
            <w:r>
              <w:rPr>
                <w:rFonts w:ascii="Arial" w:cs="Arial" w:eastAsia="Arial" w:hAnsi="Arial"/>
                <w:sz w:val="18"/>
                <w:szCs w:val="18"/>
                <w:color w:val="auto"/>
              </w:rPr>
              <w:t>Twelve or more payments</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447</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166</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60" w:type="dxa"/>
            <w:vAlign w:val="bottom"/>
            <w:gridSpan w:val="4"/>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7,257</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8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4"/>
          </w:tcPr>
          <w:p>
            <w:pPr>
              <w:spacing w:after="0"/>
              <w:rPr>
                <w:sz w:val="20"/>
                <w:szCs w:val="20"/>
                <w:color w:val="auto"/>
              </w:rPr>
            </w:pPr>
            <w:r>
              <w:rPr>
                <w:rFonts w:ascii="Arial" w:cs="Arial" w:eastAsia="Arial" w:hAnsi="Arial"/>
                <w:sz w:val="18"/>
                <w:szCs w:val="18"/>
                <w:color w:val="auto"/>
              </w:rPr>
              <w:t>LAE and 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8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89"/>
              </w:rPr>
              <w:t>As of December 31, 2012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0"/>
              </w:rPr>
              <w:t>Reserves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Policies in</w:t>
            </w: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Policies in</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Amount of</w:t>
            </w:r>
          </w:p>
        </w:tc>
        <w:tc>
          <w:tcPr>
            <w:tcW w:w="16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Defaulted</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w w:val="80"/>
              </w:rPr>
              <w:t>Reserves</w:t>
            </w:r>
          </w:p>
        </w:tc>
        <w:tc>
          <w:tcPr>
            <w:tcW w:w="1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Reserves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6"/>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During the year ended December 31, 2013, the provision for losses and LAE was $2.3 million, comprised of $3.0 million of current year losses partially offset by $0.7 million of favorable prior years' loss development. During the year ended December 31, 2012, the provision for losses and LAE was $1.5 million, comprised of $1.6 million of current year losses partially offset by $0.1 million of favorable prior years' loss development. In both periods, the favorable prior years' loss development is the result of a re-estimation of amounts ultimately to be paid on prior year defaults in the default inventory.</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During the year ended December 31, 2013, we paid 16 claims for a total amount of $0.7 million. During the year ended December 31, 2012, we paid one claim for approximately $18,000. Claim severity, representing the total amount of claims paid divided by the related RIF of the defaulted mortgage loans, for the years ended December 31, 2013 and 2012 was 90% and 104%, respectively.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31,624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2,252</w:t>
            </w:r>
          </w:p>
        </w:tc>
        <w:tc>
          <w:tcPr>
            <w:tcW w:w="16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15,156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14,346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71,055</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61,126</w:t>
            </w:r>
          </w:p>
        </w:tc>
        <w:tc>
          <w:tcPr>
            <w:tcW w:w="160" w:type="dxa"/>
            <w:vAlign w:val="bottom"/>
            <w:vMerge w:val="continue"/>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Number of employees at end of period</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209</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underwriting and operating expenses increased to $71.1 million in the year ended December 31, 2013 as compared to $61.1 million in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The significant factors contributing to the change in other underwriting and operating expenses are:</w:t>
      </w:r>
    </w:p>
    <w:p>
      <w:pPr>
        <w:spacing w:after="0" w:line="232" w:lineRule="exact"/>
        <w:rPr>
          <w:sz w:val="20"/>
          <w:szCs w:val="20"/>
          <w:color w:val="auto"/>
        </w:rPr>
      </w:pPr>
    </w:p>
    <w:p>
      <w:pPr>
        <w:ind w:left="1080" w:hanging="532"/>
        <w:spacing w:after="0" w:line="29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 force to 289 at December 31, 2013 from 209 at December 31, 2012. Additional employees were hired to support the growth in our business, particularly in our sales organization, as well as our underwriting and customer service teams. Compensation and benefits also increased as a result of an increase in annual incentive compensation and incremental cash and stock-based compensation. The increase in stock-based compensation is primarily due to the restricted shares and restricted stock units issued to all of employees in connection with our initial public offering.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Compensation and benefits includes salaries, wages and bonus, stock compensation expense, benefits and payroll taxes.</w:t>
      </w:r>
    </w:p>
    <w:p>
      <w:pPr>
        <w:spacing w:after="0" w:line="239" w:lineRule="exact"/>
        <w:rPr>
          <w:sz w:val="20"/>
          <w:szCs w:val="20"/>
          <w:color w:val="auto"/>
        </w:rPr>
      </w:pPr>
    </w:p>
    <w:p>
      <w:pPr>
        <w:ind w:left="1080" w:right="160" w:hanging="532"/>
        <w:spacing w:after="0" w:line="335"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Depreciation and amortization expense decreased in 2013 compared to 2012 as the substantial majority of the assets acquired from Triad were fully depreciated as of November 30, 2012 and the remaining acquired assets were fully amortized as of November 30, 2013. Depreciation and amortization expense associated with these assets during the years ended December 31, 2013 and 2012 was $0.4 and $12.4 million, respectively.</w:t>
      </w:r>
    </w:p>
    <w:p>
      <w:pPr>
        <w:spacing w:after="0" w:line="169" w:lineRule="exact"/>
        <w:rPr>
          <w:rFonts w:ascii="Arial" w:cs="Arial" w:eastAsia="Arial" w:hAnsi="Arial"/>
          <w:sz w:val="15"/>
          <w:szCs w:val="15"/>
          <w:color w:val="auto"/>
        </w:rPr>
      </w:pPr>
    </w:p>
    <w:p>
      <w:pPr>
        <w:ind w:left="1080" w:right="2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expenses, including premium taxes, travel, marketing, hardware, software, rent and other facilities expenses, increased as a result of the expansion of our business. In addition, effective with the completion of our initial public offering, we began to incur certain incremental public company expenses, including insurance and board of director costs.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account for stock based compensation issued to employees using a fair value based method under which we measure the cost of employee services received in exchange for awards of equity instruments based on the grant date fair value of the award. Certain members of senior management were granted nonvested Common Shares in September 2013. The fair value for those grants of $14.50 per Common Share was based on analysis at the time of the grant, provided by the underwriters associated with the offering, regarding the estimated fair value of Essent and the estimated IPO price range of $13.50 to $15.50 per Common Share.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 Employees that were not granted nonvested Common Shares in September 2013 were granted nonvested Common Share units on October 31, 2013. The fair value for those share unit grants was the initial public offering price of $17.00 per Common Share. The increase in the estimated fair value of Common Shares from September 2013 to October 31, 2013 was due to external factors including an increase in the valuations of publicly-traded mortgage insurers during that period and Company-specific factors including the conclusion of the Company's IPO marketing efforts which resulted in an oversubscription at the IPO pricing range and setting the final IPO price at $17.00.</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Subsequent to our initial public offering, quoted market prices were used for the valuation of Common Shares granted to employees.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Our subsidiaries in the United States file a consolidated U.S. Federal income tax return. Our income tax benefit was $7.4 million and $0.3 million for the years ended December 31, 2013 and 2012, respectively. Our effective tax rate was (12.7)% and 2.4% for the years ended December 31, 2013 and 2012, respectively. 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The income tax provision or benefit recognized in prior periods related to changes in our valuation allowance associated with changes in deferred tax liabilities relating to the change in the unrealized gain on our investment portfolio. At June 30, 2013, we concluded that it is more likely than not that our deferred tax assets will be realized. As a result, as of December 31, 2013 we have released the valuation allowance on our deferred tax assets in accordance with Accounting Standard Codification ("ASC") No. 740-</w:t>
      </w:r>
    </w:p>
    <w:p>
      <w:pPr>
        <w:spacing w:after="0" w:line="4"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release of the valuation allowance resulted in the recognition of a net $7.4 million benefit for income taxes for the year ended December 31, 2013.</w:t>
      </w:r>
    </w:p>
    <w:p>
      <w:pPr>
        <w:spacing w:after="0" w:line="24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positive evidence that weighed in favor of releasing the allowance as of June 30, 2013 and ultimately outweighed the negative evidence against releasing the allowance was the following:</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substantial growth in our IIF which has driven the increase in net premiums earned experienced in 2012 and through June 30, 2013;</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increasing level of profitability in the fourth quarter of 2012 and the first two quarters of 2013 and our expectations regarding the sustainability of these profits;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 that we would be in a three-year cumulative income position in 2013;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strong credit profile of the loans we have insured since we began to issue mortgage insurance policies in 2010;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of our IIF and our contractual rights for future premiums from this book of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taxable income for 2012 and our expectations regarding the likelihood of future taxable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current net operating loss carryforwards will be fully utilized in 2013.</w:t>
      </w:r>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Our determination of the amount of deferred tax asset valuation allowance to reverse as of June 30, 2013 was based on the guidance in ASC No. 740-270 regarding accounting for income taxes in interim periods. This guidance distinguishes between amounts that are recognized through the use of an estimated annual effective tax rate applied to year-to-date operating results and specific events that are discretely recognized as they occur. Under ASC No. 740-270, the tax benefit of an operating loss carryforward from prior years shall be included in the effective tax rate computation if the tax benefit is expected to be realized as a result of ordinary income in the current year. Otherwise, the tax benefit shall be recognized in each interim period to the extent that income in the period and for the year to date is available to offset the operating loss carryforward or, in the case of a change in judgment about realizability of the related deferred tax asset in future years, the effect shall be recognized in the interim period in which the change occurs. We estimated our pretax income for the year to determine the amount of tax benefit that was expected to be realized from ordinary income in 2013 and that amount was used to reduce tax expense from continuing operations to zero. The remainder of the tax benefit resulted from a change in estimate of future years' income and was recognized as a discrete benefit in the year ended December 31, 2013. At December 31, 2013, the valuation allowance was zero. Starting in 2014, we expect that our effective tax rate will approach the statutory tax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the years ended December 31, 2012 and 2011, we reported net losses of $13.5 million and $33.6 million, respectively. The reduction in our net loss in 2012 compared to 2011 was primarily due to an increase in net premiums earned and net investment income, partially offset by increases in other underwriting and operating expenses and the provision for losses and LAE.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Net premiums earned increased in the year ended December 31, 2012 by 411% compared to the year ended December 31, 2011 primarily due to the increase in our average IIF to $7.6 billion for the year ended December 31, 2012 from $1.4 billion for the year ended December 31, 2011. The favorable impact of the increase in IIF on net premium earned was partially offset by a reduction in the average premium rate from 0.59% in 2011 to 0.55% in 2012. Net premiums written increased in the year ended December 31, 2012 by 307% over the prior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During the year ended December 31, 2012, unearned premiums increased by $30.9 million as a result of net premiums written on single premium policies of $35.7 million partially offset by $4.8 million of unearned premium that was recognized in earnings during the year. During the year ended December 31, 2011, unearned premiums increased by $9.7 million as a result of net premiums written on single premium policies of $10.3 million partially offset by $0.6 million of unearned premium that was recognized during the year.</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net investment income were derived from the following sources: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increase in net investment income during the year ended December 31, 2012 as compared to the year ended December 31, 2011 is primarily due to an increase in the size of our investment portfolio as a result of capital contributions from our initial investors and cash flows generated from operations, as well as an increase in the pre-tax investment income yield. The average cash and investment portfolio balance was $214.0 million and $179.2 million in 2012 and 2011, respectively. The pre-tax investment income yield increased from 0.86% in 2011 to 1.2% in 2012. The increase in the pre-tax investment income is primarily due to a decrease in the portion of the portfolio invested in U.S. Treasury and Agency bonds and an increase in the allocation to higher yielding investment grade corporate, municipal and asset backed securities and an extension of the portfolio duration from 2.3 years at December 31, 2011 to 3.1 years at December 31, 2012.</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and contract underwriting revenues. The decline in other income is primarily due to the decline in service fee income from Triad of $4.7 million in 2011 to $3.8 million in 2012 as a result of a reduction in Triad's mortgage insurance policies in force. This fee will continue to decline in future periods as Triad's existing policies are cancelled. Offsetting the decrease in service fee income from Triad is an increase in contract underwriting revenue to $0.7 million in the year ended December 31, 2012 from less than $0.1 million in the year ended December 31, 2011 primarily due to an increase in the number of customers using the service.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provision for losses and LAE increased from $0.1 million in 2011 to $1.5 million in 2012 because of an increase in the number of new insured loans in default partially offset by previously identified defaults that cured.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Beginning default inventory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Plus: new defaults</w:t>
            </w: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cures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Less: claims paid</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Ending default inventory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0"/>
        </w:trPr>
        <w:tc>
          <w:tcPr>
            <w:tcW w:w="6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increase in the number of defaults at December 31, 2012 compared to December 31, 2011 is primarily due to an increase in our IIF and policies in force and an increase in the average age of the insurance portfolio.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include additional information about our loans in default as of the dates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Case reserves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Ending default inventory</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Average direct reserve per default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24,860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18,515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Default rate</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Claims received included in ending default inventory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increase in the average reserve per default is primarily due to changes in the composition (such as mark-to-market loan to value ratios, risk in force, and number of months past due) of the underlying loans in default. The primary factor contributing to the increase in the average reserve per default from December 31, 2011 to December 31, 2012 is an increase in the average RIF of the default inventory.</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rPr>
                <w:sz w:val="14"/>
                <w:szCs w:val="14"/>
                <w:color w:val="auto"/>
              </w:rPr>
            </w:pPr>
          </w:p>
        </w:tc>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7"/>
              </w:rPr>
              <w:t>($ in thousands)</w:t>
            </w:r>
          </w:p>
        </w:tc>
        <w:tc>
          <w:tcPr>
            <w:tcW w:w="2660" w:type="dxa"/>
            <w:vAlign w:val="bottom"/>
            <w:vMerge w:val="restart"/>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Reserve for losses and LAE at beginning of year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Add provision for losses and LAE occurring in:</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rPr>
              <w:t>Prior years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losses during the current year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60" w:type="dxa"/>
            <w:vAlign w:val="bottom"/>
            <w:gridSpan w:val="3"/>
          </w:tcPr>
          <w:p>
            <w:pPr>
              <w:ind w:left="1720"/>
              <w:spacing w:after="0"/>
              <w:rPr>
                <w:sz w:val="20"/>
                <w:szCs w:val="20"/>
                <w:color w:val="auto"/>
              </w:rPr>
            </w:pPr>
            <w:r>
              <w:rPr>
                <w:rFonts w:ascii="Arial" w:cs="Arial" w:eastAsia="Arial" w:hAnsi="Arial"/>
                <w:sz w:val="18"/>
                <w:szCs w:val="18"/>
                <w:color w:val="auto"/>
                <w:w w:val="93"/>
              </w:rPr>
              <w:t>Deduct payments for losses and LAE occurring in:</w:t>
            </w:r>
          </w:p>
        </w:tc>
        <w:tc>
          <w:tcPr>
            <w:tcW w:w="2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rPr>
              <w:t>Prior years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and LAE payments during the current year</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3"/>
          </w:tcPr>
          <w:p>
            <w:pPr>
              <w:ind w:left="1720"/>
              <w:spacing w:after="0"/>
              <w:rPr>
                <w:sz w:val="20"/>
                <w:szCs w:val="20"/>
                <w:color w:val="auto"/>
              </w:rPr>
            </w:pPr>
            <w:r>
              <w:rPr>
                <w:rFonts w:ascii="Arial" w:cs="Arial" w:eastAsia="Arial" w:hAnsi="Arial"/>
                <w:sz w:val="18"/>
                <w:szCs w:val="18"/>
                <w:color w:val="auto"/>
              </w:rPr>
              <w:t>Reserve for losses and LAE at end of year</w:t>
            </w:r>
          </w:p>
        </w:tc>
        <w:tc>
          <w:tcPr>
            <w:tcW w:w="28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1,499</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57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60" w:type="dxa"/>
            <w:vAlign w:val="bottom"/>
            <w:vMerge w:val="restart"/>
          </w:tcPr>
          <w:p>
            <w:pPr>
              <w:jc w:val="right"/>
              <w:ind w:right="2432"/>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3"/>
              </w:rPr>
              <w:t>As of December 31, 2012</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Reserves as 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of Policies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of Policies</w:t>
            </w:r>
          </w:p>
        </w:tc>
        <w:tc>
          <w:tcPr>
            <w:tcW w:w="12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Percentage</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Defaulted</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 Default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Default</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of Reserves</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of Reserves</w:t>
            </w:r>
          </w:p>
        </w:tc>
        <w:tc>
          <w:tcPr>
            <w:tcW w:w="160" w:type="dxa"/>
            <w:vAlign w:val="bottom"/>
          </w:tcPr>
          <w:p>
            <w:pPr>
              <w:spacing w:after="0"/>
              <w:rPr>
                <w:sz w:val="14"/>
                <w:szCs w:val="14"/>
                <w:color w:val="auto"/>
              </w:rPr>
            </w:pPr>
          </w:p>
        </w:tc>
        <w:tc>
          <w:tcPr>
            <w:tcW w:w="560" w:type="dxa"/>
            <w:vAlign w:val="bottom"/>
          </w:tcPr>
          <w:p>
            <w:pPr>
              <w:jc w:val="center"/>
              <w:ind w:right="116"/>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28%</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w w:val="88"/>
              </w:rPr>
              <w:t>As of December 31, 2011</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0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79"/>
              </w:rPr>
              <w:t>Percentage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Reserves as 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1"/>
              </w:rPr>
              <w:t>of Policies</w:t>
            </w:r>
          </w:p>
        </w:tc>
        <w:tc>
          <w:tcPr>
            <w:tcW w:w="20" w:type="dxa"/>
            <w:vAlign w:val="bottom"/>
          </w:tcPr>
          <w:p>
            <w:pPr>
              <w:spacing w:after="0"/>
              <w:rPr>
                <w:sz w:val="12"/>
                <w:szCs w:val="12"/>
                <w:color w:val="auto"/>
              </w:rPr>
            </w:pPr>
          </w:p>
        </w:tc>
        <w:tc>
          <w:tcPr>
            <w:tcW w:w="12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of Policies in</w:t>
            </w:r>
          </w:p>
        </w:tc>
        <w:tc>
          <w:tcPr>
            <w:tcW w:w="12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Percentage</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Defaulted</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 Default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Default</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of Reserves</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of Reserves</w:t>
            </w:r>
          </w:p>
        </w:tc>
        <w:tc>
          <w:tcPr>
            <w:tcW w:w="160" w:type="dxa"/>
            <w:vAlign w:val="bottom"/>
          </w:tcPr>
          <w:p>
            <w:pPr>
              <w:spacing w:after="0"/>
              <w:rPr>
                <w:sz w:val="14"/>
                <w:szCs w:val="14"/>
                <w:color w:val="auto"/>
              </w:rPr>
            </w:pPr>
          </w:p>
        </w:tc>
        <w:tc>
          <w:tcPr>
            <w:tcW w:w="560" w:type="dxa"/>
            <w:vAlign w:val="bottom"/>
          </w:tcPr>
          <w:p>
            <w:pPr>
              <w:jc w:val="center"/>
              <w:ind w:right="116"/>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the year ended December 31, 2012, the provision for losses and LAE was $1.5 million, comprised of $1.6 million of current year loss development partially offset by $0.1 million of favorable prior years' loss development, as a result of a re-estimation of amounts to be paid on prior year defaults in the default inventory. During the year ended December 31, 2011, net losses incurred were $0.1 million, comprised solely of current year loss development. Given the small number of defaults in 2011, management established case reserves based upon a specific review of each loan in default and considering factors such as subsequent performance and policy deductibles.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 ended December 31, 2012, we paid one claim for approximately $18,000. We paid no claims during 2011.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31,624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 $</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24,011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15,156</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13,591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14,346</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11,179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61,126</w:t>
            </w:r>
          </w:p>
        </w:tc>
        <w:tc>
          <w:tcPr>
            <w:tcW w:w="160" w:type="dxa"/>
            <w:vAlign w:val="bottom"/>
            <w:vMerge w:val="continue"/>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 $</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48,781</w:t>
            </w:r>
          </w:p>
        </w:tc>
        <w:tc>
          <w:tcPr>
            <w:tcW w:w="160" w:type="dxa"/>
            <w:vAlign w:val="bottom"/>
            <w:vMerge w:val="continue"/>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Number of employees at end of period</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209</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157</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Other underwriting and operating expenses increased to $61.1 million during the year ended December 31, 2012 as compared to $48.8 million for the year ended December 31, 2011. The significant factors contributing to the change in other underwriting and operating expenses are:</w:t>
      </w:r>
    </w:p>
    <w:p>
      <w:pPr>
        <w:spacing w:after="0" w:line="153" w:lineRule="exact"/>
        <w:rPr>
          <w:sz w:val="20"/>
          <w:szCs w:val="20"/>
          <w:color w:val="auto"/>
        </w:rPr>
      </w:pPr>
    </w:p>
    <w:p>
      <w:pPr>
        <w:ind w:left="1080" w:right="20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and benefits increased due to the increase in our work force to 209 at December 31, 2012 from 157 employees at December 31, 2011. Additional employees were hired to support the growth in our business, particularly in our sales organization, as well as our underwriting and customer service teams. Compensation and benefits is composed of cash compensation, including salaries, wages and bonus, stock compensation expense, benefits and payroll taxes.</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expense increased in 2012 compared to 2011 primarily due to an increase in the depreciation on the assets acquired from Triad as well as depreciation and amortization for additional property and equipment acquired.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expenses, including premium taxes, travel, marketing, hardware, software, rent and other facilities expenses, increased as a result of the expansion of our business.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benefit was $0.3 million and $0.9 million for the years ended December 31, 2012 and 2011, respectively. Our effective tax rate was 2.4% and 2.6% for the years ended December 31, 2012 and 2011, respectively. As of December 31, 2012 and 2011, and the years then ended, we had a full valuation allowance recorded against deferred tax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sources of funds consist primarily of:</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obligations consist primarily of:</w:t>
      </w:r>
    </w:p>
    <w:p>
      <w:pPr>
        <w:spacing w:after="0" w:line="23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of December 31, 2013, we had substantial liquidity in addition to our investment portfolio, with $477.7 million of cash, which includes $244.2 million at the holding company. Our cash position increased during the year ended December 31, 2013 primarily as a result of net proceeds of $313.7 million from our initial public offering of Common Shares which was completed in November 2013, $123.9 million in net capital contributions received from our initial investors plus cash flows from operations, net of amounts invested in our fixed income portfolio. As of December 31, 2013, we have $810.2 million in cash and investments and no debt.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insurance portfolio, or to fund new business initiatives.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5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insurance subsidiaries are subject to certain capital and dividend rules and regulations prescribed by jurisdictions in which it is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2013, Essent Guaranty, Inc. had negative unassigned surplus and therefore would require prior approval by the Pennsylvania Insurance Commissioner to make any dividend payment or other distributions in 2014. At December 31, 2013, Essent PA, Inc. had unassigned surplus of less than $1 million. In December 2013, Essent Guaranty of PA, Inc. paid a $5,000 dividend to Essent US Holdings, Inc. Essent Guaranty, Inc. has paid no dividends since its inception. At December 31, 2013, our insurance subsidiaries were in compliance with these rules and regulations.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as a condition to its approval from Freddie Mac, until December 31, 2013, Essent Guaranty, Inc. was required to maintain a risk-to-capital ratio of no greater than 20.0:1.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119,008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36,639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(96,760)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(79,729)</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433,092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20,390</w:t>
            </w: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Net increase in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455,340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 provided by operations totaled $119.0 million for the year ended December 31, 2013 as compared to cash provided by operating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$36.6 million for the year ended December 31, 2012 and cash flow used in operations of $8.2 million for the year ended December 31, 2011. The increase in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flow from operations of $82.4 million in 2013 and $44.8 million in 2012 was a result of increases in premium collected and net investment income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an increase in expenses paid and a decrease in other income in both periods.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 used in investing activities totaled $96.8 million for the year ended December 31, 2013 as compared to cash used in investing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$79.7 million for the year ended December 31, 2012. The increase in cash flow used in investing activities was primarily related to investing a portion of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from our initial investors and cash flows from the business.</w:t>
      </w:r>
    </w:p>
    <w:p>
      <w:pPr>
        <w:spacing w:after="0" w:line="219" w:lineRule="exact"/>
        <w:rPr>
          <w:sz w:val="20"/>
          <w:szCs w:val="20"/>
          <w:color w:val="auto"/>
        </w:rPr>
      </w:pPr>
    </w:p>
    <w:p>
      <w:pPr>
        <w:ind w:right="840" w:firstLine="351"/>
        <w:spacing w:after="0" w:line="259" w:lineRule="auto"/>
        <w:rPr>
          <w:sz w:val="20"/>
          <w:szCs w:val="20"/>
          <w:color w:val="auto"/>
        </w:rPr>
      </w:pPr>
      <w:r>
        <w:rPr>
          <w:rFonts w:ascii="Arial" w:cs="Arial" w:eastAsia="Arial" w:hAnsi="Arial"/>
          <w:sz w:val="18"/>
          <w:szCs w:val="18"/>
          <w:color w:val="auto"/>
        </w:rPr>
        <w:t>Cash flow used in investing activities totaled $79.7 million for the year ended December 31, 2012 as compared to $9.2 million for the year ended December 31, 2011. The increase in cash flow used in investing activities of $70.5 million was primarily related to the purchase of investments from December 31, 2011 to December 31, 2012.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 provided by financing activities totaled $433.1 million for the year ended December 31, 2013 as compared to cash provided by financing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of $46.9 million for the year ended December 31, 2012. In November 2013, the Company completed an initial public offering of Common Shares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$313.7 million in net proceeds, net of offering costs. In June and March 2013, the Company issued Class A common shares to its initial investors for net proceeds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$123.9 million. These cash inflows were partially offset by payments made to Triad under the asset purchase agreement. Cash provided by financing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the year ended December 31, 2012 were principally due to Class A common shares issued to initial investors partially offset by the payment of the 2011 annual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fee to initial investors and payments to Triad under the Asset Purchase Agreement. The annual fee was waived by our initial investors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thereafter.</w:t>
      </w:r>
    </w:p>
    <w:p>
      <w:pPr>
        <w:spacing w:after="0" w:line="219"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Cash flow provided by financing activities totaled $46.9 million for the year ended December 31, 2012 as compared to cash flow provided by financing activities of $20.4 million for the year ended December 31, 2011. The increase in cash flow provided by financing activities of $26.5 million was primarily related to issuance of equity to our initial investors for net proceeds of $54.5 million in 2012 versus $24.8 million in 2011.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We compute our risk to capital ratio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combined risk to capital calculation as of December 31, 2013 is as follows:</w:t>
      </w:r>
    </w:p>
    <w:p>
      <w:pPr>
        <w:spacing w:after="0" w:line="22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Combined statutory capital:</w:t>
      </w:r>
    </w:p>
    <w:p>
      <w:pPr>
        <w:ind w:left="1720"/>
        <w:spacing w:after="0" w:line="221" w:lineRule="auto"/>
        <w:rPr>
          <w:sz w:val="20"/>
          <w:szCs w:val="20"/>
          <w:color w:val="auto"/>
        </w:rPr>
      </w:pPr>
      <w:r>
        <w:rPr>
          <w:rFonts w:ascii="Arial" w:cs="Arial" w:eastAsia="Arial" w:hAnsi="Arial"/>
          <w:sz w:val="14"/>
          <w:szCs w:val="14"/>
          <w:b w:val="1"/>
          <w:bCs w:val="1"/>
          <w:color w:val="auto"/>
        </w:rPr>
        <w:t>($ in thousands)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Policyholders' surplus</w:t>
            </w:r>
          </w:p>
        </w:tc>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382,645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86,779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statutory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469,424</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Combined net risk in force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7,765,586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risk to capital ratio</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additional information regarding regulatory capital see Note 17 to our consolidated financial statements. Our combined statutory capital equals the sum of statutory capital of Essent Guaranty, Inc. plus Essent Guaranty of PA, Inc., after eliminating the impact of intercompany transactions. The combined risk to 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financial strength of Essent Guaranty, our principal mortgage insurance subsidiary, is rated Baa2 by Moody's Investors Service ("Moody's") with a stable outlook. Standard &amp; Poor's Rating Services' ("S&amp;P") insurer financial strength rating of Essent Guaranty is BBB+ with a stable outlook.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December 31, 2013, stockholders' equity was $722.1 million compared to $219.1 million as of December 31, 2012. This increase was primarily due to net proceeds of $313.7 million from our initial public offering, $123.9 million in net capital contributions received from our initial investors as well as net income generated in 2013.</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As of December 31, 2013, the total fair value of our investment portfolio was $332.6 million, compared to $247.4 million as of December 31, 2012. In addition, our total cash was $477.7 million as of December 31, 2013, compared to $22.3 million as of December 31, 2012. This increase was primarily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due to $313.7 million in net proceeds from our initial public offering, capital contributions in the form of cash that was received in 2013, and cash flows from operations which had not been fully invested as of December 31, 2013.</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Investment Portfolio by Asset Class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Class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Pr>
          <w:p>
            <w:pPr>
              <w:spacing w:after="0"/>
              <w:rPr>
                <w:sz w:val="14"/>
                <w:szCs w:val="14"/>
                <w:color w:val="auto"/>
              </w:rPr>
            </w:pPr>
          </w:p>
        </w:tc>
        <w:tc>
          <w:tcPr>
            <w:tcW w:w="15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29"/>
        </w:trPr>
        <w:tc>
          <w:tcPr>
            <w:tcW w:w="3620" w:type="dxa"/>
            <w:vAlign w:val="bottom"/>
            <w:gridSpan w:val="4"/>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2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Percent</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14,839</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19,593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57,650</w:t>
            </w: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37,654</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125,593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18,581</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Money market investments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14,079</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332,555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247,414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400" w:hanging="540"/>
        <w:spacing w:after="0" w:line="268" w:lineRule="auto"/>
        <w:tabs>
          <w:tab w:leader="none" w:pos="2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municipal securities are general obligation bonds. For information regarding the amortized cost and fair value of the municipal debt securities, see Note 4 to our consolidated financial statements.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Investment Portfolio by Rating</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Rating(1)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Pr>
          <w:p>
            <w:pPr>
              <w:spacing w:after="0"/>
              <w:rPr>
                <w:sz w:val="14"/>
                <w:szCs w:val="14"/>
                <w:color w:val="auto"/>
              </w:rPr>
            </w:pPr>
          </w:p>
        </w:tc>
        <w:tc>
          <w:tcPr>
            <w:tcW w:w="154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29"/>
        </w:trPr>
        <w:tc>
          <w:tcPr>
            <w:tcW w:w="4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gridSpan w:val="2"/>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32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Aaa</w:t>
            </w:r>
          </w:p>
        </w:tc>
        <w:tc>
          <w:tcPr>
            <w:tcW w:w="104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jc w:val="right"/>
              <w:ind w:right="2"/>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2"/>
              </w:rPr>
              <w:t>147,862</w:t>
            </w: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gridSpan w:val="2"/>
            <w:shd w:val="clear" w:color="auto" w:fill="CCEEFF"/>
          </w:tcPr>
          <w:p>
            <w:pPr>
              <w:jc w:val="right"/>
              <w:ind w:right="92"/>
              <w:spacing w:after="0" w:line="189" w:lineRule="exact"/>
              <w:rPr>
                <w:sz w:val="20"/>
                <w:szCs w:val="20"/>
                <w:color w:val="auto"/>
              </w:rPr>
            </w:pPr>
            <w:r>
              <w:rPr>
                <w:rFonts w:ascii="Arial" w:cs="Arial" w:eastAsia="Arial" w:hAnsi="Arial"/>
                <w:sz w:val="18"/>
                <w:szCs w:val="18"/>
                <w:color w:val="auto"/>
              </w:rPr>
              <w:t>44.5%</w:t>
            </w: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159,763</w:t>
            </w:r>
          </w:p>
        </w:tc>
        <w:tc>
          <w:tcPr>
            <w:tcW w:w="920" w:type="dxa"/>
            <w:vAlign w:val="bottom"/>
            <w:tcBorders>
              <w:top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Aa1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21,570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13,317</w:t>
            </w:r>
          </w:p>
        </w:tc>
        <w:tc>
          <w:tcPr>
            <w:tcW w:w="920" w:type="dxa"/>
            <w:vAlign w:val="bottom"/>
            <w:gridSpan w:val="3"/>
          </w:tcPr>
          <w:p>
            <w:pPr>
              <w:jc w:val="right"/>
              <w:ind w:right="7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Aa2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w:t>
            </w:r>
          </w:p>
        </w:tc>
        <w:tc>
          <w:tcPr>
            <w:tcW w:w="9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Aa3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11,902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4,031</w:t>
            </w:r>
          </w:p>
        </w:tc>
        <w:tc>
          <w:tcPr>
            <w:tcW w:w="920" w:type="dxa"/>
            <w:vAlign w:val="bottom"/>
            <w:gridSpan w:val="3"/>
          </w:tcPr>
          <w:p>
            <w:pPr>
              <w:jc w:val="right"/>
              <w:ind w:right="7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26,541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9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A2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17,045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16,521</w:t>
            </w:r>
          </w:p>
        </w:tc>
        <w:tc>
          <w:tcPr>
            <w:tcW w:w="920" w:type="dxa"/>
            <w:vAlign w:val="bottom"/>
            <w:gridSpan w:val="3"/>
          </w:tcPr>
          <w:p>
            <w:pPr>
              <w:jc w:val="right"/>
              <w:ind w:right="7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9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Baa1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24,441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6,321</w:t>
            </w:r>
          </w:p>
        </w:tc>
        <w:tc>
          <w:tcPr>
            <w:tcW w:w="920" w:type="dxa"/>
            <w:vAlign w:val="bottom"/>
            <w:gridSpan w:val="3"/>
          </w:tcPr>
          <w:p>
            <w:pPr>
              <w:jc w:val="right"/>
              <w:ind w:right="7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Baa2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30,782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9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Baa3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1,542</w:t>
            </w:r>
          </w:p>
        </w:tc>
        <w:tc>
          <w:tcPr>
            <w:tcW w:w="920" w:type="dxa"/>
            <w:vAlign w:val="bottom"/>
            <w:gridSpan w:val="3"/>
          </w:tcPr>
          <w:p>
            <w:pPr>
              <w:jc w:val="right"/>
              <w:ind w:right="7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Below Baa3-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332,555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247,414</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left="5620" w:right="2180" w:hanging="3900"/>
        <w:spacing w:after="0" w:line="519" w:lineRule="auto"/>
        <w:tabs>
          <w:tab w:leader="none" w:pos="22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by Effective Duration</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Effective Duration</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w w:val="84"/>
              </w:rPr>
              <w:t>December 31, 2013</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85"/>
              </w:rPr>
              <w:t>December 31, 2012</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5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6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&lt; 1 Year</w:t>
            </w:r>
          </w:p>
        </w:tc>
        <w:tc>
          <w:tcPr>
            <w:tcW w:w="190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65,092</w:t>
            </w:r>
          </w:p>
        </w:tc>
        <w:tc>
          <w:tcPr>
            <w:tcW w:w="10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33,345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1 to &lt; 2 Years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19,093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41,712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 to &lt; 3 Years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74,335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3 to &lt; 4 Years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63,214</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42,516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 to &lt; 5 Years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66,230</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47,469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5 or more Years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44,591</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48,897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7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332,555</w:t>
            </w: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247,414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gridSpan w:val="7"/>
          </w:tcPr>
          <w:p>
            <w:pPr>
              <w:ind w:left="420"/>
              <w:spacing w:after="0"/>
              <w:rPr>
                <w:sz w:val="20"/>
                <w:szCs w:val="20"/>
                <w:color w:val="auto"/>
              </w:rPr>
            </w:pPr>
            <w:r>
              <w:rPr>
                <w:rFonts w:ascii="Arial" w:cs="Arial" w:eastAsia="Arial" w:hAnsi="Arial"/>
                <w:sz w:val="18"/>
                <w:szCs w:val="18"/>
                <w:b w:val="1"/>
                <w:bCs w:val="1"/>
                <w:color w:val="auto"/>
                <w:w w:val="96"/>
              </w:rPr>
              <w:t>Top Ten Portfolio Holdings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Rank</w:t>
            </w:r>
          </w:p>
        </w:tc>
        <w:tc>
          <w:tcPr>
            <w:tcW w:w="3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December 31, 2013</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40" w:type="dxa"/>
            <w:vAlign w:val="bottom"/>
            <w:gridSpan w:val="6"/>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0"/>
              </w:rPr>
              <w:t>Amortized</w:t>
            </w:r>
          </w:p>
        </w:tc>
        <w:tc>
          <w:tcPr>
            <w:tcW w:w="80" w:type="dxa"/>
            <w:vAlign w:val="bottom"/>
          </w:tcPr>
          <w:p>
            <w:pPr>
              <w:spacing w:after="0"/>
              <w:rPr>
                <w:sz w:val="11"/>
                <w:szCs w:val="11"/>
                <w:color w:val="auto"/>
              </w:rPr>
            </w:pPr>
          </w:p>
        </w:tc>
        <w:tc>
          <w:tcPr>
            <w:tcW w:w="11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rPr>
              <w:t>Unrealized</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Moody's</w:t>
            </w:r>
          </w:p>
        </w:tc>
        <w:tc>
          <w:tcPr>
            <w:tcW w:w="0" w:type="dxa"/>
            <w:vAlign w:val="bottom"/>
          </w:tcPr>
          <w:p>
            <w:pPr>
              <w:spacing w:after="0"/>
              <w:rPr>
                <w:sz w:val="1"/>
                <w:szCs w:val="1"/>
                <w:color w:val="auto"/>
              </w:rPr>
            </w:pPr>
          </w:p>
        </w:tc>
      </w:tr>
      <w:tr>
        <w:trPr>
          <w:trHeight w:val="161"/>
        </w:trPr>
        <w:tc>
          <w:tcPr>
            <w:tcW w:w="2740" w:type="dxa"/>
            <w:vAlign w:val="bottom"/>
            <w:gridSpan w:val="6"/>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1520" w:type="dxa"/>
            <w:vAlign w:val="bottom"/>
            <w:gridSpan w:val="2"/>
          </w:tcPr>
          <w:p>
            <w:pPr>
              <w:ind w:left="960"/>
              <w:spacing w:after="0"/>
              <w:rPr>
                <w:sz w:val="20"/>
                <w:szCs w:val="20"/>
                <w:color w:val="auto"/>
              </w:rPr>
            </w:pPr>
            <w:r>
              <w:rPr>
                <w:rFonts w:ascii="Arial" w:cs="Arial" w:eastAsia="Arial" w:hAnsi="Arial"/>
                <w:sz w:val="14"/>
                <w:szCs w:val="14"/>
                <w:b w:val="1"/>
                <w:bCs w:val="1"/>
                <w:color w:val="auto"/>
                <w:w w:val="97"/>
              </w:rPr>
              <w:t>Security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Gain (Loss)(1)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1"/>
              </w:rPr>
              <w:t>Rating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U.S. T-Note 2% 4/30/2016</w:t>
            </w:r>
          </w:p>
        </w:tc>
        <w:tc>
          <w:tcPr>
            <w:tcW w:w="360" w:type="dxa"/>
            <w:vAlign w:val="bottom"/>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color w:val="auto"/>
                <w:w w:val="93"/>
              </w:rPr>
              <w:t>U.S. T-Note 2.125% 2/29/2016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89"/>
              </w:rPr>
              <w:t>U.S. T-Note 2.625% 12/31/2014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color w:val="auto"/>
                <w:w w:val="93"/>
              </w:rPr>
              <w:t>U.S. T-Note 2.375% 6/30/2018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93"/>
              </w:rPr>
              <w:t>U.S. T-Note 1.625% 8/15/2022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color w:val="auto"/>
                <w:w w:val="93"/>
              </w:rPr>
              <w:t>Goldman Sachs CMBS 2007-1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(201)</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93"/>
              </w:rPr>
              <w:t>U.S. T-Note 1.375% 9/30/2018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color w:val="auto"/>
                <w:w w:val="93"/>
              </w:rPr>
              <w:t>U.S. T-Note 3.625% 2/15/2021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96"/>
              </w:rPr>
              <w:t>Freddie Mac 3.0% 30 Yr MBS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color w:val="auto"/>
                <w:w w:val="97"/>
              </w:rPr>
              <w:t>Scholar Funding ABS 2013-A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47,462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Percent of Investment Portfolio</w:t>
            </w: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gridSpan w:val="6"/>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14.3%</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8" w:lineRule="auto"/>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 of December 31, 2013, for securities in unrealized loss positions, management believes decline in fair values is principally associated with the changes in the interest rate environment subsequent to their purchase and there are no other than temporary impairments. Also, see Note 4 to our consolidated financial statements, which summarizes the aggregate amount of gross unrealized losses by asset class in which the fair value of investments has been less than cost for more than 12 months and less than 12 months.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Rank</w:t>
            </w:r>
          </w:p>
        </w:tc>
        <w:tc>
          <w:tcPr>
            <w:tcW w:w="23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9"/>
              </w:rPr>
              <w:t>December 31, 2012</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380" w:type="dxa"/>
            <w:vAlign w:val="bottom"/>
          </w:tcPr>
          <w:p>
            <w:pPr>
              <w:ind w:left="940"/>
              <w:spacing w:after="0"/>
              <w:rPr>
                <w:sz w:val="20"/>
                <w:szCs w:val="20"/>
                <w:color w:val="auto"/>
              </w:rPr>
            </w:pPr>
            <w:r>
              <w:rPr>
                <w:rFonts w:ascii="Arial" w:cs="Arial" w:eastAsia="Arial" w:hAnsi="Arial"/>
                <w:sz w:val="14"/>
                <w:szCs w:val="14"/>
                <w:b w:val="1"/>
                <w:bCs w:val="1"/>
                <w:color w:val="auto"/>
              </w:rPr>
              <w:t>Security</w:t>
            </w:r>
          </w:p>
        </w:tc>
        <w:tc>
          <w:tcPr>
            <w:tcW w:w="160" w:type="dxa"/>
            <w:vAlign w:val="bottom"/>
          </w:tcPr>
          <w:p>
            <w:pPr>
              <w:spacing w:after="0"/>
              <w:rPr>
                <w:sz w:val="14"/>
                <w:szCs w:val="14"/>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3440" w:type="dxa"/>
            <w:vAlign w:val="bottom"/>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T-Note 2% 4/30/2016</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w:t>
            </w:r>
          </w:p>
        </w:tc>
        <w:tc>
          <w:tcPr>
            <w:tcW w:w="344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5"/>
              </w:rPr>
              <w:t>U.S. T-Note 2.125% 2/29/2016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4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2"/>
              </w:rPr>
              <w:t>U.S. T-Note 2.625% 12/31/2014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4</w:t>
            </w:r>
          </w:p>
        </w:tc>
        <w:tc>
          <w:tcPr>
            <w:tcW w:w="344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U.S. T-Note 1% 5/15/2014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4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5"/>
              </w:rPr>
              <w:t>U.S. T-Note 1.625% 8/15/2022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6</w:t>
            </w:r>
          </w:p>
        </w:tc>
        <w:tc>
          <w:tcPr>
            <w:tcW w:w="344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5"/>
              </w:rPr>
              <w:t>U.S. T-Note 2.375% 6/30/2018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4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w w:val="95"/>
              </w:rPr>
              <w:t>U.S. T-Note 3.625% 2/15/2021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8</w:t>
            </w:r>
          </w:p>
        </w:tc>
        <w:tc>
          <w:tcPr>
            <w:tcW w:w="344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5"/>
              </w:rPr>
              <w:t>U.S. T-Note 1.375% 9/30/2018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4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U.S. T-Bill 3/21/2013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10</w:t>
            </w:r>
          </w:p>
        </w:tc>
        <w:tc>
          <w:tcPr>
            <w:tcW w:w="344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9"/>
              </w:rPr>
              <w:t>Freddie Mac 3.5% 30 Yr MBS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50,606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Percent of Investment Portfolio</w:t>
            </w: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520" w:type="dxa"/>
            <w:vAlign w:val="bottom"/>
            <w:gridSpan w:val="3"/>
            <w:vMerge w:val="continue"/>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20.5</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includes municipal securities for states that represent more than 10% of the total municipal bond position as of December 31, 2013:</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Amortized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r>
      <w:tr>
        <w:trPr>
          <w:trHeight w:val="161"/>
        </w:trPr>
        <w:tc>
          <w:tcPr>
            <w:tcW w:w="532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Rating(1),(2)</w:t>
            </w:r>
          </w:p>
        </w:tc>
      </w:tr>
      <w:tr>
        <w:trPr>
          <w:trHeight w:val="210"/>
        </w:trPr>
        <w:tc>
          <w:tcPr>
            <w:tcW w:w="2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Ohio</w:t>
            </w:r>
          </w:p>
        </w:tc>
        <w:tc>
          <w:tcPr>
            <w:tcW w:w="424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Cleveland, Ohio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1,342</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A1</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Dublin, Ohio City Schools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Ohio State</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2,359</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Aa1</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Dublin, Ohio City Schools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6,579</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Rockwall County, Texas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Aa2</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Houston, Texas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2,429</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Cypress-Fairbanks, Texas</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2,252</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Dallas County, Texas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Pasadena, Texas Independent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Aaa</w:t>
            </w: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7,789</w:t>
            </w:r>
          </w:p>
        </w:tc>
        <w:tc>
          <w:tcPr>
            <w:tcW w:w="820" w:type="dxa"/>
            <w:vAlign w:val="bottom"/>
            <w:shd w:val="clear" w:color="auto" w:fill="CCEEFF"/>
          </w:tcPr>
          <w:p>
            <w:pPr>
              <w:spacing w:after="0"/>
              <w:rPr>
                <w:sz w:val="18"/>
                <w:szCs w:val="18"/>
                <w:color w:val="auto"/>
              </w:rPr>
            </w:pPr>
          </w:p>
        </w:tc>
      </w:tr>
      <w:tr>
        <w:trPr>
          <w:trHeight w:val="210"/>
        </w:trPr>
        <w:tc>
          <w:tcPr>
            <w:tcW w:w="53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221" w:lineRule="exact"/>
        <w:rPr>
          <w:sz w:val="20"/>
          <w:szCs w:val="20"/>
          <w:color w:val="auto"/>
        </w:rPr>
      </w:pPr>
    </w:p>
    <w:p>
      <w:pPr>
        <w:ind w:left="2260" w:right="60" w:hanging="540"/>
        <w:spacing w:after="0" w:line="268" w:lineRule="auto"/>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utilized if Moody's is not available.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2013, the approximate future payments under our contractual obligations of the type described in the table below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496"/>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99"/>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1 - 3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b w:val="1"/>
                <w:bCs w:val="1"/>
                <w:color w:val="auto"/>
                <w:w w:val="84"/>
              </w:rPr>
              <w:t>3 - 5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loss and LAE payments(1)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Amounts due under Asset Purchase Agreement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11,141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19,211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59" w:lineRule="auto"/>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 —Reserve for Losses and Loss Adjustment Expenses." The payments due by period are based on management's estimates and assume that all of the loss and LAE reserves included in the table will result in payments.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rentals of $0.3 million in 2014 due in the future under the non-cancelable sublease.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Although ASC No. 944, regarding accounting and reporting by insurance entities, specifically excludes mortgage insurance from its guidance relating to loss reserves, it is industry practice to apply this standard. Accordingly, we establish loss reserves using the general principles contained in ASC No. 944.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 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(loss). ASC No. 740 provides a recognition threshold and measurement attribute for the financial statement recognition and measurement of a tax position taken or expected to be taken in a tax return. Accordingly, we did not record a benefit associated with the losses incurred in the prior periods or for other income tax benefits. The income tax provision or benefit recognized in prior periods related to changes in our valuation allowance associated with changes in deferred tax liabilities for the increase or decrease in the unrealized gain on our investment portfolio.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Investments Available for Sale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entire investment portfolio is classified as available-for-sale and is reported at fair value. The related unrealized gains or losses are, after considering the related tax expense or benefit, recognized as a component of accumulated other comprehensive income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83"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credit ratings from third party rating agencies and changes in these credit ratings below investment grade;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 party credit agencies are reasonable;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2013, 2012 and 2011, the unrealized losses recorded in the investment portfolio resulted from fluctuations in market interest rates. Each issuer is current on its scheduled interest and principal payments. Accordingly, we recognized no other-than-temporary impairment losses in earnings associated with our investment portfolio.</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are no recently issued accounting standards that are expected to have a material effect on our financial condition, results of operations or cash flows.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our consolidated financial statements included elsewhere in this Annual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6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53" w:lineRule="exact"/>
        <w:rPr>
          <w:sz w:val="20"/>
          <w:szCs w:val="20"/>
          <w:color w:val="auto"/>
        </w:rPr>
      </w:pPr>
    </w:p>
    <w:p>
      <w:pPr>
        <w:jc w:val="both"/>
        <w:ind w:left="1080" w:right="120" w:hanging="532"/>
        <w:spacing w:after="0" w:line="323" w:lineRule="auto"/>
        <w:tabs>
          <w:tab w:leader="none" w:pos="108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Changes to the level of interest rates. </w:t>
      </w:r>
      <w:r>
        <w:rPr>
          <w:rFonts w:ascii="Arial" w:cs="Arial" w:eastAsia="Arial" w:hAnsi="Arial"/>
          <w:sz w:val="15"/>
          <w:szCs w:val="15"/>
          <w:color w:val="auto"/>
        </w:rPr>
        <w:t>Increasing interest rates may reduce the value of certain fixed-rate bonds held in the investment portfolio.</w:t>
      </w:r>
      <w:r>
        <w:rPr>
          <w:rFonts w:ascii="Arial" w:cs="Arial" w:eastAsia="Arial" w:hAnsi="Arial"/>
          <w:sz w:val="15"/>
          <w:szCs w:val="15"/>
          <w:i w:val="1"/>
          <w:iCs w:val="1"/>
          <w:color w:val="auto"/>
        </w:rPr>
        <w:t xml:space="preserve"> </w:t>
      </w:r>
      <w:r>
        <w:rPr>
          <w:rFonts w:ascii="Arial" w:cs="Arial" w:eastAsia="Arial" w:hAnsi="Arial"/>
          <w:sz w:val="15"/>
          <w:szCs w:val="15"/>
          <w:color w:val="auto"/>
        </w:rPr>
        <w:t>Higher rates may cause variable 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8"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(e.g., rating agency) assessments, will reduce the value and potentially the liquidity of investments.</w:t>
      </w:r>
    </w:p>
    <w:p>
      <w:pPr>
        <w:spacing w:after="0" w:line="152"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6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94" w:lineRule="exact"/>
        <w:rPr>
          <w:sz w:val="20"/>
          <w:szCs w:val="20"/>
          <w:color w:val="auto"/>
        </w:rPr>
      </w:pPr>
    </w:p>
    <w:p>
      <w:pPr>
        <w:jc w:val="both"/>
        <w:ind w:right="240" w:firstLine="341"/>
        <w:spacing w:after="0" w:line="298" w:lineRule="auto"/>
        <w:rPr>
          <w:sz w:val="20"/>
          <w:szCs w:val="20"/>
          <w:color w:val="auto"/>
        </w:rPr>
      </w:pPr>
      <w:r>
        <w:rPr>
          <w:rFonts w:ascii="Arial" w:cs="Arial" w:eastAsia="Arial" w:hAnsi="Arial"/>
          <w:sz w:val="16"/>
          <w:szCs w:val="16"/>
          <w:color w:val="auto"/>
        </w:rPr>
        <w:t>At December 31, 2013, the effective duration of our investment portfolio, including cash, was 1.3 years, which means that an instantaneous parallel shift (movement up or down) in the yield curve of 100 basis points would result in a change of 1.3% in fair value of our investment portfolio. Excluding cash, our investment portfolio effective duration was 3.3 years, which means that an instantaneous parallel shift (movement up or down) in the yield curve of 100 basis points would result in a change of 3.3% in fair value of our investment portfolio.</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INDEX TO FINANCIAL STATEMENTS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520" w:type="dxa"/>
            <w:vAlign w:val="bottom"/>
            <w:gridSpan w:val="6"/>
            <w:vMerge w:val="restart"/>
          </w:tcPr>
          <w:p>
            <w:pPr>
              <w:ind w:left="320"/>
              <w:spacing w:after="0"/>
              <w:rPr>
                <w:sz w:val="20"/>
                <w:szCs w:val="20"/>
                <w:color w:val="auto"/>
              </w:rPr>
            </w:pPr>
            <w:r>
              <w:rPr>
                <w:rFonts w:ascii="Arial" w:cs="Arial" w:eastAsia="Arial" w:hAnsi="Arial"/>
                <w:sz w:val="18"/>
                <w:szCs w:val="18"/>
                <w:b w:val="1"/>
                <w:bCs w:val="1"/>
                <w:color w:val="auto"/>
              </w:rPr>
              <w:t>CONSOLIDATED FINANCIAL STATEMENTS</w:t>
            </w: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652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560" w:type="dxa"/>
            <w:vAlign w:val="bottom"/>
            <w:gridSpan w:val="7"/>
          </w:tcPr>
          <w:p>
            <w:pPr>
              <w:spacing w:after="0" w:line="184" w:lineRule="exact"/>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spacing w:after="0" w:line="184"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Balance Sheets</w:t>
              </w:r>
            </w:hyperlink>
          </w:p>
        </w:tc>
        <w:tc>
          <w:tcPr>
            <w:tcW w:w="4440" w:type="dxa"/>
            <w:vAlign w:val="bottom"/>
            <w:gridSpan w:val="3"/>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Comprehensive Income (Loss)</w:t>
              </w:r>
            </w:hyperlink>
          </w:p>
        </w:tc>
        <w:tc>
          <w:tcPr>
            <w:tcW w:w="420" w:type="dxa"/>
            <w:vAlign w:val="bottom"/>
            <w:gridSpan w:val="2"/>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106</w:t>
              </w:r>
            </w:hyperlink>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6"/>
          </w:tcPr>
          <w:p>
            <w:pPr>
              <w:spacing w:after="0" w:line="19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Consolidated Statements of Changes in Stockholders' Equity</w:t>
              </w:r>
            </w:hyperlink>
          </w:p>
        </w:tc>
        <w:tc>
          <w:tcPr>
            <w:tcW w:w="4280" w:type="dxa"/>
            <w:vAlign w:val="bottom"/>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Cash Flows</w:t>
              </w:r>
            </w:hyperlink>
          </w:p>
        </w:tc>
        <w:tc>
          <w:tcPr>
            <w:tcW w:w="4280" w:type="dxa"/>
            <w:vAlign w:val="bottom"/>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Notes to Consolidated Financial Statements</w:t>
              </w:r>
            </w:hyperlink>
          </w:p>
        </w:tc>
        <w:tc>
          <w:tcPr>
            <w:tcW w:w="420" w:type="dxa"/>
            <w:vAlign w:val="bottom"/>
            <w:gridSpan w:val="2"/>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FINANCIAL STATEMENT SCHEDULES</w:t>
      </w:r>
    </w:p>
    <w:p>
      <w:pPr>
        <w:spacing w:after="0" w:line="21" w:lineRule="exact"/>
        <w:rPr>
          <w:sz w:val="20"/>
          <w:szCs w:val="20"/>
          <w:color w:val="auto"/>
        </w:rPr>
      </w:pPr>
    </w:p>
    <w:p>
      <w:pPr>
        <w:ind w:left="1140" w:right="3219"/>
        <w:spacing w:after="0" w:line="323" w:lineRule="auto"/>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Schedule I—Summary of Investments—Other Than Investments in Related Parties</w:t>
        </w:r>
      </w:hyperlink>
      <w:r>
        <w:rPr>
          <w:rFonts w:ascii="Arial" w:cs="Arial" w:eastAsia="Arial" w:hAnsi="Arial"/>
          <w:sz w:val="16"/>
          <w:szCs w:val="16"/>
          <w:u w:val="single" w:color="auto"/>
          <w:color w:val="0000EE"/>
        </w:rPr>
        <w:t xml:space="preserve"> </w:t>
      </w:r>
      <w:hyperlink w:anchor="page148">
        <w:r>
          <w:rPr>
            <w:rFonts w:ascii="Arial" w:cs="Arial" w:eastAsia="Arial" w:hAnsi="Arial"/>
            <w:sz w:val="16"/>
            <w:szCs w:val="16"/>
            <w:u w:val="single" w:color="auto"/>
            <w:color w:val="0000EE"/>
          </w:rPr>
          <w:t>Schedule II—Condensed Financial Information of Registrant</w:t>
        </w:r>
      </w:hyperlink>
    </w:p>
    <w:p>
      <w:pPr>
        <w:spacing w:after="0" w:line="1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Essent Group Ltd.</w:t>
      </w:r>
    </w:p>
    <w:p>
      <w:pPr>
        <w:spacing w:after="0" w:line="219"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In our opinion, the consolidated financial statements listed in the accompanying index present fairly, in all material respects, the financial position of Essent Group Ltd. and its subsidiaries at December 31, 2013 and 2012, and the results of their operations and their cash flows for each of the three years in the period ended December 31, 2013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These financial statements and financial statement schedules are the responsibility of the Company's management. Our responsibility is to express an opinion on these financial statements and financial statement schedules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7, 2014</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4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Investments available for sale, at fair value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318,476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240,317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332,555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247,414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477,655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1"/>
              </w:rPr>
              <w:t>Property and equipment (at cost, less accumulated depreciation of $36,796 in 2013 and $34,915 in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2012)</w:t>
            </w:r>
          </w:p>
        </w:tc>
        <w:tc>
          <w:tcPr>
            <w:tcW w:w="4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federal income tax</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853,970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283,332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Liabilities and Stockholders' Equity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Reserve for losses and LAE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Unearned premium reserve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due under Asset Purchase Agreement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Accrued payroll and bonuses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131,829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 $0.015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Authorized—233,333 in 2013 and 0 in 2012;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520"/>
              <w:spacing w:after="0"/>
              <w:rPr>
                <w:sz w:val="20"/>
                <w:szCs w:val="20"/>
                <w:color w:val="auto"/>
              </w:rPr>
            </w:pPr>
            <w:r>
              <w:rPr>
                <w:rFonts w:ascii="Arial" w:cs="Arial" w:eastAsia="Arial" w:hAnsi="Arial"/>
                <w:sz w:val="18"/>
                <w:szCs w:val="18"/>
                <w:color w:val="auto"/>
              </w:rPr>
              <w:t>issued—86,491 shares in 2013 and 0 shares in 2012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A common shares, $.01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Authorized—0 in 2013 and 75,500 in 2012;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520"/>
              <w:spacing w:after="0"/>
              <w:rPr>
                <w:sz w:val="20"/>
                <w:szCs w:val="20"/>
                <w:color w:val="auto"/>
              </w:rPr>
            </w:pPr>
            <w:r>
              <w:rPr>
                <w:rFonts w:ascii="Arial" w:cs="Arial" w:eastAsia="Arial" w:hAnsi="Arial"/>
                <w:sz w:val="18"/>
                <w:szCs w:val="18"/>
                <w:color w:val="auto"/>
              </w:rPr>
              <w:t>issued—0 shares in 2013 and 34,817 shares in 2012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 $.01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Authorized—0 in 2013 and 6,180 in 2012;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520"/>
              <w:spacing w:after="0"/>
              <w:rPr>
                <w:sz w:val="20"/>
                <w:szCs w:val="20"/>
                <w:color w:val="auto"/>
              </w:rPr>
            </w:pPr>
            <w:r>
              <w:rPr>
                <w:rFonts w:ascii="Arial" w:cs="Arial" w:eastAsia="Arial" w:hAnsi="Arial"/>
                <w:sz w:val="18"/>
                <w:szCs w:val="18"/>
                <w:color w:val="auto"/>
              </w:rPr>
              <w:t>issued—0 shares in 2013 and 6,065 shares in 2012</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754,390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347,924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(1,447)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(32,099)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0 shares in 2013 and 3,364 Class A shares in 2012</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722,141</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853,970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283,332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Net premiums written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186,200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72,668</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(62,829)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(30,875)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10"/>
        </w:trPr>
        <w:tc>
          <w:tcPr>
            <w:tcW w:w="638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123,371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41,793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Realized investment gains,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131,403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Provision for losses and LAE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losses and expenses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(13,876)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(34,450)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(13,543)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(33,555)</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Common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Common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65,413</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w w:val="95"/>
              </w:rPr>
              <w:t>(13,543)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w w:val="89"/>
              </w:rPr>
              <w:t>(33,555)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w w:val="93"/>
              </w:rPr>
              <w:t>Change in unrealized (depreciation) appreciation of investments, net of tax (benefit)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ind w:left="320"/>
              <w:spacing w:after="0"/>
              <w:rPr>
                <w:sz w:val="20"/>
                <w:szCs w:val="20"/>
                <w:color w:val="auto"/>
              </w:rPr>
            </w:pPr>
            <w:r>
              <w:rPr>
                <w:rFonts w:ascii="Arial" w:cs="Arial" w:eastAsia="Arial" w:hAnsi="Arial"/>
                <w:sz w:val="18"/>
                <w:szCs w:val="18"/>
                <w:color w:val="auto"/>
              </w:rPr>
              <w:t>expense of $(2,080) in 2013, $333 in 2012 and $895 in 2011</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(3,861)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(12,925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(31,893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1" w:name="page112"/>
    <w:bookmarkEnd w:id="11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Class A</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Class B-2</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12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Treasury</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January 1, 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264,667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(32,914)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(33,555)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(33,555)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w w:val="96"/>
              </w:rPr>
              <w:t>common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net of issuance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cost of $226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24,749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incentive shares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Stock-based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acquired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Investor fee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291,080</w:t>
            </w:r>
          </w:p>
        </w:tc>
        <w:tc>
          <w:tcPr>
            <w:tcW w:w="120" w:type="dxa"/>
            <w:vAlign w:val="bottom"/>
            <w:shd w:val="clear" w:color="auto" w:fill="CCEEFF"/>
          </w:tcPr>
          <w:p>
            <w:pPr>
              <w:spacing w:after="0"/>
              <w:rPr>
                <w:sz w:val="18"/>
                <w:szCs w:val="1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1,796</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(83,969)</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 (33,226</w:t>
            </w:r>
            <w:r>
              <w:rPr>
                <w:rFonts w:ascii="Arial" w:cs="Arial" w:eastAsia="Arial" w:hAnsi="Arial"/>
                <w:sz w:val="18"/>
                <w:szCs w:val="18"/>
                <w:color w:val="auto"/>
                <w:w w:val="85"/>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2011</w:t>
            </w:r>
          </w:p>
        </w:tc>
        <w:tc>
          <w:tcPr>
            <w:tcW w:w="46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4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(13,543)</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w w:val="96"/>
              </w:rPr>
              <w:t>common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net of issuance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cost of $503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54,443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incentive shares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Forfeiture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management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w w:val="95"/>
              </w:rPr>
              <w:t>incentive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acquired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347,924</w:t>
            </w:r>
          </w:p>
        </w:tc>
        <w:tc>
          <w:tcPr>
            <w:tcW w:w="120" w:type="dxa"/>
            <w:vAlign w:val="bottom"/>
            <w:shd w:val="clear" w:color="auto" w:fill="CCEEFF"/>
          </w:tcPr>
          <w:p>
            <w:pPr>
              <w:spacing w:after="0"/>
              <w:rPr>
                <w:sz w:val="18"/>
                <w:szCs w:val="1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2,414</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(97,512)</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5"/>
              </w:rPr>
              <w:t>$ (34,142)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219,123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2012</w:t>
            </w:r>
          </w:p>
        </w:tc>
        <w:tc>
          <w:tcPr>
            <w:tcW w:w="46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4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65,413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comprehensive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Class A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Class B-2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w w:val="96"/>
              </w:rPr>
              <w:t>common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net of issuance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cost of $1,143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123,729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123,852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Class A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Class B-2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into Common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Issuance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w w:val="91"/>
              </w:rPr>
              <w:t>Common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net of issuance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cost of $25,546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313,414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313,713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0400"/>
          </w:cols>
          <w:pgMar w:left="240" w:top="131" w:right="125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shares</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Forfeiture of</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management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incentive shares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acquired</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(34,419)</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34,453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1500" w:type="dxa"/>
            <w:vAlign w:val="bottom"/>
            <w:gridSpan w:val="2"/>
          </w:tcPr>
          <w:p>
            <w:pPr>
              <w:spacing w:after="0" w:line="201" w:lineRule="exact"/>
              <w:rPr>
                <w:sz w:val="20"/>
                <w:szCs w:val="20"/>
                <w:color w:val="auto"/>
              </w:rPr>
            </w:pPr>
            <w:r>
              <w:rPr>
                <w:rFonts w:ascii="Arial" w:cs="Arial" w:eastAsia="Arial" w:hAnsi="Arial"/>
                <w:sz w:val="18"/>
                <w:szCs w:val="18"/>
                <w:color w:val="auto"/>
              </w:rPr>
              <w:t>Balance at</w:t>
            </w: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40"/>
              <w:spacing w:after="0"/>
              <w:rPr>
                <w:sz w:val="20"/>
                <w:szCs w:val="20"/>
                <w:color w:val="auto"/>
              </w:rPr>
            </w:pPr>
            <w:r>
              <w:rPr>
                <w:rFonts w:ascii="Arial" w:cs="Arial" w:eastAsia="Arial" w:hAnsi="Arial"/>
                <w:sz w:val="18"/>
                <w:szCs w:val="18"/>
                <w:color w:val="auto"/>
              </w:rPr>
              <w:t>December 31,</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1,297</w:t>
            </w:r>
          </w:p>
        </w:tc>
        <w:tc>
          <w:tcPr>
            <w:tcW w:w="120" w:type="dxa"/>
            <w:vAlign w:val="bottom"/>
          </w:tcPr>
          <w:p>
            <w:pPr>
              <w:spacing w:after="0"/>
              <w:rPr>
                <w:sz w:val="18"/>
                <w:szCs w:val="18"/>
                <w:color w:val="auto"/>
              </w:rPr>
            </w:pP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  $</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$ 754,390</w:t>
            </w:r>
          </w:p>
        </w:tc>
        <w:tc>
          <w:tcPr>
            <w:tcW w:w="120" w:type="dxa"/>
            <w:vAlign w:val="bottom"/>
          </w:tcPr>
          <w:p>
            <w:pPr>
              <w:spacing w:after="0"/>
              <w:rPr>
                <w:sz w:val="18"/>
                <w:szCs w:val="18"/>
                <w:color w:val="auto"/>
              </w:rPr>
            </w:pPr>
          </w:p>
        </w:tc>
        <w:tc>
          <w:tcPr>
            <w:tcW w:w="4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(1,447)</w:t>
            </w: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   (32,099) $</w:t>
            </w:r>
          </w:p>
        </w:tc>
        <w:tc>
          <w:tcPr>
            <w:tcW w:w="920" w:type="dxa"/>
            <w:vAlign w:val="bottom"/>
            <w:gridSpan w:val="3"/>
            <w:vMerge w:val="restart"/>
          </w:tcPr>
          <w:p>
            <w:pPr>
              <w:ind w:left="340"/>
              <w:spacing w:after="0"/>
              <w:rPr>
                <w:sz w:val="20"/>
                <w:szCs w:val="20"/>
                <w:color w:val="auto"/>
              </w:rPr>
            </w:pPr>
            <w:r>
              <w:rPr>
                <w:rFonts w:ascii="Arial" w:cs="Arial" w:eastAsia="Arial" w:hAnsi="Arial"/>
                <w:sz w:val="18"/>
                <w:szCs w:val="18"/>
                <w:b w:val="1"/>
                <w:bCs w:val="1"/>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722,141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gridSpan w:val="2"/>
          </w:tcPr>
          <w:p>
            <w:pPr>
              <w:ind w:left="160"/>
              <w:spacing w:after="0"/>
              <w:rPr>
                <w:sz w:val="20"/>
                <w:szCs w:val="20"/>
                <w:color w:val="auto"/>
              </w:rPr>
            </w:pPr>
            <w:r>
              <w:rPr>
                <w:rFonts w:ascii="Arial" w:cs="Arial" w:eastAsia="Arial" w:hAnsi="Arial"/>
                <w:sz w:val="18"/>
                <w:szCs w:val="18"/>
                <w:color w:val="auto"/>
              </w:rPr>
              <w:t>2013</w:t>
            </w: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40" w:right="1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65,413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(13,543)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(33,555)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to net cash provided by (used in) operating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Gain on the sale of investments,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Amortization of discount on payments due under Asset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Agreement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premium on investment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Deferred income tax benefit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Accrued investment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federal income tax</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Reserve for losses and LAE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Unearned premium reserve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119,008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Purchase of investments available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(147,076)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(141,481)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maturity of investments available for sale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Proceeds from sales of investments available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0"/>
        </w:trPr>
        <w:tc>
          <w:tcPr>
            <w:tcW w:w="618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(96,760)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(79,729)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Issuance of common shares net of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438,403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acquired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Payments under Asset Purchase Agreement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fee payment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0"/>
        </w:trPr>
        <w:tc>
          <w:tcPr>
            <w:tcW w:w="618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433,092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455,340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year</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(payments) refunds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Noncash Transactions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Accrual of additional liability associated with the Asset Purchase Agreement (see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Issuance of management incentive shares (see Note 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these notes to consolidated financial statements, "Essent Group", "Company", "we", "us", and "our" refer to Essent Group Ltd. and its subsidiaries, unless the context otherwise requires.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Essent Group Ltd. is a Bermuda-based holding company, which, through its wholly-owned subsidiaries, offers private mortgage insurance and reinsurance for mortgages secured by residential properties located in the United States. Mortgage insurance provides credit protection to lenders and investors against financial loss due to defaults on mortgage loans secured by residential property. Mortgage insurance facilitates the sale of low-down payment (generally less than 20%) mortgage loans into the secondary mortgage market, primarily to the government sponsored enterprises ("GSEs"), Fannie Mae and Freddie Mac. Essent Group was incorporated in Bermuda in July 2008. Essent US Holdings, Inc. ("Essent Holdings") is a wholly-owned subsidiary of Essent Group and is incorporated in Delaware. The primary mortgage insurance operations are conducted through Essent Holdings' regulated and licensed wholly-owned subsidiaries, Essent Guaranty, Inc. ("Essent Guaranty") and Essent Guaranty of PA, Inc. ("Essent PA"). Essent also has a wholly-owned Bermuda-domiciled reinsurer, Essent Reinsurance, Ltd. ("Essent Re").</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Essent Guaranty was formed in November 2008 and received its certificate of authority from the Pennsylvania Insurance Department on July 6, 2009. It commenced operations in 2010, issuing its first mortgage insurance policy in May 2010.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Essent PA provides reinsurance to Essent Guaranty for mortgage insurance coverage in excess of 25% of the balance of any mortgage loan insured by Essent Guaranty. Essent PA received its certificate of authority from the Pennsylvania Insurance Department on March 15, 2010.</w:t>
      </w:r>
    </w:p>
    <w:p>
      <w:pPr>
        <w:spacing w:after="0" w:line="139"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June 2010, we formed Essent Solutions, LLC ("Essent Solutions"), a wholly-owned, non-insurer subsidiary of Essent Guaranty. Essent Solutions was formed to, among other things, function as an administrative services provider. Since April 2012, Essent Solutions has had minimal business activity.</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September 2011, we formed CUW Solutions, LLC ("CUW Solutions"), a wholly-owned subsidiary of Essent Holdings. CUW Solutions is a Delaware limited liability company that provides, among other things, mortgage contract underwriting services to lenders and mortgage insurance underwriting services to affiliates. Its headquarters are in Radnor, Pennsylvania and it maintains operations centers in Winston-Salem, North Carolina and Irvine, California that are subleased from Essent Guaranty.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Essent Re provides reinsurance coverage of mortgage credit risk and has a Class 3A insurance license issued from the Bermuda Monetary Authority.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2013, Essent Re had not generated any revenue from insurance activities.</w:t>
      </w:r>
    </w:p>
    <w:p>
      <w:pPr>
        <w:spacing w:after="0" w:line="21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 (Continued)</w:t>
      </w:r>
    </w:p>
    <w:p>
      <w:pPr>
        <w:spacing w:after="0" w:line="231"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Available for Sale</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Investments available for sale include securities that we sell from time to time to provide liquidity and in response to changes in the market. Debt and equity securities classified as available for sale are reported at fair value with unrealized gains and losses on these securities reported in other comprehensive income, net of income taxes. See Note 16 for a description of the valuation methods for investments available for sale.</w:t>
      </w:r>
    </w:p>
    <w:p>
      <w:pPr>
        <w:spacing w:after="0" w:line="16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monitor our fixed maturities for unrealized losses that appear to be other than 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(loss), and the portion of the other-than-temporary impairment that is not credit related is included in other comprehensive income (loss). For those fixed maturities for which an other-than-temporary impairment has occurred, we adjust the amortized cost basis of the security and record a realized loss in the consolidated statements of comprehensive income (loss). Any subsequent increase in the security's estimated fair value would be reported as an unrealized gain.</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includes a $200 restricted deposit associated with a letter of credit obtained in connection with the rental of office space.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83"/>
              </w:rPr>
              <w:t>2013</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Office equipment</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Purchased software</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31,416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(30,557)</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30,944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(30,339)</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Costs of internal-use software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0"/>
        </w:trPr>
        <w:tc>
          <w:tcPr>
            <w:tcW w:w="4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41,207</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38,541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(34,915)</w:t>
            </w: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the acquisition of the proprietary mortgage insurance information technology and operating platform of Triad Guaranty, Inc. and Triad Guaranty Insurance Corporation (collectively referred to as "Triad"), we recorded identifiable intangible assets associated with acquired technology and workforce-in-place. Amortization of these assets began on December 1, 2009 and was increased in April 2011 in connection with the additional purchase price recorded effective March 31, 2011. See additional discussion as to the terms of the Triad transaction and the related purchase accounting in Note 6. The amount of purchase price allocated to the acquired technology was amortized to expense on a straight-line basis over 36 months and was fully amortized as of November 30, 2012. The amount of purchase price allocated to workforce-in-place was amortized to expense on a straight-line basis over 48 months and was fully amortized as of November 30, 2013. We recognized amortization associated with the acquired technology of $12,011 and $11,040 for the years ended December 31, 2012 and 2011, respectively. We recognized amortization associated with the workforce-in-place of $371, $405 and $346 for the years ended December 31, 2013, 2012 and 2011 respectively.</w:t>
      </w:r>
    </w:p>
    <w:p>
      <w:pPr>
        <w:spacing w:after="0" w:line="17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cost of the acquired technology and related accumulated depreciation is included in property and equipment in the accompanying consolidated balance sheets.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31"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$5,673, $2,240 and $482 for the years ended December 31, 2013, 2012 and 2011, respectively. Amortization of deferred policy acquisition costs totaled $1,703, $456, and $64 for the years ended December 31, 2013, 2012 and 2011, respectively, and is included in other underwriting and operating expenses on the consolidated statements of comprehensive income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87% of earned premium in 2013.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$4,116 of earned premium related to policy cancellations for the year ended December 31, 2013.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7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 significant portion of our premium revenue relates to master policies with certain lending institutions. For the year ended December 31, 2013 one lender represented 21% of our total revenue. The loss of this customer could have a significant impact on our revenues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establish reserves for losses based on our best estimate of ultimate claim costs for defaulted loans. Although Accounting Standards Codification ("ASC") No. 944, regarding accounting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reporting by insurance entities, specifically excludes mortgage insurance from its guidance relating to loss reserves, it is industry practice to apply this standard. Accordingly, we establish loss reserves using the general principles contained in ASC No. 944.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 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2013 and 2012, we concluded that no premium deficiency reserve was required to be recorded in the accompanying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(loss).</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our policy to classify interest and penalties related to unrecognized tax benefits as income tax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Basic earnings (loss) per common share amounts are calculated based on income available to common stockholders and the weighted average number of common shares outstanding during the reporting period. Diluted earnings (loss)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are included in the earnings per share calculation to the extent that they are dilutive. Prior to the completion of our initial public offering as more fully discussed in Note 3, basic and diluted earnings (loss) per common share were calculated using the "two-class" method since the cash dividends on our Class B-2 common shares could differ from the dividends on the Class A common shares. The two-class method is an earnings allocation formula that determines earnings (loss) per share for each class of common shares according to dividends declared and participation rights in undistributed earnings or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 xml:space="preserve">In May 2011, the Financial Accounting Standards Board ("FASB") issued Accounting Standards Update ("ASU") No. 2011-04, Fair Value Measurement (Topic 820): </w:t>
      </w:r>
      <w:r>
        <w:rPr>
          <w:rFonts w:ascii="Arial" w:cs="Arial" w:eastAsia="Arial" w:hAnsi="Arial"/>
          <w:sz w:val="18"/>
          <w:szCs w:val="18"/>
          <w:i w:val="1"/>
          <w:iCs w:val="1"/>
          <w:color w:val="auto"/>
        </w:rPr>
        <w:t>Amendments to Achieve Common Fair Value Measurement and Disclosure Requirements in U.S. GAAP and International Financial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Standards ("IFRS"). </w:t>
      </w:r>
      <w:r>
        <w:rPr>
          <w:rFonts w:ascii="Arial" w:cs="Arial" w:eastAsia="Arial" w:hAnsi="Arial"/>
          <w:sz w:val="18"/>
          <w:szCs w:val="18"/>
          <w:color w:val="auto"/>
        </w:rPr>
        <w:t>This ASU largely retains the fair value measurement principles of Topic 820, but potentially expands current disclosures and changes how</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 guidance is applied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certain circumstances. Essent Group adopted this ASU for the year ending December 31, 2012 and the adoption did not have a material effect on its consolidated operating results or financial position.</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In February 2013, the FASB issued ASU No. 2013-02, Comprehensive Income (Topic 220): </w:t>
      </w:r>
      <w:r>
        <w:rPr>
          <w:rFonts w:ascii="Arial" w:cs="Arial" w:eastAsia="Arial" w:hAnsi="Arial"/>
          <w:sz w:val="18"/>
          <w:szCs w:val="18"/>
          <w:i w:val="1"/>
          <w:iCs w:val="1"/>
          <w:color w:val="auto"/>
        </w:rPr>
        <w:t>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expands the disclosure requirements in ASC 220 for the presentation of changes in accumulated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("AOCI"). This ASU requires an entity to report the effect of significant reclassifications out of AOCI on the respective line items in net income if the amount being reclassified is required under GAAP to be reclassified in its entirety to net income. For other amounts that are not required under GAAP to be reclassified in their entirety from AOCI to net income in the same reporting period, an entity is required to cross-reference to other disclosures required under GAAP that provide additional detail about those amounts. Essent Group adopted this ASU prospectively for the year ending December 31, 2013 and presented the additional disclosures in Note 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Transactions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February 6, 2009, Essent Group and certain investors executed a Shareholders Agreement, Class A Common Share Subscription Agreement (the "Subscription Agreement") and certain other related legal documents (collectively, the "Agreements"). Under the terms of the Agreements, certain investors, including affiliates of Pine Brook Road Partners, The Goldman Sachs Group, Inc., Aldermanbury Investments Limited, an affiliate of J.P. Morgan, PartnerRe Principal Finance Inc. and RenaissanceRe Ventures Ltd., committed, subject to certain conditions, to make equity contributions to Essent Group in the amount of approximately $519,114 in return for Class A common shares. At the same time, $10,000 of this commitment was funded in return for 1 million Class A common shares (the "Initial Closing"). As part of the Initial Closing, certain of the investors tendered $3,130 of existing Notes Payable that had been issued as part of their contribution. The remaining Notes Payable of approximately $870 was paid with proceeds from the funding. The Notes Payable had been issued by Essent Group on October 6, 2008 to fund our activities prior to the equity closing. In March 2010 (the "Subsequent Closing"), the existing and new investors executed an Amended and Restated Class A Common Share Subscription Agreement (the "Amended Subscription Agreement") and certain other related legal documents (collectively, the "Amended Agreements"). Under the terms of the Amended Agreements, certain of the existing investors, as well as the new investors, increased their commitment, subject to certain conditions, to make equity contributions in return for Class A common shares to Essent Group by $80,896. In addition, certain members of management had made a commitment to purchase Class A Shares of Essent Group.</w:t>
      </w:r>
    </w:p>
    <w:p>
      <w:pPr>
        <w:spacing w:after="0" w:line="178"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of January 1, 2012, $258,343 had been contributed by the investors to Essent Group in return for approximately 25,475 Class A common shares. In 2012, investors made additional capital contributions to Essent Group totaling $55,000 in return for approximately 5,424 Class A shares and in 2013, investors made additional capital contributions to Essent Group totaling $124,995 in return for approximately 12,325 Class A shares. In total, $438,338 of capital contributions were made by investors from inception through Essent Group's initial public offering.</w:t>
      </w:r>
    </w:p>
    <w:p>
      <w:pPr>
        <w:spacing w:after="0" w:line="16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November 2013, Essent Group completed an initial public offering ("IPO") in which we issued and sold 19,957 Common Shares at a public offering price of $17.00 per share and certain selling shareholders sold 2,710 Common Shares. We did not receive any proceeds from the sale of shares by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Transactions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selling shareholders. The total net proceeds from the IPO were $313.7 million after deducting underwriting discounts and commissions of $21.5 million and other offering expenses of approximately $4 million.</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Upon the closing of our IPO, all shares of our then-outstanding Class A common shares and Class B-2 common shares, issued under the Company's 2009 Restricted Share Plan as more fully discussed in Note 10, automatically converted into an aggregate of 64,688 Common Shares. Under the terms of the Amended Subscription Agreement, the equity funding commitment terminated upon the completion of the initial public offering.</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Macquarie Capital (USA) Inc. ("Macquarie") was due a fee equal to 1% of the gross proceeds from the sale of Class A common shares (not to exceed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$5,190) issued to shareholders who were party to the Subscription Agreement at the Initial Closing for services rendered in connection with the equity funding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Essent Group. As of December 31, 2013, a total of $4,010 was earned to date by Macquarie and charged to additional paid-in capital.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the Amended Subscription Agreement, no additional fees are due Macquarie related to the sale of Class A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Unrealized</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Gains</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Losses</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126,311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334,782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332,555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municipal debt securities are general obligation bonds.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r>
      <w:tr>
        <w:trPr>
          <w:trHeight w:val="190"/>
        </w:trPr>
        <w:tc>
          <w:tcPr>
            <w:tcW w:w="1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U.S. Treasury</w:t>
            </w:r>
          </w:p>
        </w:tc>
        <w:tc>
          <w:tcPr>
            <w:tcW w:w="3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securities</w:t>
            </w: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77,114</w:t>
            </w:r>
          </w:p>
        </w:tc>
        <w:tc>
          <w:tcPr>
            <w:tcW w:w="3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2,392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79,488</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19,593</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29,640</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37,654</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63,399</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5,592</w:t>
            </w:r>
          </w:p>
        </w:tc>
      </w:tr>
      <w:tr>
        <w:trPr>
          <w:trHeight w:val="216"/>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8,951</w:t>
            </w:r>
          </w:p>
        </w:tc>
      </w:tr>
      <w:tr>
        <w:trPr>
          <w:trHeight w:val="216"/>
        </w:trPr>
        <w:tc>
          <w:tcPr>
            <w:tcW w:w="420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3,097</w:t>
            </w:r>
          </w:p>
        </w:tc>
      </w:tr>
      <w:tr>
        <w:trPr>
          <w:trHeight w:val="20"/>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247,414</w:t>
            </w:r>
          </w:p>
        </w:tc>
      </w:tr>
      <w:tr>
        <w:trPr>
          <w:trHeight w:val="20"/>
        </w:trPr>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5580" w:right="5040" w:hanging="3860"/>
        <w:spacing w:after="0" w:line="613" w:lineRule="auto"/>
        <w:tabs>
          <w:tab w:leader="none" w:pos="2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municipal debt securities are general obligation bonds.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 (Continued)</w:t>
      </w:r>
    </w:p>
    <w:p>
      <w:pPr>
        <w:spacing w:after="0" w:line="23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amortized cost and fair value of available for sale securities at December 31, 2013,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4"/>
                <w:szCs w:val="14"/>
                <w:color w:val="auto"/>
              </w:rPr>
            </w:pPr>
          </w:p>
        </w:tc>
        <w:tc>
          <w:tcPr>
            <w:tcW w:w="250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250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Due in 1 year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11,308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11,426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1 but within 5 years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Due after 5 years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15,811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U.S. agency securities:</w:t>
            </w: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1 year</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Due after 1 but within 5 years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4,591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Municipal debt securities</w:t>
            </w: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1 year</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Due after 1 but within 5 years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52,314</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51,961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5 years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Due in 1 year</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8,369</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1 but within 5 years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111,819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111,250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Due after 5 years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5,953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126,311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125,593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U.S. agency mortgage-backed securities</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Asset-backed securities</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1720"/>
              <w:spacing w:after="0"/>
              <w:rPr>
                <w:sz w:val="20"/>
                <w:szCs w:val="20"/>
                <w:color w:val="auto"/>
              </w:rPr>
            </w:pPr>
            <w:r>
              <w:rPr>
                <w:rFonts w:ascii="Arial" w:cs="Arial" w:eastAsia="Arial" w:hAnsi="Arial"/>
                <w:sz w:val="18"/>
                <w:szCs w:val="18"/>
                <w:color w:val="auto"/>
              </w:rPr>
              <w:t>Total investments available for sale</w:t>
            </w:r>
          </w:p>
        </w:tc>
        <w:tc>
          <w:tcPr>
            <w:tcW w:w="2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334,782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332,555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60" w:type="dxa"/>
            <w:vAlign w:val="bottom"/>
            <w:vMerge w:val="restart"/>
          </w:tcPr>
          <w:p>
            <w:pPr>
              <w:jc w:val="right"/>
              <w:ind w:right="1892"/>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Essent Group realized gross gains and losses on the sale of investments available for sale as follows:</w:t>
      </w:r>
    </w:p>
    <w:p>
      <w:pPr>
        <w:spacing w:after="0" w:line="275"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0</wp:posOffset>
            </wp:positionV>
            <wp:extent cx="11576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7840"/>
        <w:spacing w:after="0"/>
        <w:tabs>
          <w:tab w:leader="none" w:pos="8480" w:val="left"/>
          <w:tab w:leader="none" w:pos="91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1"/>
          <w:szCs w:val="11"/>
          <w:b w:val="1"/>
          <w:bCs w:val="1"/>
          <w:color w:val="auto"/>
        </w:rPr>
        <w:t>2011</w:t>
      </w:r>
    </w:p>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6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Realized gross gains</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  116</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w w:val="95"/>
              </w:rPr>
              <w:t>$  145</w:t>
            </w:r>
          </w:p>
        </w:tc>
        <w:tc>
          <w:tcPr>
            <w:tcW w:w="6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w w:val="95"/>
              </w:rPr>
              <w:t>$  365</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Realized gross losses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12 months or more</w:t>
            </w:r>
          </w:p>
        </w:tc>
        <w:tc>
          <w:tcPr>
            <w:tcW w:w="140" w:type="dxa"/>
            <w:vAlign w:val="bottom"/>
          </w:tcPr>
          <w:p>
            <w:pPr>
              <w:spacing w:after="0"/>
              <w:rPr>
                <w:sz w:val="14"/>
                <w:szCs w:val="14"/>
                <w:color w:val="auto"/>
              </w:rPr>
            </w:pPr>
          </w:p>
        </w:tc>
        <w:tc>
          <w:tcPr>
            <w:tcW w:w="96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00" w:type="dxa"/>
            <w:vAlign w:val="bottom"/>
            <w:gridSpan w:val="3"/>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6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60" w:type="dxa"/>
            <w:vAlign w:val="bottom"/>
            <w:gridSpan w:val="3"/>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140" w:type="dxa"/>
            <w:vAlign w:val="bottom"/>
          </w:tcPr>
          <w:p>
            <w:pPr>
              <w:spacing w:after="0"/>
              <w:rPr>
                <w:sz w:val="14"/>
                <w:szCs w:val="14"/>
                <w:color w:val="auto"/>
              </w:rPr>
            </w:pPr>
          </w:p>
        </w:tc>
        <w:tc>
          <w:tcPr>
            <w:tcW w:w="64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02"/>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At December 31, 2013</w:t>
            </w:r>
          </w:p>
        </w:tc>
        <w:tc>
          <w:tcPr>
            <w:tcW w:w="1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16,474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(890)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16,474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U.S. agency mortgage-backed securities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322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146,168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25,240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171,408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12 months or more</w:t>
            </w:r>
          </w:p>
        </w:tc>
        <w:tc>
          <w:tcPr>
            <w:tcW w:w="140" w:type="dxa"/>
            <w:vAlign w:val="bottom"/>
          </w:tcPr>
          <w:p>
            <w:pPr>
              <w:spacing w:after="0"/>
              <w:rPr>
                <w:sz w:val="24"/>
                <w:szCs w:val="24"/>
                <w:color w:val="auto"/>
              </w:rPr>
            </w:pPr>
          </w:p>
        </w:tc>
        <w:tc>
          <w:tcPr>
            <w:tcW w:w="96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00" w:type="dxa"/>
            <w:vAlign w:val="bottom"/>
            <w:gridSpan w:val="3"/>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6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60" w:type="dxa"/>
            <w:vAlign w:val="bottom"/>
            <w:gridSpan w:val="3"/>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140" w:type="dxa"/>
            <w:vAlign w:val="bottom"/>
          </w:tcPr>
          <w:p>
            <w:pPr>
              <w:spacing w:after="0"/>
              <w:rPr>
                <w:sz w:val="14"/>
                <w:szCs w:val="14"/>
                <w:color w:val="auto"/>
              </w:rPr>
            </w:pPr>
          </w:p>
        </w:tc>
        <w:tc>
          <w:tcPr>
            <w:tcW w:w="640" w:type="dxa"/>
            <w:vAlign w:val="bottom"/>
          </w:tcPr>
          <w:p>
            <w:pPr>
              <w:jc w:val="center"/>
              <w:ind w:right="79"/>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02"/>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At December 31, 2012</w:t>
            </w:r>
          </w:p>
        </w:tc>
        <w:tc>
          <w:tcPr>
            <w:tcW w:w="15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U.S. agency mortgage-backed securities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decline in fair values of these investment securities is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whether an impairment is other than temporary. There were no other-than-temporary impairments of investments in the years ended December 31, 2013, 2012 or 2011.</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$8,573 at December 31, 2013 and $8,243 at December 31, 2012.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investment income consists 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Investment expenses</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Accounts Receivable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Accounts receivable consist of the following at December 31: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Premiums receivable consist of premiums due on our mortgage insurance policies. If mortgage insurance premiums are unpaid for more than 90 days, the receivable is written off against earned premium and the related insurance policy is cancelled. For all periods presented, Essent Group did not record a provision or an allowance for doubtful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Triad Transaction</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December 1, 2009, under the terms of an asset purchase agreement dated October 7, 2009 between Essent Guaranty and Triad (the "Asset Purchase Agreement"), we acquired all of Triad's proprietary mortgage insurance information technology and operating platform, certain software and substantially all of the supporting hardware, as well as furniture and fixtures, in exchange for payments of up to $30,000 in cash, subject to certain conditions outlined in the Asset Purchase Agreement, and the assumption of certain contractual obligations. In addition, pursuant to this transaction, 39 employees of Triad's information technology, operations and compliance departments were offered, and accepted, employment with Essent Guaranty. Effective with the completion of the transaction, Essent Guaranty began providing information systems maintenance and development services, customer service and policy administration support to Triad under the terms of a services agreement dated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Triad Transaction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December 1, 2009 (the "Services Agreement"). Triad retains the obligation for all risks insured under its existing insurance contracts and will continue to directly manage loss mitigation and claim activity on its insured business.</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the assets acquired and liabilities assumed did not constitute a business, the transaction was accounted for as an acquisition of assets. Under the Asset Purchase Agreement, fixed payments of $15,000 were due and paid as follows: $10,000 on the Closing Date of December 1, 2009, and $2,500 each on the first and second anniversaries of the Closing Date. Contingent payments totaling $15,000 are due commencing 30 months after the closing date, or June 1, 2012, in six equal semi-annual installments if Essent Guaranty or any affiliate US domestic insurance company have written mortgage insurance policies (other than mortgage reinsurance or other types of credit enhancement) on mortgage loans having an aggregate unpaid principal balance of not less than $500,000 in the six months preceding such contingent payment. On December 1, 2009, $15,479 was recorded as purchase price for these acquired assets, which included the net present value of the fixed payments. The depreciation for the fixed assets was recorded over three years from December 1, 2009 to November 30, 2012. In March 2011, based on Essent Guaranty's level of written mortgage insurance policies, management concluded that it was probable that the $15,000 of contingent payments would be made. Accordingly, a liability was accrued effective March 31, 2011 for the net present value of the additional contingent payments due Triad, with an offsetting increase in the purchase price of the acquired assets allocated pro rata based on their relative fair value at the acquisition date. The depreciation of the fixed assets associated with the purchase for the contingent payments was recorded over the period from April 1, 2011 to November 30, 2012. Contingent payments totaling $5,000 were made in each of the years ended December 31, 2013 and 2012.</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purchase price for the assets acquired reflected in the accompanying consolidated balance sheets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9,123</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Triad's liabilities assumed at closing</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present value of fixed payments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4,995</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present value of contingent payments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14,595</w:t>
            </w:r>
          </w:p>
        </w:tc>
        <w:tc>
          <w:tcPr>
            <w:tcW w:w="140" w:type="dxa"/>
            <w:vAlign w:val="bottom"/>
            <w:shd w:val="clear" w:color="auto" w:fill="CCEEFF"/>
          </w:tcPr>
          <w:p>
            <w:pPr>
              <w:spacing w:after="0"/>
              <w:rPr>
                <w:sz w:val="18"/>
                <w:szCs w:val="18"/>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30,074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the assets acquired was allocated based on their relative fair value as of the Closing Date (December 1, 2009)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2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13,741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28,314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Workforce-in-place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Hardware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ind w:left="1720"/>
              <w:spacing w:after="0"/>
              <w:rPr>
                <w:sz w:val="20"/>
                <w:szCs w:val="20"/>
                <w:color w:val="auto"/>
              </w:rPr>
            </w:pPr>
            <w:r>
              <w:rPr>
                <w:rFonts w:ascii="Arial" w:cs="Arial" w:eastAsia="Arial" w:hAnsi="Arial"/>
                <w:sz w:val="18"/>
                <w:szCs w:val="18"/>
                <w:color w:val="auto"/>
              </w:rPr>
              <w:t>Total</w:t>
            </w:r>
          </w:p>
        </w:tc>
        <w:tc>
          <w:tcPr>
            <w:tcW w:w="19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940" w:type="dxa"/>
            <w:vAlign w:val="bottom"/>
            <w:vMerge w:val="continue"/>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15,479</w:t>
            </w:r>
          </w:p>
        </w:tc>
        <w:tc>
          <w:tcPr>
            <w:tcW w:w="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14,595</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30,074</w:t>
            </w:r>
          </w:p>
        </w:tc>
        <w:tc>
          <w:tcPr>
            <w:tcW w:w="1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40" w:type="dxa"/>
            <w:vAlign w:val="bottom"/>
            <w:vMerge w:val="restart"/>
          </w:tcPr>
          <w:p>
            <w:pPr>
              <w:jc w:val="right"/>
              <w:ind w:right="412"/>
              <w:spacing w:after="0"/>
              <w:rPr>
                <w:sz w:val="20"/>
                <w:szCs w:val="20"/>
                <w:color w:val="auto"/>
              </w:rPr>
            </w:pPr>
            <w:r>
              <w:rPr>
                <w:rFonts w:ascii="Arial" w:cs="Arial" w:eastAsia="Arial" w:hAnsi="Arial"/>
                <w:sz w:val="18"/>
                <w:szCs w:val="18"/>
                <w:color w:val="auto"/>
              </w:rPr>
              <w:t>120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Triad Transaction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the Asset Purchase Agreement, $5,000 is due in the year ending December 31, 2014.</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recorded interest expense associated with the liability due Triad of $108, $138 and $123 for the years ended December 31, 2013, 2012 and 2011, respectively.</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terms of the Services Agreement, we provide the following services to Triad in exchange for fees: (i) maintain and support the licensed technology and equipment and provide to Triad certain information and technology services; (ii) access to the Triad technology platform in order to support Triad's business pursuant to the license grant outlined in the Services Agreement; (iii) customer support-related services; and (iv) technology development services. The fee earned by Essent Group during the first contract year from December 1, 2009 to November 30, 2010 was a fixed amount. Effective December 1, 2010, the fee is based principally on the number of Triad's insurance policies in force on a monthly basis. Accordingly, this fee is reduced as Triad's policies in force decline. We earned fees under the Services Agreement of $2,988, $3,800 and $4,676 for the years ended December 31, 2013, 2012 and 2011, respectively, which are included in other income in the accompanying consolidated statements of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Reserve for Losses and Loss Adjustment Expenses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Reserve for losses and LAE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reserve for losses and LAE at beginning of year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Add provision for losses and LAE, net of reinsurance, occurring in: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6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incurred losses during the current year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w:t>
            </w:r>
          </w:p>
        </w:tc>
      </w:tr>
      <w:tr>
        <w:trPr>
          <w:trHeight w:val="209"/>
        </w:trPr>
        <w:tc>
          <w:tcPr>
            <w:tcW w:w="6420" w:type="dxa"/>
            <w:vAlign w:val="bottom"/>
          </w:tcPr>
          <w:p>
            <w:pPr>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 and LAE payments during the current year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Net reserve for losses and LAE at end of year</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Reserve for losses and LAE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Loans in default at end of year</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56</w:t>
            </w: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the year ended December 31, 2013, $511 was paid for incurred claims and claim adjustment expenses attributable to insured events of prior years. There has been a $665 favorable prior-year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Reserve for Losses and Loss Adjustment Expenses (Continued)</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development during the year ended December 31, 2013. Reserves remaining as of December 31, 2013 for prior years are $323 as a result of re-estimation of unpaid losses and loss adjustment expenses. For the year ended December 31, 2012, less than $1 was paid for incurred claims and claim adjustment expenses attributable to insured events of prior years. There has been a $57 favorable prior-year development during the year ended December 31, 2012. Reserves remaining as of December 31, 2012 for prior years are $0 as a result of re-estimation of unpaid losses and loss adjustment expenses. The decreases in both years are generally the result of ongoing analysis of recent loss development trends. Original estimates are increased or decreased as additional information becomes known regarding individual claims.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agreed to indemnify the lender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the year ended December 31, 2013 and 2012, we have paid $5 and $0, respectively, related to remedies. As of December 31, 2013, management believes any potential claims for indemnifications related to contract underwriting services through December 31, 2013 are not material to our consolidated financial position or results of operations.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 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2013,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remote risk of loss or payment. We have not recorded any provisions on the consolidated balance sheets related to indemnifications.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In 2012, we amended our lease agreement in Pennsylvania for additional office space and extended the lease term to 2023. In 2012, we also entered into a new two year lease agreement for our office space in North Carolina commencing on December 1, 2012, and we entered into a sublease agreement with Triad Guaranty Insurance Corporation for a portion of the space leased under the new lease agreement. In August 2012, we entered into a new five year lease agreement for office space in Irvine, California commencing on October 1, 2012.</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Total rent expense was $1,527, $1,011, and $952 for the years ended December 31, 2013, 2012 and 2011, respectively. The future minimum lease payments of non-cancelable operating leases are as follows at December 31, 2013:</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2015</w:t>
            </w:r>
          </w:p>
        </w:tc>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2017</w:t>
            </w:r>
          </w:p>
        </w:tc>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5,872</w:t>
            </w:r>
          </w:p>
        </w:tc>
        <w:tc>
          <w:tcPr>
            <w:tcW w:w="140" w:type="dxa"/>
            <w:vAlign w:val="bottom"/>
            <w:shd w:val="clear" w:color="auto" w:fill="CCEEFF"/>
          </w:tcPr>
          <w:p>
            <w:pPr>
              <w:spacing w:after="0"/>
              <w:rPr>
                <w:sz w:val="18"/>
                <w:szCs w:val="18"/>
                <w:color w:val="auto"/>
              </w:rPr>
            </w:pPr>
          </w:p>
        </w:tc>
      </w:tr>
      <w:tr>
        <w:trPr>
          <w:trHeight w:val="210"/>
        </w:trPr>
        <w:tc>
          <w:tcPr>
            <w:tcW w:w="7120" w:type="dxa"/>
            <w:vAlign w:val="bottom"/>
            <w:gridSpan w:val="3"/>
          </w:tcPr>
          <w:p>
            <w:pPr>
              <w:spacing w:after="0"/>
              <w:rPr>
                <w:sz w:val="20"/>
                <w:szCs w:val="20"/>
                <w:color w:val="auto"/>
              </w:rPr>
            </w:pPr>
            <w:r>
              <w:rPr>
                <w:rFonts w:ascii="Arial" w:cs="Arial" w:eastAsia="Arial" w:hAnsi="Arial"/>
                <w:sz w:val="18"/>
                <w:szCs w:val="18"/>
                <w:color w:val="auto"/>
              </w:rPr>
              <w:t>Total minimum payments required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11,141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Minimum lease payments shown above have not been reduced by minimum sublease rental income of $333 in 2014 due in the future under the non-cancelable sublease.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a summary of the rights and obligations attaching to the Class A common shares, Class B-1 common shares and Class B-2 common shares of Essent Group.</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Class A common shares ranked senior to the Class B-1 common shares and the Class B-2 common shares in all respects as to rights of payment and distribution. The Class B-1 common shares and the Class B-2 common shares ranked junior to the Class A common shares and pari passu with one another in all respects as to rights of payment and distribution.</w:t>
      </w:r>
    </w:p>
    <w:p>
      <w:pPr>
        <w:spacing w:after="0" w:line="19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holders of Class A common shares were entitled to receive cumulative compounding dividends prior and in preference to any declaration or payment of any dividend on any other class of shares in the capital of Essent Group, at the rate of ten percent of the Original Class A Issue Price per annum, compounded annually, on each outstanding Class A common share. Any dividend or other distribution declared or paid on any Class B common shares shall have been ratably declared and paid on all of the outstanding Class A common shares (based on "as-if-converted" to Class B-1 common share amounts) at the same time as such dividend is paid on such Class B common shares. Beginning December 15, 2009, under the terms of a fee agreement with Essent Group, certain investors were also entitled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 (Continued)</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receive an annual fee for each calendar year (or portion thereof) equal to the lesser of three-quarters of one percent of the total amount invested in Essent Group or a total of $2,300. The annual fee earned by these investors was $1,677 for the year ended December 31, 2011. The annual fee was waived by the investors for the years ended December 31, 2012 and thereafter.</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Each Class A common share was convertible, at any time at the option of the holder, into Class B-1 common shares of Essent Group. Each Class A common share was automatically convertible into Class B-1 common shares upon the earlier of (i) the consummation of a qualified public offering and (ii) the date specified by written consent of (A) the holders of at least seventy-five percent of the Class B-1 common shares issued or issuable upon conversion of the Class A common shares and (B) each of the Major Investors as defined in our bye-laws. The holder of each Class A common share had the right to one vote for each Class B-1 common share on an as-if-converted basis.</w:t>
      </w:r>
    </w:p>
    <w:p>
      <w:pPr>
        <w:spacing w:after="0" w:line="19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Vested Class B-2 common shares were automatically convertible into Class B-1 common shares upon the consummation of an initial public offering of Essent Group's Shares at an IPO Valuation in excess of the aggregate Class A Preference Amounts (as defined in the Bye-Laws) of all Class A common shares then outstanding. Class B-2 common shares had no voting rights.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Upon the closing of our IPO, our authorized share capital consists of 233.3 million shares of a single class of common shares (the "Common Shares"). All of our outstanding Class A common shares and Class B-2 common shares that were eligible for vesting under the 2009 Restricted Share Plan were converted into the Common Shares and the Common Shares were split 2 for 3. All of the remaining Class B-2 common shares that were not eligible for vesting under the 2009 Restricted Share Plan were forfeited.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On February 6, 2009, Essent Group adopted the 2009 Restricted Share Plan. In connection with the initial public offering in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The 2013 Plan authorized a total of 14,700 Common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Shares, which will be increased on the first day of each of the Company's fiscal years beginning with fiscal year 2014, in an amount equal to the lesser of (i) 1,500 Common Shares, (ii) 2% of the Company's outstanding Common Shares on the last day of the immediately preceding fiscal year, or (iii) such number of Common Shares as determined by the Company's Board of Directors. As of December 31, 2013, there were 12,322 Common Shares available for future grant under the 2013 Plan.</w:t>
      </w:r>
    </w:p>
    <w:p>
      <w:pPr>
        <w:spacing w:after="0" w:line="197" w:lineRule="exact"/>
        <w:rPr>
          <w:sz w:val="20"/>
          <w:szCs w:val="20"/>
          <w:color w:val="auto"/>
        </w:rPr>
      </w:pPr>
    </w:p>
    <w:p>
      <w:pPr>
        <w:jc w:val="both"/>
        <w:ind w:right="180" w:firstLine="351"/>
        <w:spacing w:after="0" w:line="323" w:lineRule="auto"/>
        <w:rPr>
          <w:sz w:val="20"/>
          <w:szCs w:val="20"/>
          <w:color w:val="auto"/>
        </w:rPr>
      </w:pPr>
      <w:r>
        <w:rPr>
          <w:rFonts w:ascii="Arial" w:cs="Arial" w:eastAsia="Arial" w:hAnsi="Arial"/>
          <w:sz w:val="15"/>
          <w:szCs w:val="15"/>
          <w:color w:val="auto"/>
        </w:rPr>
        <w:t>Class B-2 common share and per share data in all periods presented has been restated for the 2 for 3 share split and the 1 for 1 conversion rate to Common Shares that was effective immediately prior to the closing of the initial public offering. Class A common share and per share data has not been restated because the conversion to Common Shares in connection with the initial public offering was considered a value-for-value exchange of equity interests at the point of the transaction that resulted in a change in shareholder rights and rank before and after the transaction. There were no changes to the terms of these share grants.</w:t>
      </w:r>
    </w:p>
    <w:p>
      <w:pPr>
        <w:spacing w:after="0" w:line="15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Under the 2009 Restricted Share Plan, certain members of management were granted nonvested Class B-2 common shares upon their employment. The shares vest based on a formula that considers the amount of capital funded under the Amended Subscription Agreement and the period of employment of the respective employee. One-third of Class B-2 shares vest on the third, fourth and fifth anniversary of the employee's date of hire multiplied by the "Investment Percentage." The Investment Percentage is defined as the percentage equal to (i) the aggregate amount of equity capital actually invested in Essent Group pursuant to the Amended Subscription Agreement as of any applicable vesting date, divided by (ii) $750. The vesting period starts upon the respective employee's date of hire.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nonvested Class B-2 common share activity for the years ended December 31: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0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0.09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1.80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w w:val="79"/>
              </w:rPr>
              <w:t>0.26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0.17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0.10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0.09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(2,614)</w:t>
            </w:r>
          </w:p>
        </w:tc>
        <w:tc>
          <w:tcPr>
            <w:tcW w:w="8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0.13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w w:val="79"/>
              </w:rPr>
              <w:t>0.19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Converted to Common Shares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0.17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w w:val="79"/>
              </w:rPr>
              <w:t>0.11</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0.11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terms of certain employment contracts and other agreements, a portion of certain employees' annual incentive bonus were paid in Class A common shares which vest over periods of up to 3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nonvested Class A common share activity for the years ended December 31: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Converted to Common Shares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initial public offering, certain members of senior management were granted nonvested Common Shares under the 2013 Plan in September 2013. One-quarter of the nonvested Common Shares granted to Essent's Chief Executive Officer and one-half of the nonvested Common Shares granted to each other member of senior management are subject to time-based vesting, and will vest in equal annual installments during the four-year period commencing January 1, 2014. Three-quarters of the nonvested Common Shares granted to Essent's Chief Executive Officer and one-half of the nonvested Common Shares granted to each other member of senior management will be subject to time-based and performance-based vesting, with any nonvested Common Shares becoming earned based upon our compounded annual book value per share growth percentage during a three-year performance period commencing January 1, 2014, vesting on the one year anniversary of the completion of the performance period. The portion of the nonvested Common Shares that will be earned based upon the achievement of compounded annual book value per share growth is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Compounded</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Annual Book</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Nonvested</w:t>
            </w:r>
          </w:p>
        </w:tc>
      </w:tr>
      <w:tr>
        <w:trPr>
          <w:trHeight w:val="149"/>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Value Per</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level</w:t>
            </w:r>
          </w:p>
        </w:tc>
        <w:tc>
          <w:tcPr>
            <w:tcW w:w="4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 Growth</w:t>
            </w:r>
          </w:p>
        </w:tc>
        <w:tc>
          <w:tcPr>
            <w:tcW w:w="3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Earned</w:t>
            </w:r>
          </w:p>
        </w:tc>
        <w:tc>
          <w:tcPr>
            <w:tcW w:w="160" w:type="dxa"/>
            <w:vAlign w:val="bottom"/>
          </w:tcPr>
          <w:p>
            <w:pPr>
              <w:spacing w:after="0"/>
              <w:rPr>
                <w:sz w:val="14"/>
                <w:szCs w:val="14"/>
                <w:color w:val="auto"/>
              </w:rPr>
            </w:pPr>
          </w:p>
        </w:tc>
      </w:tr>
      <w:tr>
        <w:trPr>
          <w:trHeight w:val="210"/>
        </w:trPr>
        <w:tc>
          <w:tcPr>
            <w:tcW w:w="114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&lt; 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8"/>
        </w:trPr>
        <w:tc>
          <w:tcPr>
            <w:tcW w:w="1140" w:type="dxa"/>
            <w:vAlign w:val="bottom"/>
          </w:tcPr>
          <w:p>
            <w:pPr>
              <w:spacing w:after="0"/>
              <w:rPr>
                <w:sz w:val="20"/>
                <w:szCs w:val="20"/>
                <w:color w:val="auto"/>
              </w:rPr>
            </w:pPr>
            <w:r>
              <w:rPr>
                <w:rFonts w:ascii="Arial" w:cs="Arial" w:eastAsia="Arial" w:hAnsi="Arial"/>
                <w:sz w:val="18"/>
                <w:szCs w:val="18"/>
                <w:b w:val="1"/>
                <w:bCs w:val="1"/>
                <w:color w:val="auto"/>
              </w:rPr>
              <w:t>Threshold</w:t>
            </w: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spacing w:after="0"/>
              <w:rPr>
                <w:sz w:val="18"/>
                <w:szCs w:val="18"/>
                <w:color w:val="auto"/>
              </w:rPr>
            </w:pP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18"/>
                <w:szCs w:val="18"/>
                <w:color w:val="auto"/>
              </w:rPr>
            </w:pP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22"/>
        </w:trPr>
        <w:tc>
          <w:tcPr>
            <w:tcW w:w="1140" w:type="dxa"/>
            <w:vAlign w:val="bottom"/>
          </w:tcPr>
          <w:p>
            <w:pPr>
              <w:spacing w:after="0"/>
              <w:rPr>
                <w:sz w:val="19"/>
                <w:szCs w:val="19"/>
                <w:color w:val="auto"/>
              </w:rPr>
            </w:pP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r>
      <w:tr>
        <w:trPr>
          <w:trHeight w:val="218"/>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Maximum</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³ 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 line basis between the respective levels shown.</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Certain of the Company's employees who were not granted nonvested Common Shares were granted nonvested share units in October 2013 that will be settled with Common Shares, subject to time-based vesting, and will vest and settle in equal annual installments during the three-year period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commencing January 1, 2014. The following table summarizes nonvested Common Share and nonvested Common Share unit activity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639"/>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60" w:type="dxa"/>
            <w:vAlign w:val="bottom"/>
            <w:gridSpan w:val="4"/>
          </w:tcPr>
          <w:p>
            <w:pPr>
              <w:jc w:val="right"/>
              <w:ind w:right="119"/>
              <w:spacing w:after="0" w:line="129" w:lineRule="exact"/>
              <w:rPr>
                <w:sz w:val="20"/>
                <w:szCs w:val="20"/>
                <w:color w:val="auto"/>
              </w:rPr>
            </w:pPr>
            <w:r>
              <w:rPr>
                <w:rFonts w:ascii="Arial" w:cs="Arial" w:eastAsia="Arial" w:hAnsi="Arial"/>
                <w:sz w:val="14"/>
                <w:szCs w:val="14"/>
                <w:b w:val="1"/>
                <w:bCs w:val="1"/>
                <w:color w:val="auto"/>
                <w:w w:val="98"/>
              </w:rPr>
              <w:t>Time and Performance-</w:t>
            </w:r>
          </w:p>
        </w:tc>
        <w:tc>
          <w:tcPr>
            <w:tcW w:w="160" w:type="dxa"/>
            <w:vAlign w:val="bottom"/>
          </w:tcPr>
          <w:p>
            <w:pPr>
              <w:spacing w:after="0"/>
              <w:rPr>
                <w:sz w:val="11"/>
                <w:szCs w:val="11"/>
                <w:color w:val="auto"/>
              </w:rPr>
            </w:pPr>
          </w:p>
        </w:tc>
        <w:tc>
          <w:tcPr>
            <w:tcW w:w="1780" w:type="dxa"/>
            <w:vAlign w:val="bottom"/>
            <w:gridSpan w:val="5"/>
          </w:tcPr>
          <w:p>
            <w:pPr>
              <w:jc w:val="right"/>
              <w:ind w:right="299"/>
              <w:spacing w:after="0" w:line="129" w:lineRule="exact"/>
              <w:rPr>
                <w:sz w:val="20"/>
                <w:szCs w:val="20"/>
                <w:color w:val="auto"/>
              </w:rPr>
            </w:pPr>
            <w:r>
              <w:rPr>
                <w:rFonts w:ascii="Arial" w:cs="Arial" w:eastAsia="Arial" w:hAnsi="Arial"/>
                <w:sz w:val="14"/>
                <w:szCs w:val="14"/>
                <w:b w:val="1"/>
                <w:bCs w:val="1"/>
                <w:color w:val="auto"/>
              </w:rPr>
              <w:t>Time-Based Share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Based Share Awards</w:t>
            </w:r>
          </w:p>
        </w:tc>
        <w:tc>
          <w:tcPr>
            <w:tcW w:w="160" w:type="dxa"/>
            <w:vAlign w:val="bottom"/>
          </w:tcPr>
          <w:p>
            <w:pPr>
              <w:spacing w:after="0"/>
              <w:rPr>
                <w:sz w:val="14"/>
                <w:szCs w:val="14"/>
                <w:color w:val="auto"/>
              </w:rPr>
            </w:pPr>
          </w:p>
        </w:tc>
        <w:tc>
          <w:tcPr>
            <w:tcW w:w="1780" w:type="dxa"/>
            <w:vAlign w:val="bottom"/>
            <w:gridSpan w:val="5"/>
          </w:tcPr>
          <w:p>
            <w:pPr>
              <w:jc w:val="right"/>
              <w:ind w:right="599"/>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2020" w:type="dxa"/>
            <w:vAlign w:val="bottom"/>
            <w:gridSpan w:val="6"/>
          </w:tcPr>
          <w:p>
            <w:pPr>
              <w:ind w:left="580"/>
              <w:spacing w:after="0"/>
              <w:rPr>
                <w:sz w:val="20"/>
                <w:szCs w:val="20"/>
                <w:color w:val="auto"/>
              </w:rPr>
            </w:pPr>
            <w:r>
              <w:rPr>
                <w:rFonts w:ascii="Arial" w:cs="Arial" w:eastAsia="Arial" w:hAnsi="Arial"/>
                <w:sz w:val="14"/>
                <w:szCs w:val="14"/>
                <w:b w:val="1"/>
                <w:bCs w:val="1"/>
                <w:color w:val="auto"/>
              </w:rPr>
              <w:t>Share Units</w:t>
            </w: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Exchange of Class A and Class B-2 for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160"/>
              <w:spacing w:after="0"/>
              <w:rPr>
                <w:sz w:val="20"/>
                <w:szCs w:val="20"/>
                <w:color w:val="auto"/>
              </w:rPr>
            </w:pPr>
            <w:r>
              <w:rPr>
                <w:rFonts w:ascii="Arial" w:cs="Arial" w:eastAsia="Arial" w:hAnsi="Arial"/>
                <w:sz w:val="18"/>
                <w:szCs w:val="18"/>
                <w:color w:val="auto"/>
              </w:rPr>
              <w:t>Common Shares(1)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r>
      <w:tr>
        <w:trPr>
          <w:trHeight w:val="210"/>
        </w:trPr>
        <w:tc>
          <w:tcPr>
            <w:tcW w:w="3240" w:type="dxa"/>
            <w:vAlign w:val="bottom"/>
            <w:gridSpan w:val="3"/>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Class A and Class B-2 shares exchanged for Common Shares reflect the 2 for 3 share split and the applicable conversion rates to Common Shares that were effective immediately prior to the closing of the initial public offering.</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to the nonvested share activity above, the Compensation Committee of the Board of Directors approved the issuance of Class A common shares which vested upon issuance of 57, 48 and 46 in 2013, 2012 and 2011, respectively. The estimated fair market value for each of the Class A common shares issued at the date of grant was $10.92 in 2013, $10.11 in 2012 and $10.00 per share in 2011.</w:t>
      </w:r>
    </w:p>
    <w:p>
      <w:pPr>
        <w:spacing w:after="0" w:line="19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Prior to our initial public offering, independent appraisals were obtained in connection with the valuation of Class A and Class B-2 common shares. For nonvested Common Shares granted in September 2013,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 For nonvested Common Share units granted in October 2013, the initial public offering price of Common Shares was used. Subsequent to our initial public offering, quoted market prices were used for the valuation of Common Shares.</w:t>
      </w:r>
    </w:p>
    <w:p>
      <w:pPr>
        <w:spacing w:after="0" w:line="20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total fair value of nonvested shares that vested was $4,015, $3,062 and $560 for the years ended December 31, 2013, 2012 and 2011, respectively. As of December 31, 2013, there was $34,498 of total unrecognized compensation expense related to nonvested shares outstanding at December 31, 2013 and we expect to recognize the expense over a weighted average period of 3.6 years.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connection with our incentive program covering bonus awards for performance year 2013, in February 2014, the Compensation Committee of the Board of Directors approved the issuance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employees of 30 nonvested Common Shares, 60 nonvested Common Share units and 17 Common Shares which vested upon issuance. In February 2014, the Board of Directors also approved the issuance of 54 nonvested Common Shares related to long-term incentives.</w:t>
      </w:r>
    </w:p>
    <w:p>
      <w:pPr>
        <w:spacing w:after="0" w:line="186"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Employees have the option to tender shares to Essent Group to pay the minimum employee statutory withholding taxes associated with shares upon vesting. Class A common shares tendered by employees to pay employee withholding taxes totaled 18, 86 and 31 in 2013, 2012 and 2011, respectively. Class B-2 shares tendered by employees to pay employee withholding taxes totaled 2 in 2013. There were no Class B-2 common shares tendered in 2012 or 2011. Common Shares tendered by employees to pay employee withholding taxes totaled 4 in 2013. The tendered shares were recorded at cost and included in treasury stock.</w:t>
      </w:r>
    </w:p>
    <w:p>
      <w:pPr>
        <w:spacing w:after="0" w:line="152"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2013, Essent Group exercised its right to purchase 1.1 vested Class A common shares at fair value of $10.92 per share and 5 vested Class B-2 common shares at fair value of $1.80 per share from former employees. In 2012, Essent Group exercised its right to purchase 0.7 vested Class A common shares from a former employee at fair value of $10.11 per share. The repurchased shares were recorded at cost and included in treasury stock. All treasury stock has been cancelled as of December 31, 2013.</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expense, net of forfeitures, and related tax effects recognized in connection with nonvested shares were as follows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3,597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1,926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1,213</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Income tax benefit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1,259</w:t>
            </w:r>
          </w:p>
        </w:tc>
        <w:tc>
          <w:tcPr>
            <w:tcW w:w="620" w:type="dxa"/>
            <w:vAlign w:val="bottom"/>
          </w:tcPr>
          <w:p>
            <w:pPr>
              <w:jc w:val="right"/>
              <w:spacing w:after="0"/>
              <w:rPr>
                <w:sz w:val="20"/>
                <w:szCs w:val="20"/>
                <w:color w:val="auto"/>
              </w:rPr>
            </w:pPr>
            <w:r>
              <w:rPr>
                <w:rFonts w:ascii="Arial" w:cs="Arial" w:eastAsia="Arial" w:hAnsi="Arial"/>
                <w:sz w:val="18"/>
                <w:szCs w:val="18"/>
                <w:color w:val="auto"/>
              </w:rPr>
              <w:t>674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425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31"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Our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percent of the preceding year-end statutory policyholders' surplus or (ii) the preceding year's statutory net income. The Pennsylvania statute also specifies that dividends and other distributions can be paid out of positive unassigned surplus without prior approval. Essent Guaranty currently has negative unassigned surplus and, therefore, would require prior approval by the Pennsylvania Insurance Commissioner to make any dividend payment or other distributions in 2014. Essent PA would be able to pay a dividend of $528 in 2014. At December 31, 2013, the insurance subsidiaries were in compliance with these rules and regulations. Essent Guaranty paid no dividends to Essent Group or any intermediate holding companies in the years ended December 31, 2013, 2012 or 2011. In December 2013, Essent PA paid a dividend of $5 to its parent company, Essent Holdings.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31" w:lineRule="exact"/>
        <w:rPr>
          <w:sz w:val="20"/>
          <w:szCs w:val="20"/>
          <w:color w:val="auto"/>
        </w:rPr>
      </w:pPr>
    </w:p>
    <w:p>
      <w:pPr>
        <w:ind w:right="300" w:firstLine="341"/>
        <w:spacing w:after="0" w:line="370" w:lineRule="auto"/>
        <w:rPr>
          <w:sz w:val="20"/>
          <w:szCs w:val="20"/>
          <w:color w:val="auto"/>
        </w:rPr>
      </w:pPr>
      <w:r>
        <w:rPr>
          <w:rFonts w:ascii="Arial" w:cs="Arial" w:eastAsia="Arial" w:hAnsi="Arial"/>
          <w:sz w:val="15"/>
          <w:szCs w:val="15"/>
          <w:color w:val="auto"/>
        </w:rPr>
        <w:t>As of December 31, 2013, the statutory income tax rates of the countries where the Company does business are 35% in the United States and 0.0% in Bermuda. The statutory income tax rate of each country is applied against the taxable income from each country to calculate the income tax expense (benefit).</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(benefit) consists of the following components for the years ended December 31: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(8,267)</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0"/>
        </w:trPr>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(7,386)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Income tax expense (benefit) is different from that which would be obtained by applying the applicable statutory income tax rates to income before taxes by jurisdiction (i.e. U.S. 35%; Bermuda 0.0%). The reconciliation of the difference between income tax expense (benefit) and the expected tax provision at the weighted average tax rate is as follows for the years ended December 31:</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 of pretax</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 of pretax</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 of pretax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income</w:t>
            </w: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loss</w:t>
            </w: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Tax provision (benefit) at weighted average</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statutory rates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21,405</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 $</w:t>
            </w: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(4,394)</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 $</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(11,723)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w w:val="95"/>
              </w:rPr>
              <w:t>(28,886)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3,933</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10,784</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color w:val="auto"/>
              </w:rPr>
              <w:t>Total income tax benefit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(7,386</w:t>
            </w:r>
          </w:p>
        </w:tc>
        <w:tc>
          <w:tcPr>
            <w:tcW w:w="160" w:type="dxa"/>
            <w:vAlign w:val="bottom"/>
            <w:vMerge w:val="continue"/>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(12.7)% $</w:t>
            </w: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vMerge w:val="continue"/>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2.4% $</w:t>
            </w:r>
          </w:p>
        </w:tc>
        <w:tc>
          <w:tcPr>
            <w:tcW w:w="620" w:type="dxa"/>
            <w:vAlign w:val="bottom"/>
          </w:tcPr>
          <w:p>
            <w:pPr>
              <w:jc w:val="right"/>
              <w:spacing w:after="0"/>
              <w:rPr>
                <w:sz w:val="20"/>
                <w:szCs w:val="20"/>
                <w:color w:val="auto"/>
              </w:rPr>
            </w:pPr>
            <w:r>
              <w:rPr>
                <w:rFonts w:ascii="Arial" w:cs="Arial" w:eastAsia="Arial" w:hAnsi="Arial"/>
                <w:sz w:val="18"/>
                <w:szCs w:val="18"/>
                <w:color w:val="auto"/>
              </w:rPr>
              <w:t>(895)</w:t>
            </w:r>
          </w:p>
        </w:tc>
        <w:tc>
          <w:tcPr>
            <w:tcW w:w="160" w:type="dxa"/>
            <w:vAlign w:val="bottom"/>
            <w:vMerge w:val="continue"/>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provide deferred taxes to reflect the estimated future tax effects of the differences between the financial statement and tax bases of assets and liabilities using currently enacted tax laws. The net deferred tax asset is comprised of the following at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(16,697)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deferred tax asset before valuation allowance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Valuation allowance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(28,886)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60" w:type="dxa"/>
            <w:vAlign w:val="bottom"/>
            <w:vMerge w:val="restart"/>
          </w:tcPr>
          <w:p>
            <w:pPr>
              <w:jc w:val="right"/>
              <w:ind w:right="1912"/>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net deferred tax asset were as follows at December 31:</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Contingency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(14,420)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4,214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Start-up expenditures,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5,519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Nonvested shares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Alternative minimum tax credit carryforward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Unrealized loss (gain) on investments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Organizational expenditures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12,742</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Net deferred tax assets before valuation allowance</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28,886</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(28,886)</w:t>
            </w: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year ended December 31, 2013, we purchased T&amp;L Bonds for $8.0 million, which is reflected on our consolidated balance sheets as prepaid federal income tax. Alternative minimum tax carryforwards do not expire.</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evaluating our ability to realize the benefit of our deferred tax assets, we consider the relevant impact of all available positive and negative evidence including our past operating results and our forecasts of future taxable income. As of December 31, 2012, Essent had generated a cumulative net operating loss from inception through each annual reporting period. ASC No. 740 states that forming a conclusion that a valuation allowance is not needed is difficult when there is negative evidence such as cumulative losses in recent years. Accordingly, we concluded that a valuation allowance was required in each reporting period from inception through December 31, 2012. As of December 31, 2012, the valuation allowance was $28,886. In the second quarter of 2013, based on actual results through June 30, 2013 as well as forecasted full year 2013 results, management anticipated that Essent would be in a cumulative GAAP net income position for the most recent three year period and expected that Essent would utilize our net operating loss carryforwards and would be in a cumulative net taxable income position since inception. At June 30, 2013 and December 31, 2013, after weighing all the evidence, management concluded that it was more likely than not that our deferred tax assets would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 (Continued)</w:t>
      </w:r>
    </w:p>
    <w:p>
      <w:pPr>
        <w:spacing w:after="0" w:line="2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realized. As a result, we released the valuation allowance on our deferred tax assets, and recognized a net deferred tax benefit of $8,267 in the year ended December 31, 2013.</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Under current Bermuda law, the parent company, Essent Group Ltd., and its Bermuda subsidiary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61" w:lineRule="exact"/>
        <w:rPr>
          <w:sz w:val="20"/>
          <w:szCs w:val="20"/>
          <w:color w:val="auto"/>
        </w:rPr>
      </w:pPr>
    </w:p>
    <w:p>
      <w:pPr>
        <w:ind w:right="600" w:firstLine="351"/>
        <w:spacing w:after="0" w:line="259" w:lineRule="auto"/>
        <w:rPr>
          <w:sz w:val="20"/>
          <w:szCs w:val="20"/>
          <w:color w:val="auto"/>
        </w:rPr>
      </w:pPr>
      <w:r>
        <w:rPr>
          <w:rFonts w:ascii="Arial" w:cs="Arial" w:eastAsia="Arial" w:hAnsi="Arial"/>
          <w:sz w:val="18"/>
          <w:szCs w:val="18"/>
          <w:color w:val="auto"/>
        </w:rPr>
        <w:t>Essent Holdings and its subsidiaries are subject to income taxes imposed by U.S. authorities and file a U.S. Consolidated Income Tax Return. Each subsidiary has executed a tax sharing agreement with its parent company, which provides that taxes are settled in cash between parent and subsidiary on a quarterly basis based on separate company pro-forma calculations.</w:t>
      </w:r>
    </w:p>
    <w:p>
      <w:pPr>
        <w:spacing w:after="0" w:line="194"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At December 31, 2013 and 2012, we had no unrecognized tax benefits. As of December 31, 2013, our U.S. federal income tax returns for the tax years 2009 through 2012 remain subject to examination. The Company has not recorded any uncertain tax positions as of December 31, 2013 or December 31,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is a party to an investment advisory agreement with Goldman Sachs Asset Management, L.P., a subsidiary of The Goldman Sachs Group, Inc. ("Goldman Sachs"), one of Essent Group's investors. Through the date of our initial public offering, Goldman Sachs beneficially owned 11.35% of our outstanding shares. Subsequent to the initial public offering, Goldman Sachs held less than 10% of our outstanding shares, and therefore the Company no longer considered Goldman Sachs to be a related party. Investment expense incurred under the investment advisory agreement totaled $374, $184, and $104 for the years ended December 31, 2013, 2012 and 2011,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(Loss) per Share (EPS)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reconciles the net income (loss) and the weighted average common shares outstanding used in the computations of basic and diluted loss per common share for the years ended December 31:</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65,413</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(13,543)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8"/>
              </w:rPr>
              <w:t>(33,555)</w:t>
            </w: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Less: Class A dividends declared</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Class B-2 dividends declared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Undistributed net income (loss)</w:t>
            </w:r>
          </w:p>
        </w:tc>
        <w:tc>
          <w:tcPr>
            <w:tcW w:w="1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65,413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(13,543</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(33,555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allocable to Common</w:t>
            </w:r>
          </w:p>
        </w:tc>
        <w:tc>
          <w:tcPr>
            <w:tcW w:w="1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12,706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2"/>
              <w:spacing w:after="0" w:line="196" w:lineRule="exact"/>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78"/>
              <w:spacing w:after="0" w:line="196" w:lineRule="exact"/>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 allocable to Class 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52,707</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w w:val="95"/>
              </w:rPr>
              <w:t>(13,541)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w w:val="98"/>
              </w:rPr>
              <w:t>(33,555)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Class B-2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Basic earnings (loss) per share: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Class 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(0.49)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Class 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(0.49)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Basic weighted average common shares outstanding:</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Class 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Dilutive effect of nonvested shares: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Class 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Diluted weighted average common shares outstanding:</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Class 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Prior to the conversion to Common Shares upon completion of the IPO, all of the Class A shares were contingently issuable potential Common Shares, but they were antidilutive to the diluted earnings per Common Share calculation in 2013. There were no other antidilutive shares for 2013. For the year ended December 31, 2012, 343 nonvested Class A shares were antidilutive and 5,663 nonvested Class B-2 shares were antidilutive. For the year ended December 31, 2011, 251 nonvested Class A shares were antidilutive and 5,659 nonvested Class B-2 shares were antidilutive.</w:t>
      </w:r>
    </w:p>
    <w:p>
      <w:pPr>
        <w:spacing w:after="0" w:line="167" w:lineRule="exact"/>
        <w:rPr>
          <w:sz w:val="20"/>
          <w:szCs w:val="20"/>
          <w:color w:val="auto"/>
        </w:rPr>
      </w:pPr>
    </w:p>
    <w:p>
      <w:pPr>
        <w:jc w:val="both"/>
        <w:ind w:right="300" w:firstLine="341"/>
        <w:spacing w:after="0" w:line="259" w:lineRule="auto"/>
        <w:rPr>
          <w:sz w:val="20"/>
          <w:szCs w:val="20"/>
          <w:color w:val="auto"/>
        </w:rPr>
      </w:pPr>
      <w:r>
        <w:rPr>
          <w:rFonts w:ascii="Arial" w:cs="Arial" w:eastAsia="Arial" w:hAnsi="Arial"/>
          <w:sz w:val="18"/>
          <w:szCs w:val="18"/>
          <w:color w:val="auto"/>
        </w:rPr>
        <w:t>As indicated in Note 9, Class A common shares were entitled to receive cumulative compounding dividends prior and in preference to any declaration or payment of any dividend on the Class B-2 common shares. In periods of income, the undistributed net income was allocated to the Class A common shares to satisfy this requirement. In periods of loss, the undistributed net loss has been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(Loss) per Share (EPS)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allocated pro rata to the Class A and Class B-2 shares in proportion to their percentage of vested equity capital. During the fourth quarter of 2013, the Company corrected the allocation of undistributed earnings to the Class A and Class B-2 shares from amounts previously presented. As a result, undistributed earnings for the six months ended June 30, 2013 and nine months ended September 30, 2013 allocated to the Class B-2 shares was increased by $540 and $669, respectively, and the undistributed earnings allocated to the Class A shares was reduced by the same amounts. The Company has evaluated this correction and concluded that the impact on the previously reported amounts is not material to the consolidated financial statements for these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 2013:</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3"/>
              </w:rPr>
              <w:t>Before Tax</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Tax Effect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Net of Tax</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holding losses arising during the period</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r>
      <w:tr>
        <w:trPr>
          <w:trHeight w:val="216"/>
        </w:trPr>
        <w:tc>
          <w:tcPr>
            <w:tcW w:w="2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Less: Reclassification adjustment for gains included in net income(1)</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unrealized losses on investments</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w:t>
            </w:r>
          </w:p>
        </w:tc>
      </w:tr>
      <w:tr>
        <w:trPr>
          <w:trHeight w:val="210"/>
        </w:trPr>
        <w:tc>
          <w:tcPr>
            <w:tcW w:w="6340" w:type="dxa"/>
            <w:vAlign w:val="bottom"/>
            <w:gridSpan w:val="3"/>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(5,941)</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(3,861)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580" w:right="3500" w:hanging="4431"/>
        <w:spacing w:after="0" w:line="519" w:lineRule="auto"/>
        <w:tabs>
          <w:tab w:leader="none" w:pos="1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in net realized investments gains on our consolidated statement of operations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59,187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U.S. agency mortgage-backed securities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22,241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Municipal debt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125,593</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20,385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332,555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Amounts due under Asset Purchase Agreement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24"/>
                <w:szCs w:val="2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1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79,488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U.S. agency mortgage-backed securities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29,640</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Municipal debt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63,399</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8,951</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247,414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247,414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Amounts due under Asset Purchase Agreement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fair-value hierarchy are as follows:</w:t>
      </w:r>
    </w:p>
    <w:p>
      <w:pPr>
        <w:spacing w:after="0" w:line="211" w:lineRule="exact"/>
        <w:rPr>
          <w:sz w:val="20"/>
          <w:szCs w:val="20"/>
          <w:color w:val="auto"/>
        </w:rPr>
      </w:pPr>
    </w:p>
    <w:p>
      <w:pPr>
        <w:ind w:left="5580" w:right="3060" w:hanging="5032"/>
        <w:spacing w:after="0" w:line="519" w:lineRule="auto"/>
        <w:tabs>
          <w:tab w:leader="none" w:pos="1086"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45" w:lineRule="exact"/>
        <w:rPr>
          <w:sz w:val="20"/>
          <w:szCs w:val="20"/>
          <w:color w:val="auto"/>
        </w:rPr>
      </w:pPr>
    </w:p>
    <w:p>
      <w:pPr>
        <w:jc w:val="both"/>
        <w:ind w:left="1080" w:right="6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 No financial instruments were classified as Level 3 at December 31, 2013 or 2012.</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39" w:lineRule="exact"/>
        <w:rPr>
          <w:sz w:val="20"/>
          <w:szCs w:val="20"/>
          <w:color w:val="auto"/>
        </w:rPr>
      </w:pPr>
    </w:p>
    <w:p>
      <w:pPr>
        <w:ind w:left="1080" w:right="100" w:hanging="532"/>
        <w:spacing w:after="0" w:line="29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securities, corporate debt securities and asset-backed securities are classified as Level 2 investments.</w:t>
      </w:r>
    </w:p>
    <w:p>
      <w:pPr>
        <w:spacing w:after="0" w:line="174" w:lineRule="exact"/>
        <w:rPr>
          <w:rFonts w:ascii="Arial" w:cs="Arial" w:eastAsia="Arial" w:hAnsi="Arial"/>
          <w:sz w:val="16"/>
          <w:szCs w:val="16"/>
          <w:color w:val="auto"/>
        </w:rPr>
      </w:pPr>
    </w:p>
    <w:p>
      <w:pPr>
        <w:ind w:left="1080"/>
        <w:spacing w:after="0" w:line="290"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85" w:lineRule="exact"/>
        <w:rPr>
          <w:rFonts w:ascii="Arial" w:cs="Arial" w:eastAsia="Arial" w:hAnsi="Arial"/>
          <w:sz w:val="16"/>
          <w:szCs w:val="16"/>
          <w:color w:val="auto"/>
        </w:rPr>
      </w:pPr>
    </w:p>
    <w:p>
      <w:pPr>
        <w:ind w:left="1080" w:right="160" w:hanging="532"/>
        <w:spacing w:after="0" w:line="335" w:lineRule="auto"/>
        <w:tabs>
          <w:tab w:leader="none" w:pos="10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Amounts due under Asset Purchase Agreement—The fair value of amounts due under Asset Purchase Agreement is estimated using discounted cash flow analyses based on current risk-free interest rates of securities with similar maturities. The fair value estimates of amounts due under Asset Purchase Agreement are classified as Level 2 since quoted market prices are not available, but observable inputs are used in the valuation.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assets measured at fair value at December 31, 2013 are categorized in the table below based upon the lowest level of significant input to the valuations.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fair value measurements at the reporting date were on a recurring basis. We had no liabilities measured at fair value at December 31, 2013.</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Quoted Prices 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Instruments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59,187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59,187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U.S. agency mortgage-backed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Municipal debt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125,593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216,876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332,555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Statutory Accounting</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domestic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or loss, statutory surplus and contingency reserve liability as of and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Essent Guaranty</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Statutory net income (loss)</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49,838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(34,094)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surplus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346,406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163,790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141,939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Contingency reserve liability</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79,921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23,313</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Essent PA</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Statutory net income</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surplus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4,645</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040" w:type="dxa"/>
            <w:vAlign w:val="bottom"/>
          </w:tcPr>
          <w:p>
            <w:pPr>
              <w:ind w:left="180"/>
              <w:spacing w:after="0"/>
              <w:rPr>
                <w:sz w:val="20"/>
                <w:szCs w:val="20"/>
                <w:color w:val="auto"/>
              </w:rPr>
            </w:pPr>
            <w:r>
              <w:rPr>
                <w:rFonts w:ascii="Arial" w:cs="Arial" w:eastAsia="Arial" w:hAnsi="Arial"/>
                <w:sz w:val="18"/>
                <w:szCs w:val="18"/>
                <w:color w:val="auto"/>
              </w:rPr>
              <w:t>Contingency reserve liability</w:t>
            </w: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6,857</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00" w:type="dxa"/>
            <w:vAlign w:val="bottom"/>
          </w:tcPr>
          <w:p>
            <w:pPr>
              <w:jc w:val="right"/>
              <w:ind w:right="932"/>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Statutory Accounting (Continued)</w:t>
      </w:r>
    </w:p>
    <w:p>
      <w:pPr>
        <w:spacing w:after="0" w:line="231"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At December 31, 2013, 2012 and 2011, the statutory capital of our insurance subsidiaries, which is defined as the total of statutory surplus and contingency reserves, was well in excess of the statutory capital necessary to satisfy the insurance subsidiaries' regulatory requirements.</w:t>
      </w:r>
    </w:p>
    <w:p>
      <w:pPr>
        <w:spacing w:after="0" w:line="13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2013, Essent Guaranty increased its contingency reserve by $56,608 and Essent PA increased its contingency reserve by $5,077.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2013, 2012 or 2011.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Maintenance Agreement</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 to capital ratio at or below 25.0 to 1 in return for a surplus note. As of December 31, 2013, Essent PA's risk to capital ratio was 17.1 to 1 and there were no amounts outstanding related to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summarizes the unaudited results of operations for each quarter of 2013 and 2012. We have prepared the consolidated quarterly information on a basis consistent with the audited consolidated financial statements. In the opinion of management, the financial information reflects all adjustments (which include normal recurring adjustments) required for a fair presentation of the financial information for the quarters presented. This information should be read in conjunction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audited financial statements and the related notes. The results of interim periods are not necessarily indicative of the results for the full year.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(in thousands, except per share amounts)</w:t>
            </w: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2"/>
                <w:szCs w:val="12"/>
                <w:color w:val="auto"/>
              </w:rPr>
            </w:pPr>
          </w:p>
        </w:tc>
        <w:tc>
          <w:tcPr>
            <w:tcW w:w="96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June 30</w:t>
            </w:r>
          </w:p>
        </w:tc>
        <w:tc>
          <w:tcPr>
            <w:tcW w:w="1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40,344</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34,282</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21,264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underwriting and operating expenses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allocable to Common</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income allocable to Class A</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allocable to Class B-2</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40" w:type="dxa"/>
            <w:vAlign w:val="bottom"/>
            <w:gridSpan w:val="3"/>
          </w:tcPr>
          <w:p>
            <w:pPr>
              <w:ind w:left="1140"/>
              <w:spacing w:after="0"/>
              <w:rPr>
                <w:sz w:val="20"/>
                <w:szCs w:val="20"/>
                <w:color w:val="auto"/>
              </w:rPr>
            </w:pPr>
            <w:r>
              <w:rPr>
                <w:rFonts w:ascii="Arial" w:cs="Arial" w:eastAsia="Arial" w:hAnsi="Arial"/>
                <w:sz w:val="18"/>
                <w:szCs w:val="18"/>
                <w:color w:val="auto"/>
              </w:rPr>
              <w:t>Basic earnings per share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44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44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31,805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31,864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 thousands except per share amounts,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June 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w:t>
            </w:r>
          </w:p>
        </w:tc>
        <w:tc>
          <w:tcPr>
            <w:tcW w:w="4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revenues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underwriting and operating expenses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(loss)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Common</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(loss) allocable to Class A</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(7,746)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Class B-2</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r>
      <w:tr>
        <w:trPr>
          <w:trHeight w:val="430"/>
        </w:trPr>
        <w:tc>
          <w:tcPr>
            <w:tcW w:w="4940" w:type="dxa"/>
            <w:vAlign w:val="bottom"/>
            <w:gridSpan w:val="2"/>
          </w:tcPr>
          <w:p>
            <w:pPr>
              <w:ind w:left="1140"/>
              <w:spacing w:after="0"/>
              <w:rPr>
                <w:sz w:val="20"/>
                <w:szCs w:val="20"/>
                <w:color w:val="auto"/>
              </w:rPr>
            </w:pPr>
            <w:r>
              <w:rPr>
                <w:rFonts w:ascii="Arial" w:cs="Arial" w:eastAsia="Arial" w:hAnsi="Arial"/>
                <w:sz w:val="18"/>
                <w:szCs w:val="18"/>
                <w:color w:val="auto"/>
              </w:rPr>
              <w:t>Basic earnings (loss) per share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Class A common shares</w:t>
            </w:r>
          </w:p>
        </w:tc>
        <w:tc>
          <w:tcPr>
            <w:tcW w:w="1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Class A common shares</w:t>
            </w:r>
          </w:p>
        </w:tc>
        <w:tc>
          <w:tcPr>
            <w:tcW w:w="1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Class A common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25,672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Class A common shares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31,293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25,672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8"/>
              </w:rPr>
              <w:t>Amount at which</w:t>
            </w:r>
          </w:p>
        </w:tc>
        <w:tc>
          <w:tcPr>
            <w:tcW w:w="0" w:type="dxa"/>
            <w:vAlign w:val="bottom"/>
          </w:tcPr>
          <w:p>
            <w:pPr>
              <w:spacing w:after="0"/>
              <w:rPr>
                <w:sz w:val="1"/>
                <w:szCs w:val="1"/>
                <w:color w:val="auto"/>
              </w:rPr>
            </w:pPr>
          </w:p>
        </w:tc>
      </w:tr>
      <w:tr>
        <w:trPr>
          <w:trHeight w:val="149"/>
        </w:trPr>
        <w:tc>
          <w:tcPr>
            <w:tcW w:w="666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4"/>
              </w:rPr>
              <w:t>shown in the</w:t>
            </w:r>
          </w:p>
        </w:tc>
        <w:tc>
          <w:tcPr>
            <w:tcW w:w="0" w:type="dxa"/>
            <w:vAlign w:val="bottom"/>
          </w:tcPr>
          <w:p>
            <w:pPr>
              <w:spacing w:after="0"/>
              <w:rPr>
                <w:sz w:val="1"/>
                <w:szCs w:val="1"/>
                <w:color w:val="auto"/>
              </w:rPr>
            </w:pPr>
          </w:p>
        </w:tc>
      </w:tr>
      <w:tr>
        <w:trPr>
          <w:trHeight w:val="161"/>
        </w:trPr>
        <w:tc>
          <w:tcPr>
            <w:tcW w:w="666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3"/>
              </w:rPr>
              <w:t>Balance Sheet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Fixed maturities:</w:t>
            </w:r>
          </w:p>
        </w:tc>
        <w:tc>
          <w:tcPr>
            <w:tcW w:w="4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United States Government and government agencies and authorities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States, municipalities and political subdivisions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Public utilities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Mortgage-backed securities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All other corporate bonds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125,593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Total fixed maturities</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320,703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318,476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318,476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Total investments</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334,782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332,555</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jc w:val="right"/>
              <w:ind w:right="820"/>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Schedule II—Financial Information of Registrant</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6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Due from affiliates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476,066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215,861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723,775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Due to affiliates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2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754,390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347,924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(32,099)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722,141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219,123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723,775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1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Statements of Comprehensive Income (Loss)</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Expenses: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service fees to subsidiaries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w w:val="98"/>
              </w:rPr>
              <w:t>Loss before income taxes and equity in undistributed net income in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equity in undistributed net loss of subsidiaries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Equity in undistributed net Income (loss) of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67,066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(13,250)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(33,302)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65,413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(13,543)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Unrealized (depreciation) appreciation of investments, net of tax (expense) benefit of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$(2,080) in 2013, $333 in 2012 and $895 in 2011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Total other comprehensive (loss) income</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(3,861)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 (loss)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61,552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(12,925)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1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Parent Company Only</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65,413</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(13,543)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Equity in net income of subsidiaries</w:t>
            </w:r>
          </w:p>
        </w:tc>
        <w:tc>
          <w:tcPr>
            <w:tcW w:w="1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(67,066)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Investments in subsidiaries</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(197,000)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(54,567)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short-term investments available for sale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Proceeds from sales of short-term investments available for sale</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(196,001)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(56,568)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(23,405)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of common shares, net of costs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Treasury stock acquired</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fee payment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0"/>
        </w:trPr>
        <w:tc>
          <w:tcPr>
            <w:tcW w:w="626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438,092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1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31"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equity-method of accounting for its majority owned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insurance laws of the Commonwealth of Pennsylvania, the insurance subsidiaries may pay dividends during any 12-month period in an amount equal to the greater of (i) 10 percent of the preceding year-end statutory policyholders' surplus or (ii) the preceding year's statutory net income. The Pennsylvania statute also requires that dividends and other distributions be paid out of positive unassigned surplus without prior approval. Essent Guaranty currently has negative unassigned surplus and therefore, would require prior approval by the Pennsylvania Insurance Commissioner to make any dividend payment or other distributions in 2014. Essent PA would be able to pay a dividend of $528 in 2014.</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three years ending December 31, 2013, the Parent Company did not receive any dividends from its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the end of the period covered by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the rules of the Securities and Exchange Commission for newly public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2014 Annual General Meeting of Shareholders.</w:t>
      </w:r>
    </w:p>
    <w:p>
      <w:pPr>
        <w:spacing w:after="0" w:line="2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2014 Annual General Meeting of Shareholders.</w:t>
      </w: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2014 Annual General Meeting of Shareholders.</w:t>
      </w: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2014 Annual General Meeting of Shareholders.</w:t>
      </w: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left="5580" w:right="60" w:hanging="5222"/>
        <w:spacing w:after="0" w:line="519" w:lineRule="auto"/>
        <w:rPr>
          <w:sz w:val="20"/>
          <w:szCs w:val="20"/>
          <w:color w:val="auto"/>
        </w:rPr>
      </w:pPr>
      <w:r>
        <w:rPr>
          <w:rFonts w:ascii="Arial" w:cs="Arial" w:eastAsia="Arial" w:hAnsi="Arial"/>
          <w:sz w:val="18"/>
          <w:szCs w:val="18"/>
          <w:color w:val="auto"/>
        </w:rPr>
        <w:t>Incorporated herein by reference to our definitive proxy statement to be filed with respect to our 2014 Annual General Meeting of Shareholders.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131" w:right="10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Financial Statements—See the "Index to Consolidated Financial Statements" included in Item 8 of Part II of this Annual Report for a list of the financial statements filed as a part of this Annual Report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Financial Statements Schedules. See the "Index to Financial Statement Schedules" included in Item 8 of Part II of this Annual Report for a list of the financial statements filed as a part of this Annual Report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Exhibits. See the "Exhibit Index" immediately following the signature page to this Annual Report.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10th day of March, 2014.</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ESSENT GROUP LTD.</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Mark A. Casale</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Chief Executive Officer and Chairman</w:t>
      </w:r>
    </w:p>
    <w:p>
      <w:pPr>
        <w:spacing w:after="0" w:line="219"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MARK A. CASALE</w:t>
            </w: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President, Chief Executive Officer and Chairman</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91"/>
              </w:rPr>
              <w:t>(principal executive officer)</w:t>
            </w: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Mark A. Casale</w:t>
            </w:r>
          </w:p>
        </w:tc>
        <w:tc>
          <w:tcPr>
            <w:tcW w:w="394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LAWRENCE E. MCALEE</w:t>
            </w:r>
          </w:p>
        </w:tc>
        <w:tc>
          <w:tcPr>
            <w:tcW w:w="3940" w:type="dxa"/>
            <w:vAlign w:val="bottom"/>
          </w:tcPr>
          <w:p>
            <w:pPr>
              <w:jc w:val="center"/>
              <w:spacing w:after="0"/>
              <w:rPr>
                <w:sz w:val="20"/>
                <w:szCs w:val="20"/>
                <w:color w:val="auto"/>
              </w:rPr>
            </w:pPr>
            <w:r>
              <w:rPr>
                <w:rFonts w:ascii="Arial" w:cs="Arial" w:eastAsia="Arial" w:hAnsi="Arial"/>
                <w:sz w:val="18"/>
                <w:szCs w:val="18"/>
                <w:color w:val="auto"/>
                <w:w w:val="89"/>
              </w:rPr>
              <w:t>Senior Vice President and Chief Financial Officer</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Lawrence E. McAlee</w:t>
            </w:r>
          </w:p>
        </w:tc>
        <w:tc>
          <w:tcPr>
            <w:tcW w:w="394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DAVID WEINSTOCK</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Vice President and Chief Accounting Officer</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vMerge w:val="restart"/>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David Weinstock</w:t>
            </w:r>
          </w:p>
        </w:tc>
        <w:tc>
          <w:tcPr>
            <w:tcW w:w="394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ADITYA DUTT</w:t>
            </w: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Aditya Dutt</w:t>
            </w:r>
          </w:p>
        </w:tc>
        <w:tc>
          <w:tcPr>
            <w:tcW w:w="3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ROBERT GLANVILLE</w:t>
            </w: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Robert Glanville</w:t>
            </w:r>
          </w:p>
        </w:tc>
        <w:tc>
          <w:tcPr>
            <w:tcW w:w="3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ROY J. KASMAR</w:t>
            </w: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Roy J. Kasmar</w:t>
            </w:r>
          </w:p>
        </w:tc>
        <w:tc>
          <w:tcPr>
            <w:tcW w:w="3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/s/ ALLAN LEVINE</w:t>
            </w: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tcPr>
          <w:p>
            <w:pPr>
              <w:ind w:left="240"/>
              <w:spacing w:after="0"/>
              <w:rPr>
                <w:sz w:val="20"/>
                <w:szCs w:val="20"/>
                <w:color w:val="auto"/>
              </w:rPr>
            </w:pPr>
            <w:r>
              <w:rPr>
                <w:rFonts w:ascii="Arial" w:cs="Arial" w:eastAsia="Arial" w:hAnsi="Arial"/>
                <w:sz w:val="18"/>
                <w:szCs w:val="18"/>
                <w:color w:val="auto"/>
              </w:rPr>
              <w:t>March 10,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Allan Levine</w:t>
            </w:r>
          </w:p>
        </w:tc>
        <w:tc>
          <w:tcPr>
            <w:tcW w:w="3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40" w:type="dxa"/>
            <w:vAlign w:val="bottom"/>
          </w:tcPr>
          <w:p>
            <w:pPr>
              <w:jc w:val="right"/>
              <w:ind w:right="2752"/>
              <w:spacing w:after="0"/>
              <w:rPr>
                <w:sz w:val="20"/>
                <w:szCs w:val="20"/>
                <w:color w:val="auto"/>
              </w:rPr>
            </w:pPr>
            <w:r>
              <w:rPr>
                <w:rFonts w:ascii="Arial" w:cs="Arial" w:eastAsia="Arial" w:hAnsi="Arial"/>
                <w:sz w:val="18"/>
                <w:szCs w:val="18"/>
                <w:color w:val="auto"/>
              </w:rPr>
              <w:t>148</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DOUGLAS J. PAULS</w:t>
            </w:r>
          </w:p>
        </w:tc>
        <w:tc>
          <w:tcPr>
            <w:tcW w:w="32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Douglas J. Pauls</w:t>
            </w:r>
          </w:p>
        </w:tc>
        <w:tc>
          <w:tcPr>
            <w:tcW w:w="3200" w:type="dxa"/>
            <w:vAlign w:val="bottom"/>
          </w:tcPr>
          <w:p>
            <w:pPr>
              <w:ind w:left="164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980"/>
              <w:spacing w:after="0"/>
              <w:rPr>
                <w:sz w:val="20"/>
                <w:szCs w:val="20"/>
                <w:color w:val="auto"/>
              </w:rPr>
            </w:pPr>
            <w:r>
              <w:rPr>
                <w:rFonts w:ascii="Arial" w:cs="Arial" w:eastAsia="Arial" w:hAnsi="Arial"/>
                <w:sz w:val="18"/>
                <w:szCs w:val="18"/>
                <w:color w:val="auto"/>
              </w:rPr>
              <w:t>March 10, 2014</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WILLIAM SPIEGEL</w:t>
            </w:r>
          </w:p>
        </w:tc>
        <w:tc>
          <w:tcPr>
            <w:tcW w:w="32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William Spiegel</w:t>
            </w:r>
          </w:p>
        </w:tc>
        <w:tc>
          <w:tcPr>
            <w:tcW w:w="3200" w:type="dxa"/>
            <w:vAlign w:val="bottom"/>
          </w:tcPr>
          <w:p>
            <w:pPr>
              <w:ind w:left="164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980"/>
              <w:spacing w:after="0"/>
              <w:rPr>
                <w:sz w:val="20"/>
                <w:szCs w:val="20"/>
                <w:color w:val="auto"/>
              </w:rPr>
            </w:pPr>
            <w:r>
              <w:rPr>
                <w:rFonts w:ascii="Arial" w:cs="Arial" w:eastAsia="Arial" w:hAnsi="Arial"/>
                <w:sz w:val="18"/>
                <w:szCs w:val="18"/>
                <w:color w:val="auto"/>
              </w:rPr>
              <w:t>March 10, 2014</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5"/>
              </w:rPr>
              <w:t>/s/ VIPUL TANDON</w:t>
            </w:r>
          </w:p>
        </w:tc>
        <w:tc>
          <w:tcPr>
            <w:tcW w:w="32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Vipul Tandon</w:t>
            </w:r>
          </w:p>
        </w:tc>
        <w:tc>
          <w:tcPr>
            <w:tcW w:w="3200" w:type="dxa"/>
            <w:vAlign w:val="bottom"/>
          </w:tcPr>
          <w:p>
            <w:pPr>
              <w:ind w:left="164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980"/>
              <w:spacing w:after="0"/>
              <w:rPr>
                <w:sz w:val="20"/>
                <w:szCs w:val="20"/>
                <w:color w:val="auto"/>
              </w:rPr>
            </w:pPr>
            <w:r>
              <w:rPr>
                <w:rFonts w:ascii="Arial" w:cs="Arial" w:eastAsia="Arial" w:hAnsi="Arial"/>
                <w:sz w:val="18"/>
                <w:szCs w:val="18"/>
                <w:color w:val="auto"/>
              </w:rPr>
              <w:t>March 10, 2014</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6"/>
              </w:rPr>
              <w:t>/s/ ANDREW TURNBULL</w:t>
            </w:r>
          </w:p>
        </w:tc>
        <w:tc>
          <w:tcPr>
            <w:tcW w:w="32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Andrew Turnbull</w:t>
            </w:r>
          </w:p>
        </w:tc>
        <w:tc>
          <w:tcPr>
            <w:tcW w:w="3200" w:type="dxa"/>
            <w:vAlign w:val="bottom"/>
          </w:tcPr>
          <w:p>
            <w:pPr>
              <w:ind w:left="1640"/>
              <w:spacing w:after="0"/>
              <w:rPr>
                <w:sz w:val="20"/>
                <w:szCs w:val="20"/>
                <w:color w:val="auto"/>
              </w:rPr>
            </w:pPr>
            <w:r>
              <w:rPr>
                <w:rFonts w:ascii="Arial" w:cs="Arial" w:eastAsia="Arial" w:hAnsi="Arial"/>
                <w:sz w:val="18"/>
                <w:szCs w:val="18"/>
                <w:color w:val="auto"/>
              </w:rPr>
              <w:t>Director</w:t>
            </w:r>
          </w:p>
        </w:tc>
        <w:tc>
          <w:tcPr>
            <w:tcW w:w="3480" w:type="dxa"/>
            <w:vAlign w:val="bottom"/>
          </w:tcPr>
          <w:p>
            <w:pPr>
              <w:ind w:left="980"/>
              <w:spacing w:after="0"/>
              <w:rPr>
                <w:sz w:val="20"/>
                <w:szCs w:val="20"/>
                <w:color w:val="auto"/>
              </w:rPr>
            </w:pPr>
            <w:r>
              <w:rPr>
                <w:rFonts w:ascii="Arial" w:cs="Arial" w:eastAsia="Arial" w:hAnsi="Arial"/>
                <w:sz w:val="18"/>
                <w:szCs w:val="18"/>
                <w:color w:val="auto"/>
              </w:rPr>
              <w:t>March 10, 2014</w:t>
            </w: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00" w:type="dxa"/>
            <w:vAlign w:val="bottom"/>
          </w:tcPr>
          <w:p>
            <w:pPr>
              <w:ind w:left="840"/>
              <w:spacing w:after="0"/>
              <w:rPr>
                <w:sz w:val="20"/>
                <w:szCs w:val="20"/>
                <w:color w:val="auto"/>
              </w:rPr>
            </w:pPr>
            <w:r>
              <w:rPr>
                <w:rFonts w:ascii="Arial" w:cs="Arial" w:eastAsia="Arial" w:hAnsi="Arial"/>
                <w:sz w:val="18"/>
                <w:szCs w:val="18"/>
                <w:color w:val="auto"/>
              </w:rPr>
              <w:t>149</w:t>
            </w:r>
          </w:p>
        </w:tc>
        <w:tc>
          <w:tcPr>
            <w:tcW w:w="34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00"/>
        <w:spacing w:after="0"/>
        <w:tabs>
          <w:tab w:leader="none" w:pos="58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0</wp:posOffset>
            </wp:positionV>
            <wp:extent cx="52228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ind w:left="2060" w:right="420" w:hanging="642"/>
        <w:spacing w:after="0" w:line="259" w:lineRule="auto"/>
        <w:tabs>
          <w:tab w:leader="none" w:pos="2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Memorandum of Association (incorporated herein by reference to Exhibit 3.1 of the Registration Statement on Form S-11 (File No. 333-191193) filed on September 16, 2013)</w:t>
      </w:r>
    </w:p>
    <w:p>
      <w:pPr>
        <w:spacing w:after="0" w:line="194" w:lineRule="exact"/>
        <w:rPr>
          <w:sz w:val="20"/>
          <w:szCs w:val="20"/>
          <w:color w:val="auto"/>
        </w:rPr>
      </w:pPr>
    </w:p>
    <w:p>
      <w:pPr>
        <w:ind w:left="2060" w:right="260" w:hanging="642"/>
        <w:spacing w:after="0" w:line="259" w:lineRule="auto"/>
        <w:tabs>
          <w:tab w:leader="none" w:pos="2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Deposit of Memorandum of Increase of Share Capital, dated as of February 18, 2009 (incorporated herein by reference to Exhibit 3.2 of the Registration Statement on Form S-1 (File No. 333-191193) filed on September 16, 2013)</w:t>
      </w:r>
    </w:p>
    <w:p>
      <w:pPr>
        <w:spacing w:after="0" w:line="194" w:lineRule="exact"/>
        <w:rPr>
          <w:sz w:val="20"/>
          <w:szCs w:val="20"/>
          <w:color w:val="auto"/>
        </w:rPr>
      </w:pPr>
    </w:p>
    <w:p>
      <w:pPr>
        <w:ind w:left="2060" w:right="140" w:hanging="708"/>
        <w:spacing w:after="0" w:line="259" w:lineRule="auto"/>
        <w:tabs>
          <w:tab w:leader="none" w:pos="2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Deposit of Memorandum of Increase of Share Capital, dated as of October 3, 2013 (incorporated herein by reference to Exhibit 3.2.1 of Amendment No.3 to the Registration Statement on Form S-1 (File No. 333-191193) filed on October 21, 2013)</w:t>
      </w:r>
    </w:p>
    <w:p>
      <w:pPr>
        <w:spacing w:after="0" w:line="194"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Amended and Restated Bye-laws (filed herewith)</w:t>
      </w:r>
    </w:p>
    <w:p>
      <w:pPr>
        <w:spacing w:after="0" w:line="225" w:lineRule="exact"/>
        <w:rPr>
          <w:sz w:val="20"/>
          <w:szCs w:val="20"/>
          <w:color w:val="auto"/>
        </w:rPr>
      </w:pPr>
    </w:p>
    <w:p>
      <w:pPr>
        <w:ind w:left="2060" w:right="360" w:hanging="642"/>
        <w:spacing w:after="0" w:line="268" w:lineRule="auto"/>
        <w:tabs>
          <w:tab w:leader="none" w:pos="2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Common Share Certificate (incorporated herein by reference to Exhibit 4.1 of Amendment No.3 to the Registration Statement on Form S-1 (File No. 333-191193) filed on October 21, 2013)</w:t>
      </w:r>
    </w:p>
    <w:p>
      <w:pPr>
        <w:spacing w:after="0" w:line="186" w:lineRule="exact"/>
        <w:rPr>
          <w:sz w:val="20"/>
          <w:szCs w:val="20"/>
          <w:color w:val="auto"/>
        </w:rPr>
      </w:pPr>
    </w:p>
    <w:p>
      <w:pPr>
        <w:ind w:left="2060" w:right="40" w:hanging="642"/>
        <w:spacing w:after="0" w:line="259" w:lineRule="auto"/>
        <w:tabs>
          <w:tab w:leader="none" w:pos="2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Shareholders Agreement, dated as of February 6, 2009, among Essent Group Ltd. and the shareholders party thereto (incorporated herein by reference to Exhibit 4.2 of the Registration Statement on Form S-1 (File No. 333-191193) filed on September 16, 2013)</w:t>
      </w:r>
    </w:p>
    <w:p>
      <w:pPr>
        <w:spacing w:after="0" w:line="194" w:lineRule="exact"/>
        <w:rPr>
          <w:sz w:val="20"/>
          <w:szCs w:val="20"/>
          <w:color w:val="auto"/>
        </w:rPr>
      </w:pPr>
    </w:p>
    <w:p>
      <w:pPr>
        <w:ind w:left="2060" w:right="20" w:hanging="642"/>
        <w:spacing w:after="0" w:line="259" w:lineRule="auto"/>
        <w:tabs>
          <w:tab w:leader="none" w:pos="2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Amendment No. 1 to Shareholders Agreement, dated as of March 25, 2010, among Essent Group Ltd. and the shareholders party thereto (incorporated herein by reference to Exhibit 4.3 of the Registration Statement on Form S-1 (File No. 333-191193) filed on September 16, 2013)</w:t>
      </w:r>
    </w:p>
    <w:p>
      <w:pPr>
        <w:spacing w:after="0" w:line="194" w:lineRule="exact"/>
        <w:rPr>
          <w:sz w:val="20"/>
          <w:szCs w:val="20"/>
          <w:color w:val="auto"/>
        </w:rPr>
      </w:pPr>
    </w:p>
    <w:p>
      <w:pPr>
        <w:ind w:left="2060" w:right="20" w:hanging="642"/>
        <w:spacing w:after="0" w:line="259" w:lineRule="auto"/>
        <w:tabs>
          <w:tab w:leader="none" w:pos="20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Amendment No. 2 to Shareholders Agreement, effective as of June 24, 2013, among Essent Group Ltd. and the shareholders party thereto (incorporated herein by reference to Exhibit 4.4 of the Registration Statement on Form S-1 (File No. 333-191193) filed on September 16, 2013)</w:t>
      </w:r>
    </w:p>
    <w:p>
      <w:pPr>
        <w:spacing w:after="0" w:line="194"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Second Amended and Restated Registration Rights Agreement, dated as of October 3, 2013, among Essent</w:t>
      </w:r>
    </w:p>
    <w:p>
      <w:pPr>
        <w:spacing w:after="0" w:line="15"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Group Ltd. and the shareholders party thereto (incorporated herein by reference to Exhibit 4.5 of Amendment No.2</w:t>
      </w:r>
    </w:p>
    <w:p>
      <w:pPr>
        <w:spacing w:after="0" w:line="3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to the Registration Statement on Form S-1 (File No. 333-191193) filed on October 4, 2013)</w:t>
      </w:r>
    </w:p>
    <w:p>
      <w:pPr>
        <w:spacing w:after="0" w:line="219" w:lineRule="exact"/>
        <w:rPr>
          <w:sz w:val="20"/>
          <w:szCs w:val="20"/>
          <w:color w:val="auto"/>
        </w:rPr>
      </w:pPr>
    </w:p>
    <w:p>
      <w:pPr>
        <w:ind w:left="2060" w:right="40" w:hanging="642"/>
        <w:spacing w:after="0" w:line="268" w:lineRule="auto"/>
        <w:tabs>
          <w:tab w:leader="none" w:pos="20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Shareholders Agreement by and among Essent Group Ltd. and Essent Intermediate, L.P. and Pine Brook Essent Co-Invest, L.P. (file herewith)</w:t>
      </w:r>
    </w:p>
    <w:p>
      <w:pPr>
        <w:spacing w:after="0" w:line="186" w:lineRule="exact"/>
        <w:rPr>
          <w:sz w:val="20"/>
          <w:szCs w:val="20"/>
          <w:color w:val="auto"/>
        </w:rPr>
      </w:pPr>
    </w:p>
    <w:p>
      <w:pPr>
        <w:ind w:left="2060" w:hanging="686"/>
        <w:spacing w:after="0" w:line="306" w:lineRule="auto"/>
        <w:tabs>
          <w:tab w:leader="none" w:pos="2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Class A Common Share Subscription Agreement, dated as of March 25, 2010, among Essent Group Ltd. and the investors party thereto (incorporated herein by reference to Exhibit 10.1 of the Registration Statement on Form S-1 (File No. 333-191193) filed on September 16, 2013)</w:t>
      </w:r>
    </w:p>
    <w:p>
      <w:pPr>
        <w:spacing w:after="0" w:line="161" w:lineRule="exact"/>
        <w:rPr>
          <w:sz w:val="20"/>
          <w:szCs w:val="20"/>
          <w:color w:val="auto"/>
        </w:rPr>
      </w:pPr>
    </w:p>
    <w:p>
      <w:pPr>
        <w:ind w:left="2060" w:right="100" w:hanging="686"/>
        <w:spacing w:after="0" w:line="259" w:lineRule="auto"/>
        <w:tabs>
          <w:tab w:leader="none" w:pos="2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Fee Agreement, dated as of February 6, 2009, among Essent Group Ltd. and the Investors party thereto (incorporated herein by reference to Exhibit 10.2 of the Registration Statement on Form S-1 (File No. 333-191193) filed on September 16, 2013)</w:t>
      </w:r>
    </w:p>
    <w:p>
      <w:pPr>
        <w:spacing w:after="0" w:line="194" w:lineRule="exact"/>
        <w:rPr>
          <w:sz w:val="20"/>
          <w:szCs w:val="20"/>
          <w:color w:val="auto"/>
        </w:rPr>
      </w:pPr>
    </w:p>
    <w:p>
      <w:pPr>
        <w:ind w:left="2060" w:right="100" w:hanging="686"/>
        <w:spacing w:after="0" w:line="259" w:lineRule="auto"/>
        <w:tabs>
          <w:tab w:leader="none" w:pos="2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Amendment and Waiver to Fee Agreement, dated as of December 18, 2012, among Essent Group Ltd. and the Investors party thereto (incorporated herein by reference to Exhibit 10.3 of the Registration Statement on Form S-1 (File No. 333-191193) filed on September 16, 2013)</w:t>
      </w:r>
    </w:p>
    <w:p>
      <w:pPr>
        <w:spacing w:after="0" w:line="194" w:lineRule="exact"/>
        <w:rPr>
          <w:sz w:val="20"/>
          <w:szCs w:val="20"/>
          <w:color w:val="auto"/>
        </w:rPr>
      </w:pPr>
    </w:p>
    <w:p>
      <w:pPr>
        <w:ind w:left="2060" w:right="100" w:hanging="686"/>
        <w:spacing w:after="0" w:line="259" w:lineRule="auto"/>
        <w:tabs>
          <w:tab w:leader="none" w:pos="2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Asset Purchase Agreement, dated as of October 7, 2009, between Essent Guaranty, Inc. and Triad Guaranty Insurance Corporation (incorporated herein by reference to Exhibit 10.4 of the Registration Statement on Form S-1 (File No. 333-191193) filed on September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00"/>
        <w:spacing w:after="0"/>
        <w:tabs>
          <w:tab w:leader="none" w:pos="58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0</wp:posOffset>
            </wp:positionV>
            <wp:extent cx="52228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ind w:left="2060" w:hanging="730"/>
        <w:spacing w:after="0" w:line="321" w:lineRule="auto"/>
        <w:tabs>
          <w:tab w:leader="none" w:pos="2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Amended and Restated 2009 Restricted Share Plan (incorporated herein by reference to Exhibit 10.5 of Amendment No.1 to the Registration Statement on Form S-1 (File No. 333-191193) filed on September 26, 2013)</w:t>
      </w:r>
    </w:p>
    <w:p>
      <w:pPr>
        <w:spacing w:after="0" w:line="148" w:lineRule="exact"/>
        <w:rPr>
          <w:sz w:val="20"/>
          <w:szCs w:val="20"/>
          <w:color w:val="auto"/>
        </w:rPr>
      </w:pPr>
    </w:p>
    <w:p>
      <w:pPr>
        <w:ind w:left="2060" w:right="180" w:hanging="730"/>
        <w:spacing w:after="0" w:line="370" w:lineRule="auto"/>
        <w:tabs>
          <w:tab w:leader="none" w:pos="20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Form of Class B-2 Restricted Share Award Agreement (incorporated herein by reference to Exhibit 10.6 of Amendment No.1 to the Registration Statement on Form S-1 (File No. 333-191193) filed on September 26, 2013)</w:t>
      </w:r>
    </w:p>
    <w:p>
      <w:pPr>
        <w:spacing w:after="0" w:line="116" w:lineRule="exact"/>
        <w:rPr>
          <w:sz w:val="20"/>
          <w:szCs w:val="20"/>
          <w:color w:val="auto"/>
        </w:rPr>
      </w:pPr>
    </w:p>
    <w:p>
      <w:pPr>
        <w:ind w:left="2060" w:right="180" w:hanging="730"/>
        <w:spacing w:after="0" w:line="370" w:lineRule="auto"/>
        <w:tabs>
          <w:tab w:leader="none" w:pos="20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Fiscal Year 2012 Annual Leadership Bonus Program (incorporated herein by reference to Exhibit 10.7 of Amendment No.1 to the Registration Statement on Form S-1 (File No. 333-191193) filed on September 26, 2013)</w:t>
      </w:r>
    </w:p>
    <w:p>
      <w:pPr>
        <w:spacing w:after="0" w:line="116" w:lineRule="exact"/>
        <w:rPr>
          <w:sz w:val="20"/>
          <w:szCs w:val="20"/>
          <w:color w:val="auto"/>
        </w:rPr>
      </w:pPr>
    </w:p>
    <w:p>
      <w:pPr>
        <w:ind w:left="1320"/>
        <w:spacing w:after="0"/>
        <w:tabs>
          <w:tab w:leader="none" w:pos="20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Fiscal Year 2013 Annual Leadership Bonus Program, as amended (filed herewith)</w:t>
      </w:r>
    </w:p>
    <w:p>
      <w:pPr>
        <w:spacing w:after="0" w:line="225" w:lineRule="exact"/>
        <w:rPr>
          <w:sz w:val="20"/>
          <w:szCs w:val="20"/>
          <w:color w:val="auto"/>
        </w:rPr>
      </w:pPr>
    </w:p>
    <w:p>
      <w:pPr>
        <w:ind w:left="1320"/>
        <w:spacing w:after="0"/>
        <w:tabs>
          <w:tab w:leader="none" w:pos="20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Fiscal Year 2014 Annual Leadership Bonus Program (filed herewith)</w:t>
      </w:r>
    </w:p>
    <w:p>
      <w:pPr>
        <w:spacing w:after="0" w:line="225" w:lineRule="exact"/>
        <w:rPr>
          <w:sz w:val="20"/>
          <w:szCs w:val="20"/>
          <w:color w:val="auto"/>
        </w:rPr>
      </w:pPr>
    </w:p>
    <w:p>
      <w:pPr>
        <w:ind w:left="2060" w:right="180" w:hanging="774"/>
        <w:spacing w:after="0" w:line="370" w:lineRule="auto"/>
        <w:tabs>
          <w:tab w:leader="none" w:pos="20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Form of Class A Restricted Share Bonus Award Agreement (incorporated herein by reference to Exhibit 10.9 of Amendment No.1 to the Registration Statement on Form S-1 (File No. 333-191193) filed on September 26, 2013)</w:t>
      </w:r>
    </w:p>
    <w:p>
      <w:pPr>
        <w:spacing w:after="0" w:line="116" w:lineRule="exact"/>
        <w:rPr>
          <w:sz w:val="20"/>
          <w:szCs w:val="20"/>
          <w:color w:val="auto"/>
        </w:rPr>
      </w:pPr>
    </w:p>
    <w:p>
      <w:pPr>
        <w:ind w:left="2060" w:right="420" w:hanging="771"/>
        <w:spacing w:after="0" w:line="332" w:lineRule="auto"/>
        <w:tabs>
          <w:tab w:leader="none" w:pos="20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2013 Long-Term Incentive Plan (incorporated herein by reference to Exhibit 10.10 of Amendment No.1 to the Registration Statement on Form S-1 (File No. 333-191193) filed on September 26, 2013)</w:t>
      </w:r>
    </w:p>
    <w:p>
      <w:pPr>
        <w:spacing w:after="0" w:line="139" w:lineRule="exact"/>
        <w:rPr>
          <w:sz w:val="20"/>
          <w:szCs w:val="20"/>
          <w:color w:val="auto"/>
        </w:rPr>
      </w:pPr>
    </w:p>
    <w:p>
      <w:pPr>
        <w:ind w:left="2060" w:right="20" w:hanging="774"/>
        <w:spacing w:after="0" w:line="332" w:lineRule="auto"/>
        <w:tabs>
          <w:tab w:leader="none" w:pos="20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Time-Based Restricted Share Agreement (incorporated herein by reference to Exhibit 10.11 of Amendment No.1 to the Registration Statement on Form S-1 (File No. 333-191193) filed on September 26, 2013)</w:t>
      </w:r>
    </w:p>
    <w:p>
      <w:pPr>
        <w:spacing w:after="0" w:line="139" w:lineRule="exact"/>
        <w:rPr>
          <w:sz w:val="20"/>
          <w:szCs w:val="20"/>
          <w:color w:val="auto"/>
        </w:rPr>
      </w:pPr>
    </w:p>
    <w:p>
      <w:pPr>
        <w:ind w:left="2060" w:right="180" w:hanging="774"/>
        <w:spacing w:after="0" w:line="370" w:lineRule="auto"/>
        <w:tabs>
          <w:tab w:leader="none" w:pos="20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Form of Performance-Based Restricted Share Agreement (incorporated herein by reference to Exhibit 10.12 of Amendment No.1 to the Registration Statement on Form S-1 (File No. 333-191193) filed on September 26, 2013)</w:t>
      </w:r>
    </w:p>
    <w:p>
      <w:pPr>
        <w:spacing w:after="0" w:line="116" w:lineRule="exact"/>
        <w:rPr>
          <w:sz w:val="20"/>
          <w:szCs w:val="20"/>
          <w:color w:val="auto"/>
        </w:rPr>
      </w:pPr>
    </w:p>
    <w:p>
      <w:pPr>
        <w:ind w:left="2060" w:right="200" w:hanging="774"/>
        <w:spacing w:after="0" w:line="268" w:lineRule="auto"/>
        <w:tabs>
          <w:tab w:leader="none" w:pos="20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Annual Incentive Plan (incorporated herein by reference to Exhibit 10.13 of Amendment No.1 to the Registration Statement on Form S-1 (File No. 333-191193) filed on September 26, 2013)</w:t>
      </w:r>
    </w:p>
    <w:p>
      <w:pPr>
        <w:spacing w:after="0" w:line="186" w:lineRule="exact"/>
        <w:rPr>
          <w:sz w:val="20"/>
          <w:szCs w:val="20"/>
          <w:color w:val="auto"/>
        </w:rPr>
      </w:pPr>
    </w:p>
    <w:p>
      <w:pPr>
        <w:jc w:val="both"/>
        <w:ind w:left="2060" w:right="320" w:hanging="774"/>
        <w:spacing w:after="0" w:line="259" w:lineRule="auto"/>
        <w:tabs>
          <w:tab w:leader="none" w:pos="20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Employment Agreement, dated as of September 25, 2013, by and between Essent US Holdings, Inc. and Mark Casale (incorporated herein by reference to Exhibit 10.14 of Amendment No.2 to the Registration Statement on Form S-1 (File No. 333-191193) filed on October 4, 2013)</w:t>
      </w:r>
    </w:p>
    <w:p>
      <w:pPr>
        <w:spacing w:after="0" w:line="194" w:lineRule="exact"/>
        <w:rPr>
          <w:sz w:val="20"/>
          <w:szCs w:val="20"/>
          <w:color w:val="auto"/>
        </w:rPr>
      </w:pPr>
    </w:p>
    <w:p>
      <w:pPr>
        <w:jc w:val="both"/>
        <w:ind w:left="2060" w:right="300" w:hanging="774"/>
        <w:spacing w:after="0" w:line="259" w:lineRule="auto"/>
        <w:tabs>
          <w:tab w:leader="none" w:pos="20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dated as of September 30, 2013, by and between Essent US Holdings, Inc. and Adolfo Marzol (incorporated herein by reference to Exhibit 10.15 of Amendment No.2 to the Registration Statement on Form S-1 (File No. 333-191193) filed on October 4, 2013)</w:t>
      </w:r>
    </w:p>
    <w:p>
      <w:pPr>
        <w:spacing w:after="0" w:line="194" w:lineRule="exact"/>
        <w:rPr>
          <w:sz w:val="20"/>
          <w:szCs w:val="20"/>
          <w:color w:val="auto"/>
        </w:rPr>
      </w:pPr>
    </w:p>
    <w:p>
      <w:pPr>
        <w:ind w:left="2060" w:right="320" w:hanging="774"/>
        <w:spacing w:after="0" w:line="259" w:lineRule="auto"/>
        <w:tabs>
          <w:tab w:leader="none" w:pos="20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Employment Agreement, dated as of September 26, 2013, by and between Essent US Holdings, Inc. and Vijay Bhasin (incorporated herein by reference to Exhibit 10.16 of Amendment No.2 to the Registration Statement on Form S-1 (File No. 333-191193) filed on October 4, 2013)</w:t>
      </w:r>
    </w:p>
    <w:p>
      <w:pPr>
        <w:spacing w:after="0" w:line="194" w:lineRule="exact"/>
        <w:rPr>
          <w:sz w:val="20"/>
          <w:szCs w:val="20"/>
          <w:color w:val="auto"/>
        </w:rPr>
      </w:pPr>
    </w:p>
    <w:p>
      <w:pPr>
        <w:ind w:left="2060" w:right="120" w:hanging="730"/>
        <w:spacing w:after="0" w:line="332" w:lineRule="auto"/>
        <w:tabs>
          <w:tab w:leader="none" w:pos="20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Director and Officer Indemnification Agreement (incorporated herein by reference to Exhibit 10.17 of the Registration Statement on Form S-1 (File No. 333-191193) filed on September 16, 2013)</w:t>
      </w:r>
    </w:p>
    <w:p>
      <w:pPr>
        <w:spacing w:after="0" w:line="139" w:lineRule="exact"/>
        <w:rPr>
          <w:sz w:val="20"/>
          <w:szCs w:val="20"/>
          <w:color w:val="auto"/>
        </w:rPr>
      </w:pPr>
    </w:p>
    <w:p>
      <w:pPr>
        <w:ind w:left="2060" w:hanging="774"/>
        <w:spacing w:after="0" w:line="332" w:lineRule="auto"/>
        <w:tabs>
          <w:tab w:leader="none" w:pos="20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Section 409A Specified Employee Policy (incorporated herein by reference to Exhibit 10.18 of Amendment No.2 to the Registration Statement on Form S-1 (File No. 333-191193) filed on October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240" w:top="131" w:right="14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00"/>
        <w:spacing w:after="0"/>
        <w:tabs>
          <w:tab w:leader="none" w:pos="582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0</wp:posOffset>
            </wp:positionV>
            <wp:extent cx="52228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ind w:left="1320"/>
        <w:spacing w:after="0"/>
        <w:tabs>
          <w:tab w:leader="none" w:pos="20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Letter Agreement, dated as of October 2, 2013, by and between Essent Group Ltd. and The Goldman Sachs</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Group, Inc. (incorporated herein by reference to Exhibit 10.19 of Amendment No.2 to the Registration Statement on</w:t>
      </w:r>
    </w:p>
    <w:p>
      <w:pPr>
        <w:spacing w:after="0" w:line="3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Form S-1 (File No. 333-191193) filed on October 4, 2013)</w:t>
      </w:r>
    </w:p>
    <w:p>
      <w:pPr>
        <w:spacing w:after="0" w:line="219"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(filed herewith)</w:t>
      </w:r>
    </w:p>
    <w:p>
      <w:pPr>
        <w:spacing w:after="0" w:line="225" w:lineRule="exact"/>
        <w:rPr>
          <w:sz w:val="20"/>
          <w:szCs w:val="20"/>
          <w:color w:val="auto"/>
        </w:rPr>
      </w:pPr>
    </w:p>
    <w:p>
      <w:pPr>
        <w:ind w:left="1360"/>
        <w:spacing w:after="0"/>
        <w:tabs>
          <w:tab w:leader="none" w:pos="20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(filed herewith)</w:t>
      </w:r>
    </w:p>
    <w:p>
      <w:pPr>
        <w:spacing w:after="0" w:line="225" w:lineRule="exact"/>
        <w:rPr>
          <w:sz w:val="20"/>
          <w:szCs w:val="20"/>
          <w:color w:val="auto"/>
        </w:rPr>
      </w:pPr>
    </w:p>
    <w:p>
      <w:pPr>
        <w:ind w:left="2060" w:right="240" w:hanging="686"/>
        <w:spacing w:after="0" w:line="332" w:lineRule="auto"/>
        <w:tabs>
          <w:tab w:leader="none" w:pos="2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required by Rule 13a-14(a) or Rule 15d-14(a) of the Securities Exchange Act of 1934, as adopted pursuant to Section 302 of the Sarbanes-Oxley Act of 2002 (filed herewith)</w:t>
      </w:r>
    </w:p>
    <w:p>
      <w:pPr>
        <w:spacing w:after="0" w:line="139" w:lineRule="exact"/>
        <w:rPr>
          <w:sz w:val="20"/>
          <w:szCs w:val="20"/>
          <w:color w:val="auto"/>
        </w:rPr>
      </w:pPr>
    </w:p>
    <w:p>
      <w:pPr>
        <w:ind w:left="2060" w:right="300" w:hanging="686"/>
        <w:spacing w:after="0" w:line="332" w:lineRule="auto"/>
        <w:tabs>
          <w:tab w:leader="none" w:pos="2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required by Rule 13a-14(a) or Rule 15d-14(a) of the Securities Exchange Act of 1934, as adopted pursuant to Section 302 of the Sarbanes-Oxley Act of 2002 (filed herewith)</w:t>
      </w:r>
    </w:p>
    <w:p>
      <w:pPr>
        <w:spacing w:after="0" w:line="139" w:lineRule="exact"/>
        <w:rPr>
          <w:sz w:val="20"/>
          <w:szCs w:val="20"/>
          <w:color w:val="auto"/>
        </w:rPr>
      </w:pPr>
    </w:p>
    <w:p>
      <w:pPr>
        <w:ind w:left="2060" w:hanging="686"/>
        <w:spacing w:after="0" w:line="268" w:lineRule="auto"/>
        <w:tabs>
          <w:tab w:leader="none" w:pos="2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8" w:name="page159"/>
    <w:bookmarkEnd w:id="1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BYE-LAWS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8620" w:type="dxa"/>
            <w:vAlign w:val="bottom"/>
          </w:tcPr>
          <w:p>
            <w:pPr>
              <w:jc w:val="center"/>
              <w:ind w:left="1890"/>
              <w:spacing w:after="0"/>
              <w:rPr>
                <w:sz w:val="20"/>
                <w:szCs w:val="20"/>
                <w:color w:val="auto"/>
              </w:rPr>
            </w:pPr>
            <w:r>
              <w:rPr>
                <w:rFonts w:ascii="Arial" w:cs="Arial" w:eastAsia="Arial" w:hAnsi="Arial"/>
                <w:sz w:val="18"/>
                <w:szCs w:val="18"/>
                <w:b w:val="1"/>
                <w:bCs w:val="1"/>
                <w:color w:val="auto"/>
                <w:w w:val="98"/>
              </w:rPr>
              <w:t>TABLE OF CONTENTS</w:t>
            </w:r>
          </w:p>
        </w:tc>
        <w:tc>
          <w:tcPr>
            <w:tcW w:w="2380" w:type="dxa"/>
            <w:vAlign w:val="bottom"/>
          </w:tcPr>
          <w:p>
            <w:pPr>
              <w:spacing w:after="0"/>
              <w:rPr>
                <w:sz w:val="20"/>
                <w:szCs w:val="20"/>
                <w:color w:val="auto"/>
              </w:rPr>
            </w:pP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Interpretation</w:t>
            </w:r>
          </w:p>
        </w:tc>
        <w:tc>
          <w:tcPr>
            <w:tcW w:w="238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62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90"/>
              <w:spacing w:after="0"/>
              <w:rPr>
                <w:sz w:val="20"/>
                <w:szCs w:val="20"/>
                <w:color w:val="auto"/>
              </w:rPr>
            </w:pPr>
            <w:r>
              <w:rPr>
                <w:rFonts w:ascii="Arial" w:cs="Arial" w:eastAsia="Arial" w:hAnsi="Arial"/>
                <w:sz w:val="18"/>
                <w:szCs w:val="18"/>
                <w:b w:val="1"/>
                <w:bCs w:val="1"/>
                <w:color w:val="auto"/>
                <w:w w:val="86"/>
              </w:rPr>
              <w:t>Shares</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8620" w:type="dxa"/>
            <w:vAlign w:val="bottom"/>
          </w:tcPr>
          <w:p>
            <w:pPr>
              <w:ind w:left="180"/>
              <w:spacing w:after="0"/>
              <w:rPr>
                <w:sz w:val="20"/>
                <w:szCs w:val="20"/>
                <w:color w:val="auto"/>
              </w:rPr>
            </w:pPr>
            <w:r>
              <w:rPr>
                <w:rFonts w:ascii="Arial" w:cs="Arial" w:eastAsia="Arial" w:hAnsi="Arial"/>
                <w:sz w:val="18"/>
                <w:szCs w:val="18"/>
                <w:color w:val="auto"/>
              </w:rPr>
              <w:t>Power to Issue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8620" w:type="dxa"/>
            <w:vAlign w:val="bottom"/>
          </w:tcPr>
          <w:p>
            <w:pPr>
              <w:ind w:left="180"/>
              <w:spacing w:after="0"/>
              <w:rPr>
                <w:sz w:val="20"/>
                <w:szCs w:val="20"/>
                <w:color w:val="auto"/>
              </w:rPr>
            </w:pPr>
            <w:r>
              <w:rPr>
                <w:rFonts w:ascii="Arial" w:cs="Arial" w:eastAsia="Arial" w:hAnsi="Arial"/>
                <w:sz w:val="18"/>
                <w:szCs w:val="18"/>
                <w:color w:val="auto"/>
              </w:rPr>
              <w:t>Power of the Company to Purchase its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8620" w:type="dxa"/>
            <w:vAlign w:val="bottom"/>
          </w:tcPr>
          <w:p>
            <w:pPr>
              <w:ind w:left="180"/>
              <w:spacing w:after="0"/>
              <w:rPr>
                <w:sz w:val="20"/>
                <w:szCs w:val="20"/>
                <w:color w:val="auto"/>
              </w:rPr>
            </w:pPr>
            <w:r>
              <w:rPr>
                <w:rFonts w:ascii="Arial" w:cs="Arial" w:eastAsia="Arial" w:hAnsi="Arial"/>
                <w:sz w:val="18"/>
                <w:szCs w:val="18"/>
                <w:color w:val="auto"/>
              </w:rPr>
              <w:t>Rights Attaching to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8620" w:type="dxa"/>
            <w:vAlign w:val="bottom"/>
          </w:tcPr>
          <w:p>
            <w:pPr>
              <w:ind w:left="180"/>
              <w:spacing w:after="0"/>
              <w:rPr>
                <w:sz w:val="20"/>
                <w:szCs w:val="20"/>
                <w:color w:val="auto"/>
              </w:rPr>
            </w:pPr>
            <w:r>
              <w:rPr>
                <w:rFonts w:ascii="Arial" w:cs="Arial" w:eastAsia="Arial" w:hAnsi="Arial"/>
                <w:sz w:val="18"/>
                <w:szCs w:val="18"/>
                <w:color w:val="auto"/>
              </w:rPr>
              <w:t>Calls on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8620" w:type="dxa"/>
            <w:vAlign w:val="bottom"/>
          </w:tcPr>
          <w:p>
            <w:pPr>
              <w:ind w:left="180"/>
              <w:spacing w:after="0"/>
              <w:rPr>
                <w:sz w:val="20"/>
                <w:szCs w:val="20"/>
                <w:color w:val="auto"/>
              </w:rPr>
            </w:pPr>
            <w:r>
              <w:rPr>
                <w:rFonts w:ascii="Arial" w:cs="Arial" w:eastAsia="Arial" w:hAnsi="Arial"/>
                <w:sz w:val="18"/>
                <w:szCs w:val="18"/>
                <w:color w:val="auto"/>
              </w:rPr>
              <w:t>Forfeiture of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8620" w:type="dxa"/>
            <w:vAlign w:val="bottom"/>
          </w:tcPr>
          <w:p>
            <w:pPr>
              <w:ind w:left="180"/>
              <w:spacing w:after="0"/>
              <w:rPr>
                <w:sz w:val="20"/>
                <w:szCs w:val="20"/>
                <w:color w:val="auto"/>
              </w:rPr>
            </w:pPr>
            <w:r>
              <w:rPr>
                <w:rFonts w:ascii="Arial" w:cs="Arial" w:eastAsia="Arial" w:hAnsi="Arial"/>
                <w:sz w:val="18"/>
                <w:szCs w:val="18"/>
                <w:color w:val="auto"/>
              </w:rPr>
              <w:t>Share Certificates</w:t>
            </w:r>
          </w:p>
        </w:tc>
        <w:tc>
          <w:tcPr>
            <w:tcW w:w="2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8620" w:type="dxa"/>
            <w:vAlign w:val="bottom"/>
          </w:tcPr>
          <w:p>
            <w:pPr>
              <w:ind w:left="180"/>
              <w:spacing w:after="0"/>
              <w:rPr>
                <w:sz w:val="20"/>
                <w:szCs w:val="20"/>
                <w:color w:val="auto"/>
              </w:rPr>
            </w:pPr>
            <w:r>
              <w:rPr>
                <w:rFonts w:ascii="Arial" w:cs="Arial" w:eastAsia="Arial" w:hAnsi="Arial"/>
                <w:sz w:val="18"/>
                <w:szCs w:val="18"/>
                <w:color w:val="auto"/>
              </w:rPr>
              <w:t>Fractional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Registration of Shares</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8620" w:type="dxa"/>
            <w:vAlign w:val="bottom"/>
          </w:tcPr>
          <w:p>
            <w:pPr>
              <w:ind w:left="180"/>
              <w:spacing w:after="0"/>
              <w:rPr>
                <w:sz w:val="20"/>
                <w:szCs w:val="20"/>
                <w:color w:val="auto"/>
              </w:rPr>
            </w:pPr>
            <w:r>
              <w:rPr>
                <w:rFonts w:ascii="Arial" w:cs="Arial" w:eastAsia="Arial" w:hAnsi="Arial"/>
                <w:sz w:val="18"/>
                <w:szCs w:val="18"/>
                <w:color w:val="auto"/>
              </w:rPr>
              <w:t>Register of Members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8620" w:type="dxa"/>
            <w:vAlign w:val="bottom"/>
          </w:tcPr>
          <w:p>
            <w:pPr>
              <w:ind w:left="180"/>
              <w:spacing w:after="0"/>
              <w:rPr>
                <w:sz w:val="20"/>
                <w:szCs w:val="20"/>
                <w:color w:val="auto"/>
              </w:rPr>
            </w:pPr>
            <w:r>
              <w:rPr>
                <w:rFonts w:ascii="Arial" w:cs="Arial" w:eastAsia="Arial" w:hAnsi="Arial"/>
                <w:sz w:val="18"/>
                <w:szCs w:val="18"/>
                <w:color w:val="auto"/>
              </w:rPr>
              <w:t>Registered Holder Absolute Owner</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8620" w:type="dxa"/>
            <w:vAlign w:val="bottom"/>
          </w:tcPr>
          <w:p>
            <w:pPr>
              <w:ind w:left="180"/>
              <w:spacing w:after="0"/>
              <w:rPr>
                <w:sz w:val="20"/>
                <w:szCs w:val="20"/>
                <w:color w:val="auto"/>
              </w:rPr>
            </w:pPr>
            <w:r>
              <w:rPr>
                <w:rFonts w:ascii="Arial" w:cs="Arial" w:eastAsia="Arial" w:hAnsi="Arial"/>
                <w:sz w:val="18"/>
                <w:szCs w:val="18"/>
                <w:color w:val="auto"/>
              </w:rPr>
              <w:t>Transfer of Registered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8620" w:type="dxa"/>
            <w:vAlign w:val="bottom"/>
          </w:tcPr>
          <w:p>
            <w:pPr>
              <w:ind w:left="180"/>
              <w:spacing w:after="0"/>
              <w:rPr>
                <w:sz w:val="20"/>
                <w:szCs w:val="20"/>
                <w:color w:val="auto"/>
              </w:rPr>
            </w:pPr>
            <w:r>
              <w:rPr>
                <w:rFonts w:ascii="Arial" w:cs="Arial" w:eastAsia="Arial" w:hAnsi="Arial"/>
                <w:sz w:val="18"/>
                <w:szCs w:val="18"/>
                <w:color w:val="auto"/>
              </w:rPr>
              <w:t>Transmission of Registered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2"/>
              </w:rPr>
              <w:t>Alteration of Share Capital</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8620" w:type="dxa"/>
            <w:vAlign w:val="bottom"/>
          </w:tcPr>
          <w:p>
            <w:pPr>
              <w:ind w:left="180"/>
              <w:spacing w:after="0"/>
              <w:rPr>
                <w:sz w:val="20"/>
                <w:szCs w:val="20"/>
                <w:color w:val="auto"/>
              </w:rPr>
            </w:pPr>
            <w:r>
              <w:rPr>
                <w:rFonts w:ascii="Arial" w:cs="Arial" w:eastAsia="Arial" w:hAnsi="Arial"/>
                <w:sz w:val="18"/>
                <w:szCs w:val="18"/>
                <w:color w:val="auto"/>
              </w:rPr>
              <w:t>Power to Alter Capital</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8620" w:type="dxa"/>
            <w:vAlign w:val="bottom"/>
          </w:tcPr>
          <w:p>
            <w:pPr>
              <w:ind w:left="180"/>
              <w:spacing w:after="0"/>
              <w:rPr>
                <w:sz w:val="20"/>
                <w:szCs w:val="20"/>
                <w:color w:val="auto"/>
              </w:rPr>
            </w:pPr>
            <w:r>
              <w:rPr>
                <w:rFonts w:ascii="Arial" w:cs="Arial" w:eastAsia="Arial" w:hAnsi="Arial"/>
                <w:sz w:val="18"/>
                <w:szCs w:val="18"/>
                <w:color w:val="auto"/>
              </w:rPr>
              <w:t>Variation of Rights Attaching to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Dividends and Capitalisation</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86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2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8620" w:type="dxa"/>
            <w:vAlign w:val="bottom"/>
          </w:tcPr>
          <w:p>
            <w:pPr>
              <w:ind w:left="180"/>
              <w:spacing w:after="0"/>
              <w:rPr>
                <w:sz w:val="20"/>
                <w:szCs w:val="20"/>
                <w:color w:val="auto"/>
              </w:rPr>
            </w:pPr>
            <w:r>
              <w:rPr>
                <w:rFonts w:ascii="Arial" w:cs="Arial" w:eastAsia="Arial" w:hAnsi="Arial"/>
                <w:sz w:val="18"/>
                <w:szCs w:val="18"/>
                <w:color w:val="auto"/>
              </w:rPr>
              <w:t>Power to Set Aside Profits</w:t>
            </w:r>
          </w:p>
        </w:tc>
        <w:tc>
          <w:tcPr>
            <w:tcW w:w="2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8620" w:type="dxa"/>
            <w:vAlign w:val="bottom"/>
          </w:tcPr>
          <w:p>
            <w:pPr>
              <w:ind w:left="180"/>
              <w:spacing w:after="0"/>
              <w:rPr>
                <w:sz w:val="20"/>
                <w:szCs w:val="20"/>
                <w:color w:val="auto"/>
              </w:rPr>
            </w:pPr>
            <w:r>
              <w:rPr>
                <w:rFonts w:ascii="Arial" w:cs="Arial" w:eastAsia="Arial" w:hAnsi="Arial"/>
                <w:sz w:val="18"/>
                <w:szCs w:val="18"/>
                <w:color w:val="auto"/>
              </w:rPr>
              <w:t>Method of Payment</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8620" w:type="dxa"/>
            <w:vAlign w:val="bottom"/>
          </w:tcPr>
          <w:p>
            <w:pPr>
              <w:ind w:left="180"/>
              <w:spacing w:after="0"/>
              <w:rPr>
                <w:sz w:val="20"/>
                <w:szCs w:val="20"/>
                <w:color w:val="auto"/>
              </w:rPr>
            </w:pPr>
            <w:r>
              <w:rPr>
                <w:rFonts w:ascii="Arial" w:cs="Arial" w:eastAsia="Arial" w:hAnsi="Arial"/>
                <w:sz w:val="18"/>
                <w:szCs w:val="18"/>
                <w:color w:val="auto"/>
              </w:rPr>
              <w:t>Capitalisation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Meetings of Members</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8620" w:type="dxa"/>
            <w:vAlign w:val="bottom"/>
          </w:tcPr>
          <w:p>
            <w:pPr>
              <w:ind w:left="180"/>
              <w:spacing w:after="0"/>
              <w:rPr>
                <w:sz w:val="20"/>
                <w:szCs w:val="20"/>
                <w:color w:val="auto"/>
              </w:rPr>
            </w:pPr>
            <w:r>
              <w:rPr>
                <w:rFonts w:ascii="Arial" w:cs="Arial" w:eastAsia="Arial" w:hAnsi="Arial"/>
                <w:sz w:val="18"/>
                <w:szCs w:val="18"/>
                <w:color w:val="auto"/>
              </w:rPr>
              <w:t>Annual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8620" w:type="dxa"/>
            <w:vAlign w:val="bottom"/>
          </w:tcPr>
          <w:p>
            <w:pPr>
              <w:ind w:left="180"/>
              <w:spacing w:after="0"/>
              <w:rPr>
                <w:sz w:val="20"/>
                <w:szCs w:val="20"/>
                <w:color w:val="auto"/>
              </w:rPr>
            </w:pPr>
            <w:r>
              <w:rPr>
                <w:rFonts w:ascii="Arial" w:cs="Arial" w:eastAsia="Arial" w:hAnsi="Arial"/>
                <w:sz w:val="18"/>
                <w:szCs w:val="18"/>
                <w:color w:val="auto"/>
              </w:rPr>
              <w:t>Special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8620" w:type="dxa"/>
            <w:vAlign w:val="bottom"/>
          </w:tcPr>
          <w:p>
            <w:pPr>
              <w:ind w:left="180"/>
              <w:spacing w:after="0"/>
              <w:rPr>
                <w:sz w:val="20"/>
                <w:szCs w:val="20"/>
                <w:color w:val="auto"/>
              </w:rPr>
            </w:pPr>
            <w:r>
              <w:rPr>
                <w:rFonts w:ascii="Arial" w:cs="Arial" w:eastAsia="Arial" w:hAnsi="Arial"/>
                <w:sz w:val="18"/>
                <w:szCs w:val="18"/>
                <w:color w:val="auto"/>
              </w:rPr>
              <w:t>Requisitioned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8620" w:type="dxa"/>
            <w:vAlign w:val="bottom"/>
          </w:tcPr>
          <w:p>
            <w:pPr>
              <w:ind w:left="180"/>
              <w:spacing w:after="0"/>
              <w:rPr>
                <w:sz w:val="20"/>
                <w:szCs w:val="20"/>
                <w:color w:val="auto"/>
              </w:rPr>
            </w:pPr>
            <w:r>
              <w:rPr>
                <w:rFonts w:ascii="Arial" w:cs="Arial" w:eastAsia="Arial" w:hAnsi="Arial"/>
                <w:sz w:val="18"/>
                <w:szCs w:val="18"/>
                <w:color w:val="auto"/>
              </w:rPr>
              <w:t>Notice</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8620" w:type="dxa"/>
            <w:vAlign w:val="bottom"/>
          </w:tcPr>
          <w:p>
            <w:pPr>
              <w:ind w:left="180"/>
              <w:spacing w:after="0"/>
              <w:rPr>
                <w:sz w:val="20"/>
                <w:szCs w:val="20"/>
                <w:color w:val="auto"/>
              </w:rPr>
            </w:pPr>
            <w:r>
              <w:rPr>
                <w:rFonts w:ascii="Arial" w:cs="Arial" w:eastAsia="Arial" w:hAnsi="Arial"/>
                <w:sz w:val="18"/>
                <w:szCs w:val="18"/>
                <w:color w:val="auto"/>
              </w:rPr>
              <w:t>Giving Notice and Access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8620" w:type="dxa"/>
            <w:vAlign w:val="bottom"/>
          </w:tcPr>
          <w:p>
            <w:pPr>
              <w:ind w:left="180"/>
              <w:spacing w:after="0"/>
              <w:rPr>
                <w:sz w:val="20"/>
                <w:szCs w:val="20"/>
                <w:color w:val="auto"/>
              </w:rPr>
            </w:pPr>
            <w:r>
              <w:rPr>
                <w:rFonts w:ascii="Arial" w:cs="Arial" w:eastAsia="Arial" w:hAnsi="Arial"/>
                <w:sz w:val="18"/>
                <w:szCs w:val="18"/>
                <w:color w:val="auto"/>
              </w:rPr>
              <w:t>Notice of Nominations and Member Business</w:t>
            </w: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8620" w:type="dxa"/>
            <w:vAlign w:val="bottom"/>
          </w:tcPr>
          <w:p>
            <w:pPr>
              <w:ind w:left="180"/>
              <w:spacing w:after="0"/>
              <w:rPr>
                <w:sz w:val="20"/>
                <w:szCs w:val="20"/>
                <w:color w:val="auto"/>
              </w:rPr>
            </w:pPr>
            <w:r>
              <w:rPr>
                <w:rFonts w:ascii="Arial" w:cs="Arial" w:eastAsia="Arial" w:hAnsi="Arial"/>
                <w:sz w:val="18"/>
                <w:szCs w:val="18"/>
                <w:color w:val="auto"/>
              </w:rPr>
              <w:t>Postponement or Cancellation of General Meeting</w:t>
            </w:r>
          </w:p>
        </w:tc>
        <w:tc>
          <w:tcPr>
            <w:tcW w:w="2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8620" w:type="dxa"/>
            <w:vAlign w:val="bottom"/>
          </w:tcPr>
          <w:p>
            <w:pPr>
              <w:ind w:left="180"/>
              <w:spacing w:after="0"/>
              <w:rPr>
                <w:sz w:val="20"/>
                <w:szCs w:val="20"/>
                <w:color w:val="auto"/>
              </w:rPr>
            </w:pPr>
            <w:r>
              <w:rPr>
                <w:rFonts w:ascii="Arial" w:cs="Arial" w:eastAsia="Arial" w:hAnsi="Arial"/>
                <w:sz w:val="18"/>
                <w:szCs w:val="18"/>
                <w:color w:val="auto"/>
              </w:rPr>
              <w:t>Electronic Participation and Security at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8620" w:type="dxa"/>
            <w:vAlign w:val="bottom"/>
          </w:tcPr>
          <w:p>
            <w:pPr>
              <w:ind w:left="180"/>
              <w:spacing w:after="0"/>
              <w:rPr>
                <w:sz w:val="20"/>
                <w:szCs w:val="20"/>
                <w:color w:val="auto"/>
              </w:rPr>
            </w:pPr>
            <w:r>
              <w:rPr>
                <w:rFonts w:ascii="Arial" w:cs="Arial" w:eastAsia="Arial" w:hAnsi="Arial"/>
                <w:sz w:val="18"/>
                <w:szCs w:val="18"/>
                <w:color w:val="auto"/>
              </w:rPr>
              <w:t>Quorum at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8620" w:type="dxa"/>
            <w:vAlign w:val="bottom"/>
          </w:tcPr>
          <w:p>
            <w:pPr>
              <w:ind w:left="180"/>
              <w:spacing w:after="0"/>
              <w:rPr>
                <w:sz w:val="20"/>
                <w:szCs w:val="20"/>
                <w:color w:val="auto"/>
              </w:rPr>
            </w:pPr>
            <w:r>
              <w:rPr>
                <w:rFonts w:ascii="Arial" w:cs="Arial" w:eastAsia="Arial" w:hAnsi="Arial"/>
                <w:sz w:val="18"/>
                <w:szCs w:val="18"/>
                <w:color w:val="auto"/>
              </w:rPr>
              <w:t>Chairman to Preside at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8620" w:type="dxa"/>
            <w:vAlign w:val="bottom"/>
          </w:tcPr>
          <w:p>
            <w:pPr>
              <w:ind w:left="180"/>
              <w:spacing w:after="0"/>
              <w:rPr>
                <w:sz w:val="20"/>
                <w:szCs w:val="20"/>
                <w:color w:val="auto"/>
              </w:rPr>
            </w:pPr>
            <w:r>
              <w:rPr>
                <w:rFonts w:ascii="Arial" w:cs="Arial" w:eastAsia="Arial" w:hAnsi="Arial"/>
                <w:sz w:val="18"/>
                <w:szCs w:val="18"/>
                <w:color w:val="auto"/>
              </w:rPr>
              <w:t>Voting on Resolutions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8620" w:type="dxa"/>
            <w:vAlign w:val="bottom"/>
          </w:tcPr>
          <w:p>
            <w:pPr>
              <w:ind w:left="180"/>
              <w:spacing w:after="0"/>
              <w:rPr>
                <w:sz w:val="20"/>
                <w:szCs w:val="20"/>
                <w:color w:val="auto"/>
              </w:rPr>
            </w:pPr>
            <w:r>
              <w:rPr>
                <w:rFonts w:ascii="Arial" w:cs="Arial" w:eastAsia="Arial" w:hAnsi="Arial"/>
                <w:sz w:val="18"/>
                <w:szCs w:val="18"/>
                <w:color w:val="auto"/>
              </w:rPr>
              <w:t>Power to Demand Vote on Poll</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8620" w:type="dxa"/>
            <w:vAlign w:val="bottom"/>
          </w:tcPr>
          <w:p>
            <w:pPr>
              <w:ind w:left="180"/>
              <w:spacing w:after="0"/>
              <w:rPr>
                <w:sz w:val="20"/>
                <w:szCs w:val="20"/>
                <w:color w:val="auto"/>
              </w:rPr>
            </w:pPr>
            <w:r>
              <w:rPr>
                <w:rFonts w:ascii="Arial" w:cs="Arial" w:eastAsia="Arial" w:hAnsi="Arial"/>
                <w:sz w:val="18"/>
                <w:szCs w:val="18"/>
                <w:color w:val="auto"/>
              </w:rPr>
              <w:t>Voting by Joint Holders of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8620" w:type="dxa"/>
            <w:vAlign w:val="bottom"/>
          </w:tcPr>
          <w:p>
            <w:pPr>
              <w:ind w:left="180"/>
              <w:spacing w:after="0"/>
              <w:rPr>
                <w:sz w:val="20"/>
                <w:szCs w:val="20"/>
                <w:color w:val="auto"/>
              </w:rPr>
            </w:pPr>
            <w:r>
              <w:rPr>
                <w:rFonts w:ascii="Arial" w:cs="Arial" w:eastAsia="Arial" w:hAnsi="Arial"/>
                <w:sz w:val="18"/>
                <w:szCs w:val="18"/>
                <w:color w:val="auto"/>
              </w:rPr>
              <w:t>Votes of Members - General</w:t>
            </w: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8620" w:type="dxa"/>
            <w:vAlign w:val="bottom"/>
          </w:tcPr>
          <w:p>
            <w:pPr>
              <w:ind w:left="180"/>
              <w:spacing w:after="0"/>
              <w:rPr>
                <w:sz w:val="20"/>
                <w:szCs w:val="20"/>
                <w:color w:val="auto"/>
              </w:rPr>
            </w:pPr>
            <w:r>
              <w:rPr>
                <w:rFonts w:ascii="Arial" w:cs="Arial" w:eastAsia="Arial" w:hAnsi="Arial"/>
                <w:sz w:val="18"/>
                <w:szCs w:val="18"/>
                <w:color w:val="auto"/>
              </w:rPr>
              <w:t>Adjustment of Voting Power</w:t>
            </w: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8620" w:type="dxa"/>
            <w:vAlign w:val="bottom"/>
          </w:tcPr>
          <w:p>
            <w:pPr>
              <w:ind w:left="180"/>
              <w:spacing w:after="0"/>
              <w:rPr>
                <w:sz w:val="20"/>
                <w:szCs w:val="20"/>
                <w:color w:val="auto"/>
              </w:rPr>
            </w:pPr>
            <w:r>
              <w:rPr>
                <w:rFonts w:ascii="Arial" w:cs="Arial" w:eastAsia="Arial" w:hAnsi="Arial"/>
                <w:sz w:val="18"/>
                <w:szCs w:val="18"/>
                <w:color w:val="auto"/>
              </w:rPr>
              <w:t>Other Adjustments of Voting Power</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35.</w:t>
            </w:r>
          </w:p>
        </w:tc>
        <w:tc>
          <w:tcPr>
            <w:tcW w:w="8620" w:type="dxa"/>
            <w:vAlign w:val="bottom"/>
          </w:tcPr>
          <w:p>
            <w:pPr>
              <w:ind w:left="180"/>
              <w:spacing w:after="0"/>
              <w:rPr>
                <w:sz w:val="20"/>
                <w:szCs w:val="20"/>
                <w:color w:val="auto"/>
              </w:rPr>
            </w:pPr>
            <w:r>
              <w:rPr>
                <w:rFonts w:ascii="Arial" w:cs="Arial" w:eastAsia="Arial" w:hAnsi="Arial"/>
                <w:sz w:val="18"/>
                <w:szCs w:val="18"/>
                <w:color w:val="auto"/>
              </w:rPr>
              <w:t>Notice</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36.</w:t>
            </w:r>
          </w:p>
        </w:tc>
        <w:tc>
          <w:tcPr>
            <w:tcW w:w="8620" w:type="dxa"/>
            <w:vAlign w:val="bottom"/>
          </w:tcPr>
          <w:p>
            <w:pPr>
              <w:ind w:left="180"/>
              <w:spacing w:after="0"/>
              <w:rPr>
                <w:sz w:val="20"/>
                <w:szCs w:val="20"/>
                <w:color w:val="auto"/>
              </w:rPr>
            </w:pPr>
            <w:r>
              <w:rPr>
                <w:rFonts w:ascii="Arial" w:cs="Arial" w:eastAsia="Arial" w:hAnsi="Arial"/>
                <w:sz w:val="18"/>
                <w:szCs w:val="18"/>
                <w:color w:val="auto"/>
              </w:rPr>
              <w:t>Board Determination Binding</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37.</w:t>
            </w:r>
          </w:p>
        </w:tc>
        <w:tc>
          <w:tcPr>
            <w:tcW w:w="8620" w:type="dxa"/>
            <w:vAlign w:val="bottom"/>
          </w:tcPr>
          <w:p>
            <w:pPr>
              <w:ind w:left="180"/>
              <w:spacing w:after="0"/>
              <w:rPr>
                <w:sz w:val="20"/>
                <w:szCs w:val="20"/>
                <w:color w:val="auto"/>
              </w:rPr>
            </w:pPr>
            <w:r>
              <w:rPr>
                <w:rFonts w:ascii="Arial" w:cs="Arial" w:eastAsia="Arial" w:hAnsi="Arial"/>
                <w:sz w:val="18"/>
                <w:szCs w:val="18"/>
                <w:color w:val="auto"/>
              </w:rPr>
              <w:t>Requirement to Provide Information and Notice</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38.</w:t>
            </w:r>
          </w:p>
        </w:tc>
        <w:tc>
          <w:tcPr>
            <w:tcW w:w="8620" w:type="dxa"/>
            <w:vAlign w:val="bottom"/>
          </w:tcPr>
          <w:p>
            <w:pPr>
              <w:ind w:left="180"/>
              <w:spacing w:after="0"/>
              <w:rPr>
                <w:sz w:val="20"/>
                <w:szCs w:val="20"/>
                <w:color w:val="auto"/>
              </w:rPr>
            </w:pPr>
            <w:r>
              <w:rPr>
                <w:rFonts w:ascii="Arial" w:cs="Arial" w:eastAsia="Arial" w:hAnsi="Arial"/>
                <w:sz w:val="18"/>
                <w:szCs w:val="18"/>
                <w:color w:val="auto"/>
              </w:rPr>
              <w:t>Instrument of Proxy</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39.</w:t>
            </w:r>
          </w:p>
        </w:tc>
        <w:tc>
          <w:tcPr>
            <w:tcW w:w="8620" w:type="dxa"/>
            <w:vAlign w:val="bottom"/>
          </w:tcPr>
          <w:p>
            <w:pPr>
              <w:ind w:left="180"/>
              <w:spacing w:after="0"/>
              <w:rPr>
                <w:sz w:val="20"/>
                <w:szCs w:val="20"/>
                <w:color w:val="auto"/>
              </w:rPr>
            </w:pPr>
            <w:r>
              <w:rPr>
                <w:rFonts w:ascii="Arial" w:cs="Arial" w:eastAsia="Arial" w:hAnsi="Arial"/>
                <w:sz w:val="18"/>
                <w:szCs w:val="18"/>
                <w:color w:val="auto"/>
              </w:rPr>
              <w:t>Representation of Corporate Member</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40.</w:t>
            </w:r>
          </w:p>
        </w:tc>
        <w:tc>
          <w:tcPr>
            <w:tcW w:w="8620" w:type="dxa"/>
            <w:vAlign w:val="bottom"/>
          </w:tcPr>
          <w:p>
            <w:pPr>
              <w:ind w:left="180"/>
              <w:spacing w:after="0"/>
              <w:rPr>
                <w:sz w:val="20"/>
                <w:szCs w:val="20"/>
                <w:color w:val="auto"/>
              </w:rPr>
            </w:pPr>
            <w:r>
              <w:rPr>
                <w:rFonts w:ascii="Arial" w:cs="Arial" w:eastAsia="Arial" w:hAnsi="Arial"/>
                <w:sz w:val="18"/>
                <w:szCs w:val="18"/>
                <w:color w:val="auto"/>
              </w:rPr>
              <w:t>Adjournment of General Meeting</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8620" w:type="dxa"/>
            <w:vAlign w:val="bottom"/>
          </w:tcPr>
          <w:p>
            <w:pPr>
              <w:ind w:left="180"/>
              <w:spacing w:after="0"/>
              <w:rPr>
                <w:sz w:val="20"/>
                <w:szCs w:val="20"/>
                <w:color w:val="auto"/>
              </w:rPr>
            </w:pPr>
            <w:r>
              <w:rPr>
                <w:rFonts w:ascii="Arial" w:cs="Arial" w:eastAsia="Arial" w:hAnsi="Arial"/>
                <w:sz w:val="18"/>
                <w:szCs w:val="18"/>
                <w:color w:val="auto"/>
              </w:rPr>
              <w:t>Written Resolutions</w:t>
            </w:r>
          </w:p>
        </w:tc>
        <w:tc>
          <w:tcPr>
            <w:tcW w:w="2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8620" w:type="dxa"/>
            <w:vAlign w:val="bottom"/>
          </w:tcPr>
          <w:p>
            <w:pPr>
              <w:ind w:left="180"/>
              <w:spacing w:after="0"/>
              <w:rPr>
                <w:sz w:val="20"/>
                <w:szCs w:val="20"/>
                <w:color w:val="auto"/>
              </w:rPr>
            </w:pPr>
            <w:r>
              <w:rPr>
                <w:rFonts w:ascii="Arial" w:cs="Arial" w:eastAsia="Arial" w:hAnsi="Arial"/>
                <w:sz w:val="18"/>
                <w:szCs w:val="18"/>
                <w:color w:val="auto"/>
              </w:rPr>
              <w:t>Directors Attendance at General Meetings</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Certain Subsidiaries</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8620" w:type="dxa"/>
            <w:vAlign w:val="bottom"/>
          </w:tcPr>
          <w:p>
            <w:pPr>
              <w:ind w:left="180"/>
              <w:spacing w:after="0"/>
              <w:rPr>
                <w:sz w:val="20"/>
                <w:szCs w:val="20"/>
                <w:color w:val="auto"/>
              </w:rPr>
            </w:pPr>
            <w:r>
              <w:rPr>
                <w:rFonts w:ascii="Arial" w:cs="Arial" w:eastAsia="Arial" w:hAnsi="Arial"/>
                <w:sz w:val="18"/>
                <w:szCs w:val="18"/>
                <w:color w:val="auto"/>
              </w:rPr>
              <w:t>Voting of Subsidiary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44.</w:t>
            </w:r>
          </w:p>
        </w:tc>
        <w:tc>
          <w:tcPr>
            <w:tcW w:w="8620" w:type="dxa"/>
            <w:vAlign w:val="bottom"/>
          </w:tcPr>
          <w:p>
            <w:pPr>
              <w:ind w:left="180"/>
              <w:spacing w:after="0"/>
              <w:rPr>
                <w:sz w:val="20"/>
                <w:szCs w:val="20"/>
                <w:color w:val="auto"/>
              </w:rPr>
            </w:pPr>
            <w:r>
              <w:rPr>
                <w:rFonts w:ascii="Arial" w:cs="Arial" w:eastAsia="Arial" w:hAnsi="Arial"/>
                <w:sz w:val="18"/>
                <w:szCs w:val="18"/>
                <w:color w:val="auto"/>
              </w:rPr>
              <w:t>Bye-law or Articles of Association of Certain Subsidiaries</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420" w:type="dxa"/>
            <w:vAlign w:val="bottom"/>
          </w:tcPr>
          <w:p>
            <w:pPr>
              <w:spacing w:after="0"/>
              <w:rPr>
                <w:sz w:val="24"/>
                <w:szCs w:val="24"/>
                <w:color w:val="auto"/>
              </w:rPr>
            </w:pPr>
          </w:p>
        </w:tc>
        <w:tc>
          <w:tcPr>
            <w:tcW w:w="8620" w:type="dxa"/>
            <w:vAlign w:val="bottom"/>
          </w:tcPr>
          <w:p>
            <w:pPr>
              <w:jc w:val="center"/>
              <w:ind w:left="1890"/>
              <w:spacing w:after="0"/>
              <w:rPr>
                <w:sz w:val="20"/>
                <w:szCs w:val="20"/>
                <w:color w:val="auto"/>
              </w:rPr>
            </w:pPr>
            <w:r>
              <w:rPr>
                <w:rFonts w:ascii="Arial" w:cs="Arial" w:eastAsia="Arial" w:hAnsi="Arial"/>
                <w:sz w:val="18"/>
                <w:szCs w:val="18"/>
                <w:b w:val="1"/>
                <w:bCs w:val="1"/>
                <w:color w:val="auto"/>
                <w:w w:val="90"/>
              </w:rPr>
              <w:t>Directors and Officers</w:t>
            </w:r>
          </w:p>
        </w:tc>
        <w:tc>
          <w:tcPr>
            <w:tcW w:w="2380" w:type="dxa"/>
            <w:vAlign w:val="bottom"/>
          </w:tcPr>
          <w:p>
            <w:pPr>
              <w:spacing w:after="0"/>
              <w:rPr>
                <w:sz w:val="24"/>
                <w:szCs w:val="24"/>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8620" w:type="dxa"/>
            <w:vAlign w:val="bottom"/>
          </w:tcPr>
          <w:p>
            <w:pPr>
              <w:ind w:left="180"/>
              <w:spacing w:after="0"/>
              <w:rPr>
                <w:sz w:val="20"/>
                <w:szCs w:val="20"/>
                <w:color w:val="auto"/>
              </w:rPr>
            </w:pPr>
            <w:r>
              <w:rPr>
                <w:rFonts w:ascii="Arial" w:cs="Arial" w:eastAsia="Arial" w:hAnsi="Arial"/>
                <w:sz w:val="18"/>
                <w:szCs w:val="18"/>
                <w:color w:val="auto"/>
              </w:rPr>
              <w:t>Election of Directors</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46.</w:t>
            </w:r>
          </w:p>
        </w:tc>
        <w:tc>
          <w:tcPr>
            <w:tcW w:w="8620" w:type="dxa"/>
            <w:vAlign w:val="bottom"/>
          </w:tcPr>
          <w:p>
            <w:pPr>
              <w:ind w:left="180"/>
              <w:spacing w:after="0"/>
              <w:rPr>
                <w:sz w:val="20"/>
                <w:szCs w:val="20"/>
                <w:color w:val="auto"/>
              </w:rPr>
            </w:pPr>
            <w:r>
              <w:rPr>
                <w:rFonts w:ascii="Arial" w:cs="Arial" w:eastAsia="Arial" w:hAnsi="Arial"/>
                <w:sz w:val="18"/>
                <w:szCs w:val="18"/>
                <w:color w:val="auto"/>
              </w:rPr>
              <w:t>Classes of Directors</w:t>
            </w:r>
          </w:p>
        </w:tc>
        <w:tc>
          <w:tcPr>
            <w:tcW w:w="2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47.</w:t>
            </w:r>
          </w:p>
        </w:tc>
        <w:tc>
          <w:tcPr>
            <w:tcW w:w="8620" w:type="dxa"/>
            <w:vAlign w:val="bottom"/>
          </w:tcPr>
          <w:p>
            <w:pPr>
              <w:ind w:left="180"/>
              <w:spacing w:after="0"/>
              <w:rPr>
                <w:sz w:val="20"/>
                <w:szCs w:val="20"/>
                <w:color w:val="auto"/>
              </w:rPr>
            </w:pPr>
            <w:r>
              <w:rPr>
                <w:rFonts w:ascii="Arial" w:cs="Arial" w:eastAsia="Arial" w:hAnsi="Arial"/>
                <w:sz w:val="18"/>
                <w:szCs w:val="18"/>
                <w:color w:val="auto"/>
              </w:rPr>
              <w:t>Term of Office of Directors</w:t>
            </w:r>
          </w:p>
        </w:tc>
        <w:tc>
          <w:tcPr>
            <w:tcW w:w="2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48.</w:t>
            </w:r>
          </w:p>
        </w:tc>
        <w:tc>
          <w:tcPr>
            <w:tcW w:w="8620" w:type="dxa"/>
            <w:vAlign w:val="bottom"/>
          </w:tcPr>
          <w:p>
            <w:pPr>
              <w:ind w:left="180"/>
              <w:spacing w:after="0"/>
              <w:rPr>
                <w:sz w:val="20"/>
                <w:szCs w:val="20"/>
                <w:color w:val="auto"/>
              </w:rPr>
            </w:pPr>
            <w:r>
              <w:rPr>
                <w:rFonts w:ascii="Arial" w:cs="Arial" w:eastAsia="Arial" w:hAnsi="Arial"/>
                <w:sz w:val="18"/>
                <w:szCs w:val="18"/>
                <w:color w:val="auto"/>
              </w:rPr>
              <w:t>Alternate Directors</w:t>
            </w:r>
          </w:p>
        </w:tc>
        <w:tc>
          <w:tcPr>
            <w:tcW w:w="2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49.</w:t>
            </w:r>
          </w:p>
        </w:tc>
        <w:tc>
          <w:tcPr>
            <w:tcW w:w="8620" w:type="dxa"/>
            <w:vAlign w:val="bottom"/>
          </w:tcPr>
          <w:p>
            <w:pPr>
              <w:ind w:left="180"/>
              <w:spacing w:after="0"/>
              <w:rPr>
                <w:sz w:val="20"/>
                <w:szCs w:val="20"/>
                <w:color w:val="auto"/>
              </w:rPr>
            </w:pPr>
            <w:r>
              <w:rPr>
                <w:rFonts w:ascii="Arial" w:cs="Arial" w:eastAsia="Arial" w:hAnsi="Arial"/>
                <w:sz w:val="18"/>
                <w:szCs w:val="18"/>
                <w:color w:val="auto"/>
              </w:rPr>
              <w:t>Removal of Directors</w:t>
            </w:r>
          </w:p>
        </w:tc>
        <w:tc>
          <w:tcPr>
            <w:tcW w:w="238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57" w:orient="portrait"/>
          <w:cols w:equalWidth="0" w:num="1">
            <w:col w:w="11420"/>
          </w:cols>
          <w:pgMar w:left="240" w:top="364" w:right="239" w:bottom="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50.</w:t>
            </w:r>
          </w:p>
        </w:tc>
        <w:tc>
          <w:tcPr>
            <w:tcW w:w="8820" w:type="dxa"/>
            <w:vAlign w:val="bottom"/>
          </w:tcPr>
          <w:p>
            <w:pPr>
              <w:ind w:left="180"/>
              <w:spacing w:after="0"/>
              <w:rPr>
                <w:sz w:val="20"/>
                <w:szCs w:val="20"/>
                <w:color w:val="auto"/>
              </w:rPr>
            </w:pPr>
            <w:r>
              <w:rPr>
                <w:rFonts w:ascii="Arial" w:cs="Arial" w:eastAsia="Arial" w:hAnsi="Arial"/>
                <w:sz w:val="18"/>
                <w:szCs w:val="18"/>
                <w:color w:val="auto"/>
              </w:rPr>
              <w:t>Vacancy in the Office of Director</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51.</w:t>
            </w:r>
          </w:p>
        </w:tc>
        <w:tc>
          <w:tcPr>
            <w:tcW w:w="8820" w:type="dxa"/>
            <w:vAlign w:val="bottom"/>
          </w:tcPr>
          <w:p>
            <w:pPr>
              <w:ind w:left="180"/>
              <w:spacing w:after="0"/>
              <w:rPr>
                <w:sz w:val="20"/>
                <w:szCs w:val="20"/>
                <w:color w:val="auto"/>
              </w:rPr>
            </w:pPr>
            <w:r>
              <w:rPr>
                <w:rFonts w:ascii="Arial" w:cs="Arial" w:eastAsia="Arial" w:hAnsi="Arial"/>
                <w:sz w:val="18"/>
                <w:szCs w:val="18"/>
                <w:color w:val="auto"/>
              </w:rPr>
              <w:t>Remuneration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52.</w:t>
            </w:r>
          </w:p>
        </w:tc>
        <w:tc>
          <w:tcPr>
            <w:tcW w:w="8820" w:type="dxa"/>
            <w:vAlign w:val="bottom"/>
          </w:tcPr>
          <w:p>
            <w:pPr>
              <w:ind w:left="180"/>
              <w:spacing w:after="0"/>
              <w:rPr>
                <w:sz w:val="20"/>
                <w:szCs w:val="20"/>
                <w:color w:val="auto"/>
              </w:rPr>
            </w:pPr>
            <w:r>
              <w:rPr>
                <w:rFonts w:ascii="Arial" w:cs="Arial" w:eastAsia="Arial" w:hAnsi="Arial"/>
                <w:sz w:val="18"/>
                <w:szCs w:val="18"/>
                <w:color w:val="auto"/>
              </w:rPr>
              <w:t>Defect in Appointment</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53.</w:t>
            </w:r>
          </w:p>
        </w:tc>
        <w:tc>
          <w:tcPr>
            <w:tcW w:w="8820" w:type="dxa"/>
            <w:vAlign w:val="bottom"/>
          </w:tcPr>
          <w:p>
            <w:pPr>
              <w:ind w:left="180"/>
              <w:spacing w:after="0"/>
              <w:rPr>
                <w:sz w:val="20"/>
                <w:szCs w:val="20"/>
                <w:color w:val="auto"/>
              </w:rPr>
            </w:pPr>
            <w:r>
              <w:rPr>
                <w:rFonts w:ascii="Arial" w:cs="Arial" w:eastAsia="Arial" w:hAnsi="Arial"/>
                <w:sz w:val="18"/>
                <w:szCs w:val="18"/>
                <w:color w:val="auto"/>
              </w:rPr>
              <w:t>Directors to Manage Business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54.</w:t>
            </w:r>
          </w:p>
        </w:tc>
        <w:tc>
          <w:tcPr>
            <w:tcW w:w="8820" w:type="dxa"/>
            <w:vAlign w:val="bottom"/>
          </w:tcPr>
          <w:p>
            <w:pPr>
              <w:ind w:left="180"/>
              <w:spacing w:after="0"/>
              <w:rPr>
                <w:sz w:val="20"/>
                <w:szCs w:val="20"/>
                <w:color w:val="auto"/>
              </w:rPr>
            </w:pPr>
            <w:r>
              <w:rPr>
                <w:rFonts w:ascii="Arial" w:cs="Arial" w:eastAsia="Arial" w:hAnsi="Arial"/>
                <w:sz w:val="18"/>
                <w:szCs w:val="18"/>
                <w:color w:val="auto"/>
              </w:rPr>
              <w:t>Powers of the Board of Directors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55.</w:t>
            </w:r>
          </w:p>
        </w:tc>
        <w:tc>
          <w:tcPr>
            <w:tcW w:w="8820" w:type="dxa"/>
            <w:vAlign w:val="bottom"/>
          </w:tcPr>
          <w:p>
            <w:pPr>
              <w:ind w:left="180"/>
              <w:spacing w:after="0"/>
              <w:rPr>
                <w:sz w:val="20"/>
                <w:szCs w:val="20"/>
                <w:color w:val="auto"/>
              </w:rPr>
            </w:pPr>
            <w:r>
              <w:rPr>
                <w:rFonts w:ascii="Arial" w:cs="Arial" w:eastAsia="Arial" w:hAnsi="Arial"/>
                <w:sz w:val="18"/>
                <w:szCs w:val="18"/>
                <w:color w:val="auto"/>
              </w:rPr>
              <w:t>Register of Directors and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56.</w:t>
            </w:r>
          </w:p>
        </w:tc>
        <w:tc>
          <w:tcPr>
            <w:tcW w:w="8820" w:type="dxa"/>
            <w:vAlign w:val="bottom"/>
          </w:tcPr>
          <w:p>
            <w:pPr>
              <w:ind w:left="180"/>
              <w:spacing w:after="0"/>
              <w:rPr>
                <w:sz w:val="20"/>
                <w:szCs w:val="20"/>
                <w:color w:val="auto"/>
              </w:rPr>
            </w:pPr>
            <w:r>
              <w:rPr>
                <w:rFonts w:ascii="Arial" w:cs="Arial" w:eastAsia="Arial" w:hAnsi="Arial"/>
                <w:sz w:val="18"/>
                <w:szCs w:val="18"/>
                <w:color w:val="auto"/>
              </w:rPr>
              <w:t>Appointment of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57.</w:t>
            </w:r>
          </w:p>
        </w:tc>
        <w:tc>
          <w:tcPr>
            <w:tcW w:w="8820" w:type="dxa"/>
            <w:vAlign w:val="bottom"/>
          </w:tcPr>
          <w:p>
            <w:pPr>
              <w:ind w:left="180"/>
              <w:spacing w:after="0"/>
              <w:rPr>
                <w:sz w:val="20"/>
                <w:szCs w:val="20"/>
                <w:color w:val="auto"/>
              </w:rPr>
            </w:pPr>
            <w:r>
              <w:rPr>
                <w:rFonts w:ascii="Arial" w:cs="Arial" w:eastAsia="Arial" w:hAnsi="Arial"/>
                <w:sz w:val="18"/>
                <w:szCs w:val="18"/>
                <w:color w:val="auto"/>
              </w:rPr>
              <w:t>Appointment of Secretary</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58.</w:t>
            </w:r>
          </w:p>
        </w:tc>
        <w:tc>
          <w:tcPr>
            <w:tcW w:w="8820" w:type="dxa"/>
            <w:vAlign w:val="bottom"/>
          </w:tcPr>
          <w:p>
            <w:pPr>
              <w:ind w:left="180"/>
              <w:spacing w:after="0"/>
              <w:rPr>
                <w:sz w:val="20"/>
                <w:szCs w:val="20"/>
                <w:color w:val="auto"/>
              </w:rPr>
            </w:pPr>
            <w:r>
              <w:rPr>
                <w:rFonts w:ascii="Arial" w:cs="Arial" w:eastAsia="Arial" w:hAnsi="Arial"/>
                <w:sz w:val="18"/>
                <w:szCs w:val="18"/>
                <w:color w:val="auto"/>
              </w:rPr>
              <w:t>Duties of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59.</w:t>
            </w:r>
          </w:p>
        </w:tc>
        <w:tc>
          <w:tcPr>
            <w:tcW w:w="8820" w:type="dxa"/>
            <w:vAlign w:val="bottom"/>
          </w:tcPr>
          <w:p>
            <w:pPr>
              <w:ind w:left="180"/>
              <w:spacing w:after="0"/>
              <w:rPr>
                <w:sz w:val="20"/>
                <w:szCs w:val="20"/>
                <w:color w:val="auto"/>
              </w:rPr>
            </w:pPr>
            <w:r>
              <w:rPr>
                <w:rFonts w:ascii="Arial" w:cs="Arial" w:eastAsia="Arial" w:hAnsi="Arial"/>
                <w:sz w:val="18"/>
                <w:szCs w:val="18"/>
                <w:color w:val="auto"/>
              </w:rPr>
              <w:t>Remuneration of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60.</w:t>
            </w:r>
          </w:p>
        </w:tc>
        <w:tc>
          <w:tcPr>
            <w:tcW w:w="8820" w:type="dxa"/>
            <w:vAlign w:val="bottom"/>
          </w:tcPr>
          <w:p>
            <w:pPr>
              <w:ind w:left="180"/>
              <w:spacing w:after="0"/>
              <w:rPr>
                <w:sz w:val="20"/>
                <w:szCs w:val="20"/>
                <w:color w:val="auto"/>
              </w:rPr>
            </w:pPr>
            <w:r>
              <w:rPr>
                <w:rFonts w:ascii="Arial" w:cs="Arial" w:eastAsia="Arial" w:hAnsi="Arial"/>
                <w:sz w:val="18"/>
                <w:szCs w:val="18"/>
                <w:color w:val="auto"/>
              </w:rPr>
              <w:t>Conflicts of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61.</w:t>
            </w:r>
          </w:p>
        </w:tc>
        <w:tc>
          <w:tcPr>
            <w:tcW w:w="8820" w:type="dxa"/>
            <w:vAlign w:val="bottom"/>
          </w:tcPr>
          <w:p>
            <w:pPr>
              <w:ind w:left="180"/>
              <w:spacing w:after="0"/>
              <w:rPr>
                <w:sz w:val="20"/>
                <w:szCs w:val="20"/>
                <w:color w:val="auto"/>
              </w:rPr>
            </w:pPr>
            <w:r>
              <w:rPr>
                <w:rFonts w:ascii="Arial" w:cs="Arial" w:eastAsia="Arial" w:hAnsi="Arial"/>
                <w:sz w:val="18"/>
                <w:szCs w:val="18"/>
                <w:color w:val="auto"/>
              </w:rPr>
              <w:t>Indemnification and Exculpation of Directors and Officers</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b w:val="1"/>
                <w:bCs w:val="1"/>
                <w:color w:val="auto"/>
                <w:w w:val="90"/>
              </w:rPr>
              <w:t>Meetings of the Board of Directors</w:t>
            </w:r>
          </w:p>
        </w:tc>
        <w:tc>
          <w:tcPr>
            <w:tcW w:w="2220" w:type="dxa"/>
            <w:vAlign w:val="bottom"/>
          </w:tcPr>
          <w:p>
            <w:pPr>
              <w:spacing w:after="0"/>
              <w:rPr>
                <w:sz w:val="24"/>
                <w:szCs w:val="24"/>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62.</w:t>
            </w:r>
          </w:p>
        </w:tc>
        <w:tc>
          <w:tcPr>
            <w:tcW w:w="8820" w:type="dxa"/>
            <w:vAlign w:val="bottom"/>
          </w:tcPr>
          <w:p>
            <w:pPr>
              <w:ind w:left="180"/>
              <w:spacing w:after="0"/>
              <w:rPr>
                <w:sz w:val="20"/>
                <w:szCs w:val="20"/>
                <w:color w:val="auto"/>
              </w:rPr>
            </w:pPr>
            <w:r>
              <w:rPr>
                <w:rFonts w:ascii="Arial" w:cs="Arial" w:eastAsia="Arial" w:hAnsi="Arial"/>
                <w:sz w:val="18"/>
                <w:szCs w:val="18"/>
                <w:color w:val="auto"/>
              </w:rPr>
              <w:t>Board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63.</w:t>
            </w:r>
          </w:p>
        </w:tc>
        <w:tc>
          <w:tcPr>
            <w:tcW w:w="8820" w:type="dxa"/>
            <w:vAlign w:val="bottom"/>
          </w:tcPr>
          <w:p>
            <w:pPr>
              <w:ind w:left="180"/>
              <w:spacing w:after="0"/>
              <w:rPr>
                <w:sz w:val="20"/>
                <w:szCs w:val="20"/>
                <w:color w:val="auto"/>
              </w:rPr>
            </w:pPr>
            <w:r>
              <w:rPr>
                <w:rFonts w:ascii="Arial" w:cs="Arial" w:eastAsia="Arial" w:hAnsi="Arial"/>
                <w:sz w:val="18"/>
                <w:szCs w:val="18"/>
                <w:color w:val="auto"/>
              </w:rPr>
              <w:t>Notice of Board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64.</w:t>
            </w:r>
          </w:p>
        </w:tc>
        <w:tc>
          <w:tcPr>
            <w:tcW w:w="8820" w:type="dxa"/>
            <w:vAlign w:val="bottom"/>
          </w:tcPr>
          <w:p>
            <w:pPr>
              <w:ind w:left="180"/>
              <w:spacing w:after="0"/>
              <w:rPr>
                <w:sz w:val="20"/>
                <w:szCs w:val="20"/>
                <w:color w:val="auto"/>
              </w:rPr>
            </w:pPr>
            <w:r>
              <w:rPr>
                <w:rFonts w:ascii="Arial" w:cs="Arial" w:eastAsia="Arial" w:hAnsi="Arial"/>
                <w:sz w:val="18"/>
                <w:szCs w:val="18"/>
                <w:color w:val="auto"/>
              </w:rPr>
              <w:t>Electronic Participation in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65.</w:t>
            </w:r>
          </w:p>
        </w:tc>
        <w:tc>
          <w:tcPr>
            <w:tcW w:w="8820" w:type="dxa"/>
            <w:vAlign w:val="bottom"/>
          </w:tcPr>
          <w:p>
            <w:pPr>
              <w:ind w:left="180"/>
              <w:spacing w:after="0"/>
              <w:rPr>
                <w:sz w:val="20"/>
                <w:szCs w:val="20"/>
                <w:color w:val="auto"/>
              </w:rPr>
            </w:pPr>
            <w:r>
              <w:rPr>
                <w:rFonts w:ascii="Arial" w:cs="Arial" w:eastAsia="Arial" w:hAnsi="Arial"/>
                <w:sz w:val="18"/>
                <w:szCs w:val="18"/>
                <w:color w:val="auto"/>
              </w:rPr>
              <w:t>Quorum at Board Meetings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66.</w:t>
            </w:r>
          </w:p>
        </w:tc>
        <w:tc>
          <w:tcPr>
            <w:tcW w:w="8820" w:type="dxa"/>
            <w:vAlign w:val="bottom"/>
          </w:tcPr>
          <w:p>
            <w:pPr>
              <w:ind w:left="180"/>
              <w:spacing w:after="0"/>
              <w:rPr>
                <w:sz w:val="20"/>
                <w:szCs w:val="20"/>
                <w:color w:val="auto"/>
              </w:rPr>
            </w:pPr>
            <w:r>
              <w:rPr>
                <w:rFonts w:ascii="Arial" w:cs="Arial" w:eastAsia="Arial" w:hAnsi="Arial"/>
                <w:sz w:val="18"/>
                <w:szCs w:val="18"/>
                <w:color w:val="auto"/>
              </w:rPr>
              <w:t>Board to Continue in Event of Vacancy</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67.</w:t>
            </w:r>
          </w:p>
        </w:tc>
        <w:tc>
          <w:tcPr>
            <w:tcW w:w="8820" w:type="dxa"/>
            <w:vAlign w:val="bottom"/>
          </w:tcPr>
          <w:p>
            <w:pPr>
              <w:ind w:left="180"/>
              <w:spacing w:after="0"/>
              <w:rPr>
                <w:sz w:val="20"/>
                <w:szCs w:val="20"/>
                <w:color w:val="auto"/>
              </w:rPr>
            </w:pPr>
            <w:r>
              <w:rPr>
                <w:rFonts w:ascii="Arial" w:cs="Arial" w:eastAsia="Arial" w:hAnsi="Arial"/>
                <w:sz w:val="18"/>
                <w:szCs w:val="18"/>
                <w:color w:val="auto"/>
              </w:rPr>
              <w:t>Chairman to Preside</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68.</w:t>
            </w:r>
          </w:p>
        </w:tc>
        <w:tc>
          <w:tcPr>
            <w:tcW w:w="8820" w:type="dxa"/>
            <w:vAlign w:val="bottom"/>
          </w:tcPr>
          <w:p>
            <w:pPr>
              <w:ind w:left="180"/>
              <w:spacing w:after="0"/>
              <w:rPr>
                <w:sz w:val="20"/>
                <w:szCs w:val="20"/>
                <w:color w:val="auto"/>
              </w:rPr>
            </w:pPr>
            <w:r>
              <w:rPr>
                <w:rFonts w:ascii="Arial" w:cs="Arial" w:eastAsia="Arial" w:hAnsi="Arial"/>
                <w:sz w:val="18"/>
                <w:szCs w:val="18"/>
                <w:color w:val="auto"/>
              </w:rPr>
              <w:t>Written Resolutions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69.</w:t>
            </w:r>
          </w:p>
        </w:tc>
        <w:tc>
          <w:tcPr>
            <w:tcW w:w="8820" w:type="dxa"/>
            <w:vAlign w:val="bottom"/>
          </w:tcPr>
          <w:p>
            <w:pPr>
              <w:ind w:left="180"/>
              <w:spacing w:after="0"/>
              <w:rPr>
                <w:sz w:val="20"/>
                <w:szCs w:val="20"/>
                <w:color w:val="auto"/>
              </w:rPr>
            </w:pPr>
            <w:r>
              <w:rPr>
                <w:rFonts w:ascii="Arial" w:cs="Arial" w:eastAsia="Arial" w:hAnsi="Arial"/>
                <w:sz w:val="18"/>
                <w:szCs w:val="18"/>
                <w:color w:val="auto"/>
              </w:rPr>
              <w:t>Validity of Prior Acts of the Board</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Corporate Records</w:t>
            </w:r>
          </w:p>
        </w:tc>
        <w:tc>
          <w:tcPr>
            <w:tcW w:w="2220" w:type="dxa"/>
            <w:vAlign w:val="bottom"/>
          </w:tcPr>
          <w:p>
            <w:pPr>
              <w:spacing w:after="0"/>
              <w:rPr>
                <w:sz w:val="24"/>
                <w:szCs w:val="24"/>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70.</w:t>
            </w:r>
          </w:p>
        </w:tc>
        <w:tc>
          <w:tcPr>
            <w:tcW w:w="8820" w:type="dxa"/>
            <w:vAlign w:val="bottom"/>
          </w:tcPr>
          <w:p>
            <w:pPr>
              <w:ind w:left="180"/>
              <w:spacing w:after="0"/>
              <w:rPr>
                <w:sz w:val="20"/>
                <w:szCs w:val="20"/>
                <w:color w:val="auto"/>
              </w:rPr>
            </w:pPr>
            <w:r>
              <w:rPr>
                <w:rFonts w:ascii="Arial" w:cs="Arial" w:eastAsia="Arial" w:hAnsi="Arial"/>
                <w:sz w:val="18"/>
                <w:szCs w:val="18"/>
                <w:color w:val="auto"/>
              </w:rPr>
              <w:t>Minutes</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71.</w:t>
            </w:r>
          </w:p>
        </w:tc>
        <w:tc>
          <w:tcPr>
            <w:tcW w:w="8820" w:type="dxa"/>
            <w:vAlign w:val="bottom"/>
          </w:tcPr>
          <w:p>
            <w:pPr>
              <w:ind w:left="180"/>
              <w:spacing w:after="0"/>
              <w:rPr>
                <w:sz w:val="20"/>
                <w:szCs w:val="20"/>
                <w:color w:val="auto"/>
              </w:rPr>
            </w:pPr>
            <w:r>
              <w:rPr>
                <w:rFonts w:ascii="Arial" w:cs="Arial" w:eastAsia="Arial" w:hAnsi="Arial"/>
                <w:sz w:val="18"/>
                <w:szCs w:val="18"/>
                <w:color w:val="auto"/>
              </w:rPr>
              <w:t>Place Where Corporate Records Kept</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72.</w:t>
            </w:r>
          </w:p>
        </w:tc>
        <w:tc>
          <w:tcPr>
            <w:tcW w:w="8820" w:type="dxa"/>
            <w:vAlign w:val="bottom"/>
          </w:tcPr>
          <w:p>
            <w:pPr>
              <w:ind w:left="180"/>
              <w:spacing w:after="0"/>
              <w:rPr>
                <w:sz w:val="20"/>
                <w:szCs w:val="20"/>
                <w:color w:val="auto"/>
              </w:rPr>
            </w:pPr>
            <w:r>
              <w:rPr>
                <w:rFonts w:ascii="Arial" w:cs="Arial" w:eastAsia="Arial" w:hAnsi="Arial"/>
                <w:sz w:val="18"/>
                <w:szCs w:val="18"/>
                <w:color w:val="auto"/>
              </w:rPr>
              <w:t>Form and Use of Seal</w:t>
            </w:r>
          </w:p>
        </w:tc>
        <w:tc>
          <w:tcPr>
            <w:tcW w:w="2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b w:val="1"/>
                <w:bCs w:val="1"/>
                <w:color w:val="auto"/>
                <w:w w:val="85"/>
              </w:rPr>
              <w:t>Accounts</w:t>
            </w:r>
          </w:p>
        </w:tc>
        <w:tc>
          <w:tcPr>
            <w:tcW w:w="2220" w:type="dxa"/>
            <w:vAlign w:val="bottom"/>
          </w:tcPr>
          <w:p>
            <w:pPr>
              <w:spacing w:after="0"/>
              <w:rPr>
                <w:sz w:val="24"/>
                <w:szCs w:val="24"/>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73.</w:t>
            </w:r>
          </w:p>
        </w:tc>
        <w:tc>
          <w:tcPr>
            <w:tcW w:w="8820" w:type="dxa"/>
            <w:vAlign w:val="bottom"/>
          </w:tcPr>
          <w:p>
            <w:pPr>
              <w:ind w:left="180"/>
              <w:spacing w:after="0"/>
              <w:rPr>
                <w:sz w:val="20"/>
                <w:szCs w:val="20"/>
                <w:color w:val="auto"/>
              </w:rPr>
            </w:pPr>
            <w:r>
              <w:rPr>
                <w:rFonts w:ascii="Arial" w:cs="Arial" w:eastAsia="Arial" w:hAnsi="Arial"/>
                <w:sz w:val="18"/>
                <w:szCs w:val="18"/>
                <w:color w:val="auto"/>
              </w:rPr>
              <w:t>Books of Account</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74.</w:t>
            </w:r>
          </w:p>
        </w:tc>
        <w:tc>
          <w:tcPr>
            <w:tcW w:w="8820" w:type="dxa"/>
            <w:vAlign w:val="bottom"/>
          </w:tcPr>
          <w:p>
            <w:pPr>
              <w:ind w:left="180"/>
              <w:spacing w:after="0"/>
              <w:rPr>
                <w:sz w:val="20"/>
                <w:szCs w:val="20"/>
                <w:color w:val="auto"/>
              </w:rPr>
            </w:pPr>
            <w:r>
              <w:rPr>
                <w:rFonts w:ascii="Arial" w:cs="Arial" w:eastAsia="Arial" w:hAnsi="Arial"/>
                <w:sz w:val="18"/>
                <w:szCs w:val="18"/>
                <w:color w:val="auto"/>
              </w:rPr>
              <w:t>Financial Year End</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b w:val="1"/>
                <w:bCs w:val="1"/>
                <w:color w:val="auto"/>
                <w:w w:val="89"/>
              </w:rPr>
              <w:t>Audits</w:t>
            </w:r>
          </w:p>
        </w:tc>
        <w:tc>
          <w:tcPr>
            <w:tcW w:w="2220" w:type="dxa"/>
            <w:vAlign w:val="bottom"/>
          </w:tcPr>
          <w:p>
            <w:pPr>
              <w:spacing w:after="0"/>
              <w:rPr>
                <w:sz w:val="24"/>
                <w:szCs w:val="24"/>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75.</w:t>
            </w:r>
          </w:p>
        </w:tc>
        <w:tc>
          <w:tcPr>
            <w:tcW w:w="8820" w:type="dxa"/>
            <w:vAlign w:val="bottom"/>
          </w:tcPr>
          <w:p>
            <w:pPr>
              <w:ind w:left="180"/>
              <w:spacing w:after="0"/>
              <w:rPr>
                <w:sz w:val="20"/>
                <w:szCs w:val="20"/>
                <w:color w:val="auto"/>
              </w:rPr>
            </w:pPr>
            <w:r>
              <w:rPr>
                <w:rFonts w:ascii="Arial" w:cs="Arial" w:eastAsia="Arial" w:hAnsi="Arial"/>
                <w:sz w:val="18"/>
                <w:szCs w:val="18"/>
                <w:color w:val="auto"/>
              </w:rPr>
              <w:t>Annual Audit</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76.</w:t>
            </w:r>
          </w:p>
        </w:tc>
        <w:tc>
          <w:tcPr>
            <w:tcW w:w="8820" w:type="dxa"/>
            <w:vAlign w:val="bottom"/>
          </w:tcPr>
          <w:p>
            <w:pPr>
              <w:ind w:left="180"/>
              <w:spacing w:after="0"/>
              <w:rPr>
                <w:sz w:val="20"/>
                <w:szCs w:val="20"/>
                <w:color w:val="auto"/>
              </w:rPr>
            </w:pPr>
            <w:r>
              <w:rPr>
                <w:rFonts w:ascii="Arial" w:cs="Arial" w:eastAsia="Arial" w:hAnsi="Arial"/>
                <w:sz w:val="18"/>
                <w:szCs w:val="18"/>
                <w:color w:val="auto"/>
              </w:rPr>
              <w:t>Appointment of Auditor</w:t>
            </w:r>
          </w:p>
        </w:tc>
        <w:tc>
          <w:tcPr>
            <w:tcW w:w="2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77.</w:t>
            </w:r>
          </w:p>
        </w:tc>
        <w:tc>
          <w:tcPr>
            <w:tcW w:w="8820" w:type="dxa"/>
            <w:vAlign w:val="bottom"/>
          </w:tcPr>
          <w:p>
            <w:pPr>
              <w:ind w:left="180"/>
              <w:spacing w:after="0"/>
              <w:rPr>
                <w:sz w:val="20"/>
                <w:szCs w:val="20"/>
                <w:color w:val="auto"/>
              </w:rPr>
            </w:pPr>
            <w:r>
              <w:rPr>
                <w:rFonts w:ascii="Arial" w:cs="Arial" w:eastAsia="Arial" w:hAnsi="Arial"/>
                <w:sz w:val="18"/>
                <w:szCs w:val="18"/>
                <w:color w:val="auto"/>
              </w:rPr>
              <w:t>Remuneration of Auditor</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78.</w:t>
            </w:r>
          </w:p>
        </w:tc>
        <w:tc>
          <w:tcPr>
            <w:tcW w:w="8820" w:type="dxa"/>
            <w:vAlign w:val="bottom"/>
          </w:tcPr>
          <w:p>
            <w:pPr>
              <w:ind w:left="180"/>
              <w:spacing w:after="0"/>
              <w:rPr>
                <w:sz w:val="20"/>
                <w:szCs w:val="20"/>
                <w:color w:val="auto"/>
              </w:rPr>
            </w:pPr>
            <w:r>
              <w:rPr>
                <w:rFonts w:ascii="Arial" w:cs="Arial" w:eastAsia="Arial" w:hAnsi="Arial"/>
                <w:sz w:val="18"/>
                <w:szCs w:val="18"/>
                <w:color w:val="auto"/>
              </w:rPr>
              <w:t>Duties of Auditor</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79.</w:t>
            </w:r>
          </w:p>
        </w:tc>
        <w:tc>
          <w:tcPr>
            <w:tcW w:w="8820" w:type="dxa"/>
            <w:vAlign w:val="bottom"/>
          </w:tcPr>
          <w:p>
            <w:pPr>
              <w:ind w:left="180"/>
              <w:spacing w:after="0"/>
              <w:rPr>
                <w:sz w:val="20"/>
                <w:szCs w:val="20"/>
                <w:color w:val="auto"/>
              </w:rPr>
            </w:pPr>
            <w:r>
              <w:rPr>
                <w:rFonts w:ascii="Arial" w:cs="Arial" w:eastAsia="Arial" w:hAnsi="Arial"/>
                <w:sz w:val="18"/>
                <w:szCs w:val="18"/>
                <w:color w:val="auto"/>
              </w:rPr>
              <w:t>Access to Records</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80.</w:t>
            </w:r>
          </w:p>
        </w:tc>
        <w:tc>
          <w:tcPr>
            <w:tcW w:w="882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81.</w:t>
            </w:r>
          </w:p>
        </w:tc>
        <w:tc>
          <w:tcPr>
            <w:tcW w:w="8820" w:type="dxa"/>
            <w:vAlign w:val="bottom"/>
          </w:tcPr>
          <w:p>
            <w:pPr>
              <w:ind w:left="180"/>
              <w:spacing w:after="0"/>
              <w:rPr>
                <w:sz w:val="20"/>
                <w:szCs w:val="20"/>
                <w:color w:val="auto"/>
              </w:rPr>
            </w:pPr>
            <w:r>
              <w:rPr>
                <w:rFonts w:ascii="Arial" w:cs="Arial" w:eastAsia="Arial" w:hAnsi="Arial"/>
                <w:sz w:val="18"/>
                <w:szCs w:val="18"/>
                <w:color w:val="auto"/>
              </w:rPr>
              <w:t>Distribution of Auditor’s Report</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82.</w:t>
            </w:r>
          </w:p>
        </w:tc>
        <w:tc>
          <w:tcPr>
            <w:tcW w:w="8820" w:type="dxa"/>
            <w:vAlign w:val="bottom"/>
          </w:tcPr>
          <w:p>
            <w:pPr>
              <w:ind w:left="180"/>
              <w:spacing w:after="0"/>
              <w:rPr>
                <w:sz w:val="20"/>
                <w:szCs w:val="20"/>
                <w:color w:val="auto"/>
              </w:rPr>
            </w:pPr>
            <w:r>
              <w:rPr>
                <w:rFonts w:ascii="Arial" w:cs="Arial" w:eastAsia="Arial" w:hAnsi="Arial"/>
                <w:sz w:val="18"/>
                <w:szCs w:val="18"/>
                <w:color w:val="auto"/>
              </w:rPr>
              <w:t>Vacancy in the Office of Auditor</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b w:val="1"/>
                <w:bCs w:val="1"/>
                <w:color w:val="auto"/>
                <w:w w:val="86"/>
              </w:rPr>
              <w:t>Business Combinations</w:t>
            </w:r>
          </w:p>
        </w:tc>
        <w:tc>
          <w:tcPr>
            <w:tcW w:w="2220" w:type="dxa"/>
            <w:vAlign w:val="bottom"/>
          </w:tcPr>
          <w:p>
            <w:pPr>
              <w:spacing w:after="0"/>
              <w:rPr>
                <w:sz w:val="24"/>
                <w:szCs w:val="24"/>
                <w:color w:val="auto"/>
              </w:rPr>
            </w:pP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83.</w:t>
            </w:r>
          </w:p>
        </w:tc>
        <w:tc>
          <w:tcPr>
            <w:tcW w:w="8820" w:type="dxa"/>
            <w:vAlign w:val="bottom"/>
          </w:tcPr>
          <w:p>
            <w:pPr>
              <w:ind w:left="180"/>
              <w:spacing w:after="0"/>
              <w:rPr>
                <w:sz w:val="20"/>
                <w:szCs w:val="20"/>
                <w:color w:val="auto"/>
              </w:rPr>
            </w:pPr>
            <w:r>
              <w:rPr>
                <w:rFonts w:ascii="Arial" w:cs="Arial" w:eastAsia="Arial" w:hAnsi="Arial"/>
                <w:sz w:val="18"/>
                <w:szCs w:val="18"/>
                <w:color w:val="auto"/>
              </w:rPr>
              <w:t>Business Combinations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b w:val="1"/>
                <w:bCs w:val="1"/>
                <w:color w:val="auto"/>
                <w:w w:val="91"/>
              </w:rPr>
              <w:t>Voluntary Winding-Up and Dissolution</w:t>
            </w:r>
          </w:p>
        </w:tc>
        <w:tc>
          <w:tcPr>
            <w:tcW w:w="2220" w:type="dxa"/>
            <w:vAlign w:val="bottom"/>
          </w:tcPr>
          <w:p>
            <w:pPr>
              <w:spacing w:after="0"/>
              <w:rPr>
                <w:sz w:val="24"/>
                <w:szCs w:val="24"/>
                <w:color w:val="auto"/>
              </w:rPr>
            </w:pP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84.</w:t>
            </w:r>
          </w:p>
        </w:tc>
        <w:tc>
          <w:tcPr>
            <w:tcW w:w="8820" w:type="dxa"/>
            <w:vAlign w:val="bottom"/>
          </w:tcPr>
          <w:p>
            <w:pPr>
              <w:ind w:left="180"/>
              <w:spacing w:after="0"/>
              <w:rPr>
                <w:sz w:val="20"/>
                <w:szCs w:val="20"/>
                <w:color w:val="auto"/>
              </w:rPr>
            </w:pPr>
            <w:r>
              <w:rPr>
                <w:rFonts w:ascii="Arial" w:cs="Arial" w:eastAsia="Arial" w:hAnsi="Arial"/>
                <w:sz w:val="18"/>
                <w:szCs w:val="18"/>
                <w:color w:val="auto"/>
              </w:rPr>
              <w:t>Winding-Up</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Changes to Constitution</w:t>
            </w:r>
          </w:p>
        </w:tc>
        <w:tc>
          <w:tcPr>
            <w:tcW w:w="2220" w:type="dxa"/>
            <w:vAlign w:val="bottom"/>
          </w:tcPr>
          <w:p>
            <w:pPr>
              <w:spacing w:after="0"/>
              <w:rPr>
                <w:sz w:val="24"/>
                <w:szCs w:val="24"/>
                <w:color w:val="auto"/>
              </w:rPr>
            </w:pP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85.</w:t>
            </w:r>
          </w:p>
        </w:tc>
        <w:tc>
          <w:tcPr>
            <w:tcW w:w="8820" w:type="dxa"/>
            <w:vAlign w:val="bottom"/>
          </w:tcPr>
          <w:p>
            <w:pPr>
              <w:ind w:left="180"/>
              <w:spacing w:after="0"/>
              <w:rPr>
                <w:sz w:val="20"/>
                <w:szCs w:val="20"/>
                <w:color w:val="auto"/>
              </w:rPr>
            </w:pPr>
            <w:r>
              <w:rPr>
                <w:rFonts w:ascii="Arial" w:cs="Arial" w:eastAsia="Arial" w:hAnsi="Arial"/>
                <w:sz w:val="18"/>
                <w:szCs w:val="18"/>
                <w:color w:val="auto"/>
              </w:rPr>
              <w:t>Changes to Bye-laws</w:t>
            </w:r>
          </w:p>
        </w:tc>
        <w:tc>
          <w:tcPr>
            <w:tcW w:w="2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86.</w:t>
            </w:r>
          </w:p>
        </w:tc>
        <w:tc>
          <w:tcPr>
            <w:tcW w:w="8820" w:type="dxa"/>
            <w:vAlign w:val="bottom"/>
          </w:tcPr>
          <w:p>
            <w:pPr>
              <w:ind w:left="180"/>
              <w:spacing w:after="0"/>
              <w:rPr>
                <w:sz w:val="20"/>
                <w:szCs w:val="20"/>
                <w:color w:val="auto"/>
              </w:rPr>
            </w:pPr>
            <w:r>
              <w:rPr>
                <w:rFonts w:ascii="Arial" w:cs="Arial" w:eastAsia="Arial" w:hAnsi="Arial"/>
                <w:sz w:val="18"/>
                <w:szCs w:val="18"/>
                <w:color w:val="auto"/>
              </w:rPr>
              <w:t>Changes to the Memorandum of Association</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87.</w:t>
            </w:r>
          </w:p>
        </w:tc>
        <w:tc>
          <w:tcPr>
            <w:tcW w:w="8820" w:type="dxa"/>
            <w:vAlign w:val="bottom"/>
          </w:tcPr>
          <w:p>
            <w:pPr>
              <w:ind w:left="180"/>
              <w:spacing w:after="0"/>
              <w:rPr>
                <w:sz w:val="20"/>
                <w:szCs w:val="20"/>
                <w:color w:val="auto"/>
              </w:rPr>
            </w:pPr>
            <w:r>
              <w:rPr>
                <w:rFonts w:ascii="Arial" w:cs="Arial" w:eastAsia="Arial" w:hAnsi="Arial"/>
                <w:sz w:val="18"/>
                <w:szCs w:val="18"/>
                <w:color w:val="auto"/>
              </w:rPr>
              <w:t>Discontinuance</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88.</w:t>
            </w:r>
          </w:p>
        </w:tc>
        <w:tc>
          <w:tcPr>
            <w:tcW w:w="8820" w:type="dxa"/>
            <w:vAlign w:val="bottom"/>
          </w:tcPr>
          <w:p>
            <w:pPr>
              <w:ind w:left="180"/>
              <w:spacing w:after="0"/>
              <w:rPr>
                <w:sz w:val="20"/>
                <w:szCs w:val="20"/>
                <w:color w:val="auto"/>
              </w:rPr>
            </w:pPr>
            <w:r>
              <w:rPr>
                <w:rFonts w:ascii="Arial" w:cs="Arial" w:eastAsia="Arial" w:hAnsi="Arial"/>
                <w:sz w:val="18"/>
                <w:szCs w:val="18"/>
                <w:color w:val="auto"/>
              </w:rPr>
              <w:t>Amalgamation</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420" w:type="dxa"/>
            <w:vAlign w:val="bottom"/>
          </w:tcPr>
          <w:p>
            <w:pPr>
              <w:spacing w:after="0"/>
              <w:rPr>
                <w:sz w:val="24"/>
                <w:szCs w:val="24"/>
                <w:color w:val="auto"/>
              </w:rPr>
            </w:pPr>
          </w:p>
        </w:tc>
        <w:tc>
          <w:tcPr>
            <w:tcW w:w="8820" w:type="dxa"/>
            <w:vAlign w:val="bottom"/>
          </w:tcPr>
          <w:p>
            <w:pPr>
              <w:jc w:val="center"/>
              <w:ind w:left="1670"/>
              <w:spacing w:after="0"/>
              <w:rPr>
                <w:sz w:val="20"/>
                <w:szCs w:val="20"/>
                <w:color w:val="auto"/>
              </w:rPr>
            </w:pPr>
            <w:r>
              <w:rPr>
                <w:rFonts w:ascii="Arial" w:cs="Arial" w:eastAsia="Arial" w:hAnsi="Arial"/>
                <w:sz w:val="18"/>
                <w:szCs w:val="18"/>
                <w:color w:val="auto"/>
                <w:w w:val="99"/>
              </w:rPr>
              <w:t>2</w:t>
            </w:r>
          </w:p>
        </w:tc>
        <w:tc>
          <w:tcPr>
            <w:tcW w:w="2220" w:type="dxa"/>
            <w:vAlign w:val="bottom"/>
          </w:tcPr>
          <w:p>
            <w:pPr>
              <w:spacing w:after="0"/>
              <w:rPr>
                <w:sz w:val="24"/>
                <w:szCs w:val="24"/>
                <w:color w:val="auto"/>
              </w:rPr>
            </w:pPr>
          </w:p>
        </w:tc>
      </w:tr>
      <w:tr>
        <w:trPr>
          <w:trHeight w:val="132"/>
        </w:trPr>
        <w:tc>
          <w:tcPr>
            <w:tcW w:w="420" w:type="dxa"/>
            <w:vAlign w:val="bottom"/>
            <w:tcBorders>
              <w:bottom w:val="single" w:sz="8" w:color="010101"/>
            </w:tcBorders>
          </w:tcPr>
          <w:p>
            <w:pPr>
              <w:spacing w:after="0"/>
              <w:rPr>
                <w:sz w:val="11"/>
                <w:szCs w:val="11"/>
                <w:color w:val="auto"/>
              </w:rPr>
            </w:pPr>
          </w:p>
        </w:tc>
        <w:tc>
          <w:tcPr>
            <w:tcW w:w="88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22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rFonts w:ascii="Arial" w:cs="Arial" w:eastAsia="Arial" w:hAnsi="Arial"/>
          <w:sz w:val="18"/>
          <w:szCs w:val="18"/>
          <w:b w:val="1"/>
          <w:bCs w:val="1"/>
          <w:color w:val="auto"/>
        </w:rPr>
      </w:pPr>
    </w:p>
    <w:p>
      <w:pPr>
        <w:ind w:left="1300" w:right="620" w:hanging="648"/>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8"/>
          <w:szCs w:val="18"/>
          <w:color w:val="auto"/>
        </w:rPr>
        <w:t>In these Bye-laws, the following words and expressions shall, where not inconsistent with the context, have the following meanings, respectively:</w:t>
      </w:r>
    </w:p>
    <w:p>
      <w:pPr>
        <w:sectPr>
          <w:pgSz w:w="11900" w:h="16838" w:orient="portrait"/>
          <w:cols w:equalWidth="0" w:num="1">
            <w:col w:w="11460"/>
          </w:cols>
          <w:pgMar w:left="240" w:top="125" w:right="199" w:bottom="0" w:gutter="0" w:footer="0" w:header="0"/>
        </w:sectPr>
      </w:pP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Companies Act 1981 as amended from time to time;</w:t>
      </w:r>
    </w:p>
    <w:p>
      <w:pPr>
        <w:spacing w:after="0" w:line="211" w:lineRule="exact"/>
        <w:rPr>
          <w:sz w:val="20"/>
          <w:szCs w:val="20"/>
          <w:color w:val="auto"/>
        </w:rPr>
      </w:pPr>
    </w:p>
    <w:p>
      <w:pPr>
        <w:sectPr>
          <w:pgSz w:w="11900" w:h="16838" w:orient="portrait"/>
          <w:cols w:equalWidth="0" w:num="2">
            <w:col w:w="4640" w:space="720"/>
            <w:col w:w="6100"/>
          </w:cols>
          <w:pgMar w:left="240" w:top="125" w:right="199" w:bottom="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Alternate Director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 alternate director appointed in accordance with these Bye-laws;</w:t>
      </w:r>
    </w:p>
    <w:p>
      <w:pPr>
        <w:spacing w:after="0" w:line="200" w:lineRule="exact"/>
        <w:rPr>
          <w:sz w:val="20"/>
          <w:szCs w:val="20"/>
          <w:color w:val="auto"/>
        </w:rPr>
      </w:pPr>
    </w:p>
    <w:p>
      <w:pPr>
        <w:sectPr>
          <w:pgSz w:w="11900" w:h="16838" w:orient="portrait"/>
          <w:cols w:equalWidth="0" w:num="2">
            <w:col w:w="4640" w:space="720"/>
            <w:col w:w="6100"/>
          </w:cols>
          <w:pgMar w:left="240" w:top="125" w:right="199" w:bottom="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Attribution Percentage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 respect to a Member, the percentage of the Member’s shares that are treated as Controlled Shares of a Tentative 9.5% U.S. Member;</w:t>
      </w:r>
    </w:p>
    <w:p>
      <w:pPr>
        <w:spacing w:after="0" w:line="170" w:lineRule="exact"/>
        <w:rPr>
          <w:sz w:val="20"/>
          <w:szCs w:val="20"/>
          <w:color w:val="auto"/>
        </w:rPr>
      </w:pPr>
    </w:p>
    <w:p>
      <w:pPr>
        <w:sectPr>
          <w:pgSz w:w="11900" w:h="16838" w:orient="portrait"/>
          <w:cols w:equalWidth="0" w:num="2">
            <w:col w:w="4640" w:space="720"/>
            <w:col w:w="6100"/>
          </w:cols>
          <w:pgMar w:left="240" w:top="125" w:right="199" w:bottom="0" w:gutter="0" w:footer="0" w:header="0"/>
          <w:type w:val="continuous"/>
        </w:sectPr>
      </w:pPr>
    </w:p>
    <w:p>
      <w:pPr>
        <w:ind w:left="1300"/>
        <w:spacing w:after="0"/>
        <w:rPr>
          <w:sz w:val="20"/>
          <w:szCs w:val="20"/>
          <w:color w:val="auto"/>
        </w:rPr>
      </w:pPr>
      <w:r>
        <w:rPr>
          <w:rFonts w:ascii="Arial" w:cs="Arial" w:eastAsia="Arial" w:hAnsi="Arial"/>
          <w:sz w:val="17"/>
          <w:szCs w:val="17"/>
          <w:color w:val="auto"/>
        </w:rPr>
        <w:t>Auditor</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6"/>
          <w:szCs w:val="16"/>
          <w:color w:val="auto"/>
        </w:rPr>
        <w:t>includes an individual or partnership;</w:t>
      </w:r>
    </w:p>
    <w:p>
      <w:pPr>
        <w:spacing w:after="0" w:line="211" w:lineRule="exact"/>
        <w:rPr>
          <w:sz w:val="20"/>
          <w:szCs w:val="20"/>
          <w:color w:val="auto"/>
        </w:rPr>
      </w:pPr>
    </w:p>
    <w:p>
      <w:pPr>
        <w:sectPr>
          <w:pgSz w:w="11900" w:h="16838" w:orient="portrait"/>
          <w:cols w:equalWidth="0" w:num="2">
            <w:col w:w="4640" w:space="720"/>
            <w:col w:w="6100"/>
          </w:cols>
          <w:pgMar w:left="240" w:top="125" w:right="199" w:bottom="0" w:gutter="0" w:footer="0" w:header="0"/>
          <w:type w:val="continuous"/>
        </w:sectPr>
      </w:pPr>
    </w:p>
    <w:p>
      <w:pPr>
        <w:spacing w:after="0" w:line="253"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by resolution in accordance with the Act and these Bye-laws or the directors</w:t>
      </w:r>
    </w:p>
    <w:p>
      <w:pPr>
        <w:sectPr>
          <w:pgSz w:w="11900" w:h="16838" w:orient="portrait"/>
          <w:cols w:equalWidth="0" w:num="1">
            <w:col w:w="11460"/>
          </w:cols>
          <w:pgMar w:left="240" w:top="125" w:right="199" w:bottom="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present at a meeting of directors at which there is a quorum;</w:t>
            </w:r>
          </w:p>
        </w:tc>
      </w:tr>
      <w:tr>
        <w:trPr>
          <w:trHeight w:val="432"/>
        </w:trPr>
        <w:tc>
          <w:tcPr>
            <w:tcW w:w="4560" w:type="dxa"/>
            <w:vAlign w:val="bottom"/>
          </w:tcPr>
          <w:p>
            <w:pPr>
              <w:ind w:left="1300"/>
              <w:spacing w:after="0"/>
              <w:rPr>
                <w:sz w:val="20"/>
                <w:szCs w:val="20"/>
                <w:color w:val="auto"/>
              </w:rPr>
            </w:pPr>
            <w:r>
              <w:rPr>
                <w:rFonts w:ascii="Arial" w:cs="Arial" w:eastAsia="Arial" w:hAnsi="Arial"/>
                <w:sz w:val="18"/>
                <w:szCs w:val="18"/>
                <w:color w:val="auto"/>
              </w:rPr>
              <w:t>Code</w:t>
            </w:r>
          </w:p>
        </w:tc>
        <w:tc>
          <w:tcPr>
            <w:tcW w:w="6900" w:type="dxa"/>
            <w:vAlign w:val="bottom"/>
          </w:tcPr>
          <w:p>
            <w:pPr>
              <w:ind w:left="800"/>
              <w:spacing w:after="0"/>
              <w:rPr>
                <w:sz w:val="20"/>
                <w:szCs w:val="20"/>
                <w:color w:val="auto"/>
              </w:rPr>
            </w:pPr>
            <w:r>
              <w:rPr>
                <w:rFonts w:ascii="Arial" w:cs="Arial" w:eastAsia="Arial" w:hAnsi="Arial"/>
                <w:sz w:val="18"/>
                <w:szCs w:val="18"/>
                <w:color w:val="auto"/>
              </w:rPr>
              <w:t>the United States Internal Revenue Code of 1986, as amended;</w:t>
            </w:r>
          </w:p>
        </w:tc>
      </w:tr>
      <w:tr>
        <w:trPr>
          <w:trHeight w:val="432"/>
        </w:trPr>
        <w:tc>
          <w:tcPr>
            <w:tcW w:w="4560" w:type="dxa"/>
            <w:vAlign w:val="bottom"/>
          </w:tcPr>
          <w:p>
            <w:pPr>
              <w:ind w:left="1300"/>
              <w:spacing w:after="0"/>
              <w:rPr>
                <w:sz w:val="20"/>
                <w:szCs w:val="20"/>
                <w:color w:val="auto"/>
              </w:rPr>
            </w:pPr>
            <w:r>
              <w:rPr>
                <w:rFonts w:ascii="Arial" w:cs="Arial" w:eastAsia="Arial" w:hAnsi="Arial"/>
                <w:sz w:val="18"/>
                <w:szCs w:val="18"/>
                <w:color w:val="auto"/>
              </w:rPr>
              <w:t>Company</w:t>
            </w:r>
          </w:p>
        </w:tc>
        <w:tc>
          <w:tcPr>
            <w:tcW w:w="6900" w:type="dxa"/>
            <w:vAlign w:val="bottom"/>
          </w:tcPr>
          <w:p>
            <w:pPr>
              <w:ind w:left="800"/>
              <w:spacing w:after="0"/>
              <w:rPr>
                <w:sz w:val="20"/>
                <w:szCs w:val="20"/>
                <w:color w:val="auto"/>
              </w:rPr>
            </w:pPr>
            <w:r>
              <w:rPr>
                <w:rFonts w:ascii="Arial" w:cs="Arial" w:eastAsia="Arial" w:hAnsi="Arial"/>
                <w:sz w:val="18"/>
                <w:szCs w:val="18"/>
                <w:color w:val="auto"/>
              </w:rPr>
              <w:t>the company for which these Bye-laws are approved and confirmed;</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Controlled Shares</w:t>
            </w:r>
          </w:p>
        </w:tc>
        <w:tc>
          <w:tcPr>
            <w:tcW w:w="6900" w:type="dxa"/>
            <w:vAlign w:val="bottom"/>
          </w:tcPr>
          <w:p>
            <w:pPr>
              <w:ind w:left="800"/>
              <w:spacing w:after="0"/>
              <w:rPr>
                <w:sz w:val="20"/>
                <w:szCs w:val="20"/>
                <w:color w:val="auto"/>
              </w:rPr>
            </w:pPr>
            <w:r>
              <w:rPr>
                <w:rFonts w:ascii="Arial" w:cs="Arial" w:eastAsia="Arial" w:hAnsi="Arial"/>
                <w:sz w:val="18"/>
                <w:szCs w:val="18"/>
                <w:color w:val="auto"/>
                <w:w w:val="94"/>
              </w:rPr>
              <w:t>all shares of the Company directly, indirectly or constructively owned by a person</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7"/>
              </w:rPr>
              <w:t>as determined pursuant to sections 957 and 958 of the Code and the Treasury</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Regulations promulgated thereunder;</w:t>
            </w:r>
          </w:p>
        </w:tc>
      </w:tr>
      <w:tr>
        <w:trPr>
          <w:trHeight w:val="432"/>
        </w:trPr>
        <w:tc>
          <w:tcPr>
            <w:tcW w:w="4560" w:type="dxa"/>
            <w:vAlign w:val="bottom"/>
          </w:tcPr>
          <w:p>
            <w:pPr>
              <w:spacing w:after="0"/>
              <w:rPr>
                <w:sz w:val="24"/>
                <w:szCs w:val="24"/>
                <w:color w:val="auto"/>
              </w:rPr>
            </w:pPr>
          </w:p>
        </w:tc>
        <w:tc>
          <w:tcPr>
            <w:tcW w:w="6900" w:type="dxa"/>
            <w:vAlign w:val="bottom"/>
          </w:tcPr>
          <w:p>
            <w:pPr>
              <w:ind w:left="1100"/>
              <w:spacing w:after="0"/>
              <w:rPr>
                <w:sz w:val="20"/>
                <w:szCs w:val="20"/>
                <w:color w:val="auto"/>
              </w:rPr>
            </w:pPr>
            <w:r>
              <w:rPr>
                <w:rFonts w:ascii="Arial" w:cs="Arial" w:eastAsia="Arial" w:hAnsi="Arial"/>
                <w:sz w:val="18"/>
                <w:szCs w:val="18"/>
                <w:color w:val="auto"/>
              </w:rPr>
              <w:t>1</w:t>
            </w:r>
          </w:p>
        </w:tc>
      </w:tr>
      <w:tr>
        <w:trPr>
          <w:trHeight w:val="132"/>
        </w:trPr>
        <w:tc>
          <w:tcPr>
            <w:tcW w:w="4560" w:type="dxa"/>
            <w:vAlign w:val="bottom"/>
            <w:tcBorders>
              <w:bottom w:val="single" w:sz="8" w:color="010101"/>
            </w:tcBorders>
          </w:tcPr>
          <w:p>
            <w:pPr>
              <w:spacing w:after="0"/>
              <w:rPr>
                <w:sz w:val="11"/>
                <w:szCs w:val="11"/>
                <w:color w:val="auto"/>
              </w:rPr>
            </w:pPr>
          </w:p>
        </w:tc>
        <w:tc>
          <w:tcPr>
            <w:tcW w:w="6900" w:type="dxa"/>
            <w:vAlign w:val="bottom"/>
            <w:tcBorders>
              <w:bottom w:val="single" w:sz="8" w:color="010101"/>
            </w:tcBorders>
          </w:tcPr>
          <w:p>
            <w:pPr>
              <w:spacing w:after="0"/>
              <w:rPr>
                <w:sz w:val="11"/>
                <w:szCs w:val="11"/>
                <w:color w:val="auto"/>
              </w:rPr>
            </w:pPr>
          </w:p>
        </w:tc>
      </w:tr>
      <w:tr>
        <w:trPr>
          <w:trHeight w:val="780"/>
        </w:trPr>
        <w:tc>
          <w:tcPr>
            <w:tcW w:w="4560" w:type="dxa"/>
            <w:vAlign w:val="bottom"/>
          </w:tcPr>
          <w:p>
            <w:pPr>
              <w:ind w:left="1300"/>
              <w:spacing w:after="0"/>
              <w:rPr>
                <w:sz w:val="20"/>
                <w:szCs w:val="20"/>
                <w:color w:val="auto"/>
              </w:rPr>
            </w:pPr>
            <w:r>
              <w:rPr>
                <w:rFonts w:ascii="Arial" w:cs="Arial" w:eastAsia="Arial" w:hAnsi="Arial"/>
                <w:sz w:val="18"/>
                <w:szCs w:val="18"/>
                <w:color w:val="auto"/>
              </w:rPr>
              <w:t>Director</w:t>
            </w:r>
          </w:p>
        </w:tc>
        <w:tc>
          <w:tcPr>
            <w:tcW w:w="6900" w:type="dxa"/>
            <w:vAlign w:val="bottom"/>
          </w:tcPr>
          <w:p>
            <w:pPr>
              <w:ind w:left="800"/>
              <w:spacing w:after="0"/>
              <w:rPr>
                <w:sz w:val="20"/>
                <w:szCs w:val="20"/>
                <w:color w:val="auto"/>
              </w:rPr>
            </w:pPr>
            <w:r>
              <w:rPr>
                <w:rFonts w:ascii="Arial" w:cs="Arial" w:eastAsia="Arial" w:hAnsi="Arial"/>
                <w:sz w:val="18"/>
                <w:szCs w:val="18"/>
                <w:color w:val="auto"/>
              </w:rPr>
              <w:t>a director of the Company and shall include an Alternate Director;</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indirect</w:t>
            </w:r>
          </w:p>
        </w:tc>
        <w:tc>
          <w:tcPr>
            <w:tcW w:w="6900" w:type="dxa"/>
            <w:vAlign w:val="bottom"/>
          </w:tcPr>
          <w:p>
            <w:pPr>
              <w:ind w:left="800"/>
              <w:spacing w:after="0"/>
              <w:rPr>
                <w:sz w:val="20"/>
                <w:szCs w:val="20"/>
                <w:color w:val="auto"/>
              </w:rPr>
            </w:pPr>
            <w:r>
              <w:rPr>
                <w:rFonts w:ascii="Arial" w:cs="Arial" w:eastAsia="Arial" w:hAnsi="Arial"/>
                <w:sz w:val="18"/>
                <w:szCs w:val="18"/>
                <w:color w:val="auto"/>
                <w:w w:val="99"/>
              </w:rPr>
              <w:t>when referring to a holder or owner of shares, ownership of shares within the</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meaning of section 958(a)(2) of the Code;</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Member</w:t>
            </w:r>
          </w:p>
        </w:tc>
        <w:tc>
          <w:tcPr>
            <w:tcW w:w="6900" w:type="dxa"/>
            <w:vAlign w:val="bottom"/>
          </w:tcPr>
          <w:p>
            <w:pPr>
              <w:ind w:left="800"/>
              <w:spacing w:after="0"/>
              <w:rPr>
                <w:sz w:val="20"/>
                <w:szCs w:val="20"/>
                <w:color w:val="auto"/>
              </w:rPr>
            </w:pPr>
            <w:r>
              <w:rPr>
                <w:rFonts w:ascii="Arial" w:cs="Arial" w:eastAsia="Arial" w:hAnsi="Arial"/>
                <w:sz w:val="18"/>
                <w:szCs w:val="18"/>
                <w:color w:val="auto"/>
                <w:w w:val="96"/>
              </w:rPr>
              <w:t>the person registered in the Register of Members as the holder of shares in the</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8"/>
              </w:rPr>
              <w:t>Company and, when two or more persons are so registered as joint holders of</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3"/>
              </w:rPr>
              <w:t>shares, means the person whose name stands first in the Register of Members as</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one of such joint holders or all of such persons, as the context so requires;</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9.5% U.S. Member</w:t>
            </w:r>
          </w:p>
        </w:tc>
        <w:tc>
          <w:tcPr>
            <w:tcW w:w="6900" w:type="dxa"/>
            <w:vAlign w:val="bottom"/>
          </w:tcPr>
          <w:p>
            <w:pPr>
              <w:ind w:left="800"/>
              <w:spacing w:after="0"/>
              <w:rPr>
                <w:sz w:val="20"/>
                <w:szCs w:val="20"/>
                <w:color w:val="auto"/>
              </w:rPr>
            </w:pPr>
            <w:r>
              <w:rPr>
                <w:rFonts w:ascii="Arial" w:cs="Arial" w:eastAsia="Arial" w:hAnsi="Arial"/>
                <w:sz w:val="18"/>
                <w:szCs w:val="18"/>
                <w:color w:val="auto"/>
                <w:w w:val="91"/>
              </w:rPr>
              <w:t>a U.S. Person whose Controlled Shares constitute nine and one-half percent (9.5%)</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1"/>
              </w:rPr>
              <w:t>or more of the voting power of all issued shares of the Company and who generally</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2"/>
              </w:rPr>
              <w:t>would be required to recognize income with respect to the Company under section</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7"/>
              </w:rPr>
              <w:t>951(a)(1) of the Code, if the Company were a controlled foreign corporation as</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6"/>
              </w:rPr>
              <w:t>defined in section 957 of the Code and if the ownership threshold under section</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951(b) of the Code were nine and one-half percent (9.5%);</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notice</w:t>
            </w:r>
          </w:p>
        </w:tc>
        <w:tc>
          <w:tcPr>
            <w:tcW w:w="6900" w:type="dxa"/>
            <w:vAlign w:val="bottom"/>
          </w:tcPr>
          <w:p>
            <w:pPr>
              <w:ind w:left="800"/>
              <w:spacing w:after="0"/>
              <w:rPr>
                <w:sz w:val="20"/>
                <w:szCs w:val="20"/>
                <w:color w:val="auto"/>
              </w:rPr>
            </w:pPr>
            <w:r>
              <w:rPr>
                <w:rFonts w:ascii="Arial" w:cs="Arial" w:eastAsia="Arial" w:hAnsi="Arial"/>
                <w:sz w:val="18"/>
                <w:szCs w:val="18"/>
                <w:color w:val="auto"/>
                <w:w w:val="95"/>
              </w:rPr>
              <w:t>written notice as further provided in these Bye-laws unless otherwise specifically</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stated;</w:t>
            </w:r>
          </w:p>
        </w:tc>
      </w:tr>
      <w:tr>
        <w:trPr>
          <w:trHeight w:val="432"/>
        </w:trPr>
        <w:tc>
          <w:tcPr>
            <w:tcW w:w="4560" w:type="dxa"/>
            <w:vAlign w:val="bottom"/>
          </w:tcPr>
          <w:p>
            <w:pPr>
              <w:ind w:left="1300"/>
              <w:spacing w:after="0"/>
              <w:rPr>
                <w:sz w:val="20"/>
                <w:szCs w:val="20"/>
                <w:color w:val="auto"/>
              </w:rPr>
            </w:pPr>
            <w:r>
              <w:rPr>
                <w:rFonts w:ascii="Arial" w:cs="Arial" w:eastAsia="Arial" w:hAnsi="Arial"/>
                <w:sz w:val="18"/>
                <w:szCs w:val="18"/>
                <w:color w:val="auto"/>
              </w:rPr>
              <w:t>Officer</w:t>
            </w:r>
          </w:p>
        </w:tc>
        <w:tc>
          <w:tcPr>
            <w:tcW w:w="6900" w:type="dxa"/>
            <w:vAlign w:val="bottom"/>
          </w:tcPr>
          <w:p>
            <w:pPr>
              <w:ind w:left="800"/>
              <w:spacing w:after="0"/>
              <w:rPr>
                <w:sz w:val="20"/>
                <w:szCs w:val="20"/>
                <w:color w:val="auto"/>
              </w:rPr>
            </w:pPr>
            <w:r>
              <w:rPr>
                <w:rFonts w:ascii="Arial" w:cs="Arial" w:eastAsia="Arial" w:hAnsi="Arial"/>
                <w:sz w:val="18"/>
                <w:szCs w:val="18"/>
                <w:color w:val="auto"/>
              </w:rPr>
              <w:t>any person appointed by the Board to hold an office in the Company;</w:t>
            </w:r>
          </w:p>
        </w:tc>
      </w:tr>
      <w:tr>
        <w:trPr>
          <w:trHeight w:val="432"/>
        </w:trPr>
        <w:tc>
          <w:tcPr>
            <w:tcW w:w="4560" w:type="dxa"/>
            <w:vAlign w:val="bottom"/>
          </w:tcPr>
          <w:p>
            <w:pPr>
              <w:spacing w:after="0"/>
              <w:rPr>
                <w:sz w:val="24"/>
                <w:szCs w:val="24"/>
                <w:color w:val="auto"/>
              </w:rPr>
            </w:pPr>
          </w:p>
        </w:tc>
        <w:tc>
          <w:tcPr>
            <w:tcW w:w="6900" w:type="dxa"/>
            <w:vAlign w:val="bottom"/>
          </w:tcPr>
          <w:p>
            <w:pPr>
              <w:ind w:left="1100"/>
              <w:spacing w:after="0"/>
              <w:rPr>
                <w:sz w:val="20"/>
                <w:szCs w:val="20"/>
                <w:color w:val="auto"/>
              </w:rPr>
            </w:pPr>
            <w:r>
              <w:rPr>
                <w:rFonts w:ascii="Arial" w:cs="Arial" w:eastAsia="Arial" w:hAnsi="Arial"/>
                <w:sz w:val="18"/>
                <w:szCs w:val="18"/>
                <w:color w:val="auto"/>
              </w:rPr>
              <w:t>2</w:t>
            </w:r>
          </w:p>
        </w:tc>
      </w:tr>
      <w:tr>
        <w:trPr>
          <w:trHeight w:val="132"/>
        </w:trPr>
        <w:tc>
          <w:tcPr>
            <w:tcW w:w="4560" w:type="dxa"/>
            <w:vAlign w:val="bottom"/>
            <w:tcBorders>
              <w:bottom w:val="single" w:sz="8" w:color="010101"/>
            </w:tcBorders>
          </w:tcPr>
          <w:p>
            <w:pPr>
              <w:spacing w:after="0"/>
              <w:rPr>
                <w:sz w:val="11"/>
                <w:szCs w:val="11"/>
                <w:color w:val="auto"/>
              </w:rPr>
            </w:pPr>
          </w:p>
        </w:tc>
        <w:tc>
          <w:tcPr>
            <w:tcW w:w="6900" w:type="dxa"/>
            <w:vAlign w:val="bottom"/>
            <w:tcBorders>
              <w:bottom w:val="single" w:sz="8" w:color="010101"/>
            </w:tcBorders>
          </w:tcPr>
          <w:p>
            <w:pPr>
              <w:spacing w:after="0"/>
              <w:rPr>
                <w:sz w:val="11"/>
                <w:szCs w:val="11"/>
                <w:color w:val="auto"/>
              </w:rPr>
            </w:pPr>
          </w:p>
        </w:tc>
      </w:tr>
      <w:tr>
        <w:trPr>
          <w:trHeight w:val="780"/>
        </w:trPr>
        <w:tc>
          <w:tcPr>
            <w:tcW w:w="4560" w:type="dxa"/>
            <w:vAlign w:val="bottom"/>
          </w:tcPr>
          <w:p>
            <w:pPr>
              <w:ind w:left="1300"/>
              <w:spacing w:after="0"/>
              <w:rPr>
                <w:sz w:val="20"/>
                <w:szCs w:val="20"/>
                <w:color w:val="auto"/>
              </w:rPr>
            </w:pPr>
            <w:r>
              <w:rPr>
                <w:rFonts w:ascii="Arial" w:cs="Arial" w:eastAsia="Arial" w:hAnsi="Arial"/>
                <w:sz w:val="18"/>
                <w:szCs w:val="18"/>
                <w:color w:val="auto"/>
              </w:rPr>
              <w:t>Register of Directors and Officers</w:t>
            </w:r>
          </w:p>
        </w:tc>
        <w:tc>
          <w:tcPr>
            <w:tcW w:w="6900" w:type="dxa"/>
            <w:vAlign w:val="bottom"/>
          </w:tcPr>
          <w:p>
            <w:pPr>
              <w:ind w:left="800"/>
              <w:spacing w:after="0"/>
              <w:rPr>
                <w:sz w:val="20"/>
                <w:szCs w:val="20"/>
                <w:color w:val="auto"/>
              </w:rPr>
            </w:pPr>
            <w:r>
              <w:rPr>
                <w:rFonts w:ascii="Arial" w:cs="Arial" w:eastAsia="Arial" w:hAnsi="Arial"/>
                <w:sz w:val="18"/>
                <w:szCs w:val="18"/>
                <w:color w:val="auto"/>
              </w:rPr>
              <w:t>the register of directors and officers referred to in these Bye-laws;</w:t>
            </w:r>
          </w:p>
        </w:tc>
      </w:tr>
      <w:tr>
        <w:trPr>
          <w:trHeight w:val="432"/>
        </w:trPr>
        <w:tc>
          <w:tcPr>
            <w:tcW w:w="4560" w:type="dxa"/>
            <w:vAlign w:val="bottom"/>
          </w:tcPr>
          <w:p>
            <w:pPr>
              <w:ind w:left="1300"/>
              <w:spacing w:after="0"/>
              <w:rPr>
                <w:sz w:val="20"/>
                <w:szCs w:val="20"/>
                <w:color w:val="auto"/>
              </w:rPr>
            </w:pPr>
            <w:r>
              <w:rPr>
                <w:rFonts w:ascii="Arial" w:cs="Arial" w:eastAsia="Arial" w:hAnsi="Arial"/>
                <w:sz w:val="18"/>
                <w:szCs w:val="18"/>
                <w:color w:val="auto"/>
              </w:rPr>
              <w:t>Register of Members</w:t>
            </w:r>
          </w:p>
        </w:tc>
        <w:tc>
          <w:tcPr>
            <w:tcW w:w="6900" w:type="dxa"/>
            <w:vAlign w:val="bottom"/>
          </w:tcPr>
          <w:p>
            <w:pPr>
              <w:ind w:left="800"/>
              <w:spacing w:after="0"/>
              <w:rPr>
                <w:sz w:val="20"/>
                <w:szCs w:val="20"/>
                <w:color w:val="auto"/>
              </w:rPr>
            </w:pPr>
            <w:r>
              <w:rPr>
                <w:rFonts w:ascii="Arial" w:cs="Arial" w:eastAsia="Arial" w:hAnsi="Arial"/>
                <w:sz w:val="18"/>
                <w:szCs w:val="18"/>
                <w:color w:val="auto"/>
              </w:rPr>
              <w:t>the register of members referred to in these Bye-laws;</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Resident Representative</w:t>
            </w:r>
          </w:p>
        </w:tc>
        <w:tc>
          <w:tcPr>
            <w:tcW w:w="6900" w:type="dxa"/>
            <w:vAlign w:val="bottom"/>
          </w:tcPr>
          <w:p>
            <w:pPr>
              <w:ind w:left="800"/>
              <w:spacing w:after="0"/>
              <w:rPr>
                <w:sz w:val="20"/>
                <w:szCs w:val="20"/>
                <w:color w:val="auto"/>
              </w:rPr>
            </w:pPr>
            <w:r>
              <w:rPr>
                <w:rFonts w:ascii="Arial" w:cs="Arial" w:eastAsia="Arial" w:hAnsi="Arial"/>
                <w:sz w:val="18"/>
                <w:szCs w:val="18"/>
                <w:color w:val="auto"/>
                <w:w w:val="92"/>
              </w:rPr>
              <w:t>any person appointed to act as resident representative and includes any deputy or</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assistant resident representative;</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Secretary</w:t>
            </w:r>
          </w:p>
        </w:tc>
        <w:tc>
          <w:tcPr>
            <w:tcW w:w="6900" w:type="dxa"/>
            <w:vAlign w:val="bottom"/>
          </w:tcPr>
          <w:p>
            <w:pPr>
              <w:ind w:left="800"/>
              <w:spacing w:after="0"/>
              <w:rPr>
                <w:sz w:val="20"/>
                <w:szCs w:val="20"/>
                <w:color w:val="auto"/>
              </w:rPr>
            </w:pPr>
            <w:r>
              <w:rPr>
                <w:rFonts w:ascii="Arial" w:cs="Arial" w:eastAsia="Arial" w:hAnsi="Arial"/>
                <w:sz w:val="18"/>
                <w:szCs w:val="18"/>
                <w:color w:val="auto"/>
              </w:rPr>
              <w:t>the person appointed to perform any or all of the duties of secretary of the</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1"/>
              </w:rPr>
              <w:t>Company and includes any deputy or assistant secretary and any person appointed</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by the Board to perform any of the duties of the Secretary;</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Shareholders Agreement</w:t>
            </w:r>
          </w:p>
        </w:tc>
        <w:tc>
          <w:tcPr>
            <w:tcW w:w="6900" w:type="dxa"/>
            <w:vAlign w:val="bottom"/>
          </w:tcPr>
          <w:p>
            <w:pPr>
              <w:ind w:left="800"/>
              <w:spacing w:after="0"/>
              <w:rPr>
                <w:sz w:val="20"/>
                <w:szCs w:val="20"/>
                <w:color w:val="auto"/>
              </w:rPr>
            </w:pPr>
            <w:r>
              <w:rPr>
                <w:rFonts w:ascii="Arial" w:cs="Arial" w:eastAsia="Arial" w:hAnsi="Arial"/>
                <w:sz w:val="18"/>
                <w:szCs w:val="18"/>
                <w:color w:val="auto"/>
              </w:rPr>
              <w:t>that certain shareholders agreement, dated as of November 5, 2013, among</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affiliates of Pine Brook Road Partners and the Company;</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Tentative 9.5% U.S. Member</w:t>
            </w:r>
          </w:p>
        </w:tc>
        <w:tc>
          <w:tcPr>
            <w:tcW w:w="6900" w:type="dxa"/>
            <w:vAlign w:val="bottom"/>
          </w:tcPr>
          <w:p>
            <w:pPr>
              <w:ind w:left="800"/>
              <w:spacing w:after="0"/>
              <w:rPr>
                <w:sz w:val="20"/>
                <w:szCs w:val="20"/>
                <w:color w:val="auto"/>
              </w:rPr>
            </w:pPr>
            <w:r>
              <w:rPr>
                <w:rFonts w:ascii="Arial" w:cs="Arial" w:eastAsia="Arial" w:hAnsi="Arial"/>
                <w:sz w:val="18"/>
                <w:szCs w:val="18"/>
                <w:color w:val="auto"/>
                <w:w w:val="97"/>
              </w:rPr>
              <w:t>a U.S. Person that, but for adjustments or restrictions on exercise of the voting</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power of shares pursuant to Bye-law 33, would be a 9.5% U.S. Member;</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Treasury Share</w:t>
            </w:r>
          </w:p>
        </w:tc>
        <w:tc>
          <w:tcPr>
            <w:tcW w:w="6900" w:type="dxa"/>
            <w:vAlign w:val="bottom"/>
          </w:tcPr>
          <w:p>
            <w:pPr>
              <w:ind w:left="800"/>
              <w:spacing w:after="0"/>
              <w:rPr>
                <w:sz w:val="20"/>
                <w:szCs w:val="20"/>
                <w:color w:val="auto"/>
              </w:rPr>
            </w:pPr>
            <w:r>
              <w:rPr>
                <w:rFonts w:ascii="Arial" w:cs="Arial" w:eastAsia="Arial" w:hAnsi="Arial"/>
                <w:sz w:val="18"/>
                <w:szCs w:val="18"/>
                <w:color w:val="auto"/>
                <w:w w:val="91"/>
              </w:rPr>
              <w:t>a share of the Company that was or is treated as having been acquired and held by</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7"/>
              </w:rPr>
              <w:t>the Company and has been held continuously by the Company since it was so</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acquired and has not been cancelled; and</w:t>
            </w:r>
          </w:p>
        </w:tc>
      </w:tr>
      <w:tr>
        <w:trPr>
          <w:trHeight w:val="418"/>
        </w:trPr>
        <w:tc>
          <w:tcPr>
            <w:tcW w:w="4560" w:type="dxa"/>
            <w:vAlign w:val="bottom"/>
          </w:tcPr>
          <w:p>
            <w:pPr>
              <w:ind w:left="1300"/>
              <w:spacing w:after="0"/>
              <w:rPr>
                <w:sz w:val="20"/>
                <w:szCs w:val="20"/>
                <w:color w:val="auto"/>
              </w:rPr>
            </w:pPr>
            <w:r>
              <w:rPr>
                <w:rFonts w:ascii="Arial" w:cs="Arial" w:eastAsia="Arial" w:hAnsi="Arial"/>
                <w:sz w:val="18"/>
                <w:szCs w:val="18"/>
                <w:color w:val="auto"/>
              </w:rPr>
              <w:t>U.S. Person</w:t>
            </w:r>
          </w:p>
        </w:tc>
        <w:tc>
          <w:tcPr>
            <w:tcW w:w="6900" w:type="dxa"/>
            <w:vAlign w:val="bottom"/>
          </w:tcPr>
          <w:p>
            <w:pPr>
              <w:ind w:left="800"/>
              <w:spacing w:after="0"/>
              <w:rPr>
                <w:sz w:val="20"/>
                <w:szCs w:val="20"/>
                <w:color w:val="auto"/>
              </w:rPr>
            </w:pPr>
            <w:r>
              <w:rPr>
                <w:rFonts w:ascii="Arial" w:cs="Arial" w:eastAsia="Arial" w:hAnsi="Arial"/>
                <w:sz w:val="18"/>
                <w:szCs w:val="18"/>
                <w:color w:val="auto"/>
                <w:w w:val="94"/>
              </w:rPr>
              <w:t>(i) an individual who is a citizen or resident of the United States, (ii) a corporation</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or partnership that is, as to the United States, a domestic corporation</w:t>
            </w:r>
          </w:p>
        </w:tc>
      </w:tr>
      <w:tr>
        <w:trPr>
          <w:trHeight w:val="432"/>
        </w:trPr>
        <w:tc>
          <w:tcPr>
            <w:tcW w:w="4560" w:type="dxa"/>
            <w:vAlign w:val="bottom"/>
          </w:tcPr>
          <w:p>
            <w:pPr>
              <w:spacing w:after="0"/>
              <w:rPr>
                <w:sz w:val="24"/>
                <w:szCs w:val="24"/>
                <w:color w:val="auto"/>
              </w:rPr>
            </w:pPr>
          </w:p>
        </w:tc>
        <w:tc>
          <w:tcPr>
            <w:tcW w:w="6900" w:type="dxa"/>
            <w:vAlign w:val="bottom"/>
          </w:tcPr>
          <w:p>
            <w:pPr>
              <w:ind w:left="1100"/>
              <w:spacing w:after="0"/>
              <w:rPr>
                <w:sz w:val="20"/>
                <w:szCs w:val="20"/>
                <w:color w:val="auto"/>
              </w:rPr>
            </w:pPr>
            <w:r>
              <w:rPr>
                <w:rFonts w:ascii="Arial" w:cs="Arial" w:eastAsia="Arial" w:hAnsi="Arial"/>
                <w:sz w:val="18"/>
                <w:szCs w:val="18"/>
                <w:color w:val="auto"/>
              </w:rPr>
              <w:t>3</w:t>
            </w:r>
          </w:p>
        </w:tc>
      </w:tr>
      <w:tr>
        <w:trPr>
          <w:trHeight w:val="132"/>
        </w:trPr>
        <w:tc>
          <w:tcPr>
            <w:tcW w:w="4560" w:type="dxa"/>
            <w:vAlign w:val="bottom"/>
            <w:tcBorders>
              <w:bottom w:val="single" w:sz="8" w:color="010101"/>
            </w:tcBorders>
          </w:tcPr>
          <w:p>
            <w:pPr>
              <w:spacing w:after="0"/>
              <w:rPr>
                <w:sz w:val="11"/>
                <w:szCs w:val="11"/>
                <w:color w:val="auto"/>
              </w:rPr>
            </w:pPr>
          </w:p>
        </w:tc>
        <w:tc>
          <w:tcPr>
            <w:tcW w:w="6900" w:type="dxa"/>
            <w:vAlign w:val="bottom"/>
            <w:tcBorders>
              <w:bottom w:val="single" w:sz="8" w:color="010101"/>
            </w:tcBorders>
          </w:tcPr>
          <w:p>
            <w:pPr>
              <w:spacing w:after="0"/>
              <w:rPr>
                <w:sz w:val="11"/>
                <w:szCs w:val="11"/>
                <w:color w:val="auto"/>
              </w:rPr>
            </w:pPr>
          </w:p>
        </w:tc>
      </w:tr>
      <w:tr>
        <w:trPr>
          <w:trHeight w:val="766"/>
        </w:trPr>
        <w:tc>
          <w:tcPr>
            <w:tcW w:w="4560" w:type="dxa"/>
            <w:vAlign w:val="bottom"/>
          </w:tcPr>
          <w:p>
            <w:pPr>
              <w:spacing w:after="0"/>
              <w:rPr>
                <w:sz w:val="24"/>
                <w:szCs w:val="24"/>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3"/>
              </w:rPr>
              <w:t>or partnership, (iii) an estate that is subject to United States federal income tax on</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3"/>
              </w:rPr>
              <w:t>its income, regardless of its source, (iv) a “U.S. Trust”; a U.S. Trust is any trust (A)</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rPr>
              <w:t>if and only if (i) a court within the United States is able to exercise primary</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4"/>
              </w:rPr>
              <w:t>supervision over the administration of the trust, and (ii) one or more U.S. trustees</w:t>
            </w:r>
          </w:p>
        </w:tc>
      </w:tr>
      <w:tr>
        <w:trPr>
          <w:trHeight w:val="216"/>
        </w:trPr>
        <w:tc>
          <w:tcPr>
            <w:tcW w:w="4560" w:type="dxa"/>
            <w:vAlign w:val="bottom"/>
          </w:tcPr>
          <w:p>
            <w:pPr>
              <w:spacing w:after="0"/>
              <w:rPr>
                <w:sz w:val="18"/>
                <w:szCs w:val="18"/>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7"/>
              </w:rPr>
              <w:t>have the authority to control all substantial decisions of the trust or (B) that has</w:t>
            </w:r>
          </w:p>
        </w:tc>
      </w:tr>
      <w:tr>
        <w:trPr>
          <w:trHeight w:val="230"/>
        </w:trPr>
        <w:tc>
          <w:tcPr>
            <w:tcW w:w="4560" w:type="dxa"/>
            <w:vAlign w:val="bottom"/>
          </w:tcPr>
          <w:p>
            <w:pPr>
              <w:spacing w:after="0"/>
              <w:rPr>
                <w:sz w:val="20"/>
                <w:szCs w:val="20"/>
                <w:color w:val="auto"/>
              </w:rPr>
            </w:pPr>
          </w:p>
        </w:tc>
        <w:tc>
          <w:tcPr>
            <w:tcW w:w="6900" w:type="dxa"/>
            <w:vAlign w:val="bottom"/>
          </w:tcPr>
          <w:p>
            <w:pPr>
              <w:ind w:left="800"/>
              <w:spacing w:after="0"/>
              <w:rPr>
                <w:sz w:val="20"/>
                <w:szCs w:val="20"/>
                <w:color w:val="auto"/>
              </w:rPr>
            </w:pPr>
            <w:r>
              <w:rPr>
                <w:rFonts w:ascii="Arial" w:cs="Arial" w:eastAsia="Arial" w:hAnsi="Arial"/>
                <w:sz w:val="18"/>
                <w:szCs w:val="18"/>
                <w:color w:val="auto"/>
                <w:w w:val="95"/>
              </w:rPr>
              <w:t>otherwise validly elected to be treated as a domestic trust under applicable 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-8705850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-8705850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-5095240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-5095240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2" w:name="page163"/>
    <w:bookmarkEnd w:id="162"/>
    <w:p>
      <w:pPr>
        <w:spacing w:after="0" w:line="110" w:lineRule="exact"/>
        <w:rPr>
          <w:sz w:val="20"/>
          <w:szCs w:val="20"/>
          <w:color w:val="auto"/>
        </w:rPr>
      </w:pPr>
    </w:p>
    <w:p>
      <w:pPr>
        <w:ind w:left="5352"/>
        <w:spacing w:after="0"/>
        <w:rPr>
          <w:sz w:val="20"/>
          <w:szCs w:val="20"/>
          <w:color w:val="auto"/>
        </w:rPr>
      </w:pPr>
      <w:r>
        <w:rPr>
          <w:rFonts w:ascii="Arial" w:cs="Arial" w:eastAsia="Arial" w:hAnsi="Arial"/>
          <w:sz w:val="18"/>
          <w:szCs w:val="18"/>
          <w:color w:val="auto"/>
        </w:rPr>
        <w:t>Treasury regulations; or (v) any person or entity that is treated as one of the</w:t>
      </w:r>
    </w:p>
    <w:p>
      <w:pPr>
        <w:spacing w:after="0" w:line="23" w:lineRule="exact"/>
        <w:rPr>
          <w:sz w:val="20"/>
          <w:szCs w:val="20"/>
          <w:color w:val="auto"/>
        </w:rPr>
      </w:pPr>
    </w:p>
    <w:p>
      <w:pPr>
        <w:ind w:left="5352"/>
        <w:spacing w:after="0"/>
        <w:rPr>
          <w:sz w:val="20"/>
          <w:szCs w:val="20"/>
          <w:color w:val="auto"/>
        </w:rPr>
      </w:pPr>
      <w:r>
        <w:rPr>
          <w:rFonts w:ascii="Arial" w:cs="Arial" w:eastAsia="Arial" w:hAnsi="Arial"/>
          <w:sz w:val="18"/>
          <w:szCs w:val="18"/>
          <w:color w:val="auto"/>
        </w:rPr>
        <w:t>foregoing for U.S. federal income tax purposes.</w:t>
      </w:r>
    </w:p>
    <w:p>
      <w:pPr>
        <w:spacing w:after="0" w:line="20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these Bye-laws, where not inconsistent with the context:</w:t>
      </w:r>
    </w:p>
    <w:p>
      <w:pPr>
        <w:spacing w:after="0" w:line="229" w:lineRule="exact"/>
        <w:rPr>
          <w:sz w:val="20"/>
          <w:szCs w:val="20"/>
          <w:color w:val="auto"/>
        </w:rPr>
      </w:pPr>
    </w:p>
    <w:p>
      <w:pPr>
        <w:ind w:left="1932" w:hanging="635"/>
        <w:spacing w:after="0"/>
        <w:tabs>
          <w:tab w:leader="none" w:pos="19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words denoting the plural number include the singular number and vice versa;</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words denoting the masculine gender include the feminine and neuter genders;</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words importing persons include companies, associations or bodies of persons whether corporate or not;</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words:</w:t>
      </w:r>
    </w:p>
    <w:p>
      <w:pPr>
        <w:spacing w:after="0" w:line="225" w:lineRule="exact"/>
        <w:rPr>
          <w:rFonts w:ascii="Arial" w:cs="Arial" w:eastAsia="Arial" w:hAnsi="Arial"/>
          <w:sz w:val="18"/>
          <w:szCs w:val="18"/>
          <w:color w:val="auto"/>
        </w:rPr>
      </w:pPr>
    </w:p>
    <w:p>
      <w:pPr>
        <w:ind w:left="2612" w:hanging="667"/>
        <w:spacing w:after="0"/>
        <w:tabs>
          <w:tab w:leader="none" w:pos="26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“may” shall be construed as permissive; and</w:t>
      </w:r>
    </w:p>
    <w:p>
      <w:pPr>
        <w:spacing w:after="0" w:line="225" w:lineRule="exact"/>
        <w:rPr>
          <w:rFonts w:ascii="Arial" w:cs="Arial" w:eastAsia="Arial" w:hAnsi="Arial"/>
          <w:sz w:val="18"/>
          <w:szCs w:val="18"/>
          <w:color w:val="auto"/>
        </w:rPr>
      </w:pPr>
    </w:p>
    <w:p>
      <w:pPr>
        <w:ind w:left="2632" w:hanging="687"/>
        <w:spacing w:after="0"/>
        <w:tabs>
          <w:tab w:leader="none" w:pos="26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“shall” shall be construed as imperative; and</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0"/>
          <w:numId w:val="65"/>
        </w:numPr>
        <w:rPr>
          <w:rFonts w:ascii="Arial" w:cs="Arial" w:eastAsia="Arial" w:hAnsi="Arial"/>
          <w:sz w:val="17"/>
          <w:szCs w:val="17"/>
          <w:color w:val="auto"/>
        </w:rPr>
      </w:pPr>
      <w:r>
        <w:rPr>
          <w:rFonts w:ascii="Arial" w:cs="Arial" w:eastAsia="Arial" w:hAnsi="Arial"/>
          <w:sz w:val="17"/>
          <w:szCs w:val="17"/>
          <w:color w:val="auto"/>
        </w:rPr>
        <w:t>unless otherwise provided herein, words or expressions defined in the Act shall bear the same meaning in these Bye-laws.</w:t>
      </w:r>
    </w:p>
    <w:p>
      <w:pPr>
        <w:spacing w:after="0" w:line="233" w:lineRule="exact"/>
        <w:rPr>
          <w:sz w:val="20"/>
          <w:szCs w:val="20"/>
          <w:color w:val="auto"/>
        </w:rPr>
      </w:pPr>
    </w:p>
    <w:p>
      <w:pPr>
        <w:ind w:left="1292" w:right="30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In these Bye-laws expressions referring to writing or its cognates shall, unless the contrary intention appears, include facsimile, printing, lithography, photography, electronic mail and other modes of representing words in visible form.</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Headings used in these Bye-laws are for convenience only and are not to be used or relied upon in the construction hereof.</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left="652" w:hanging="652"/>
        <w:spacing w:after="0"/>
        <w:tabs>
          <w:tab w:leader="none" w:pos="6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Power to Issue Shares</w:t>
      </w:r>
    </w:p>
    <w:p>
      <w:pPr>
        <w:spacing w:after="0" w:line="225" w:lineRule="exact"/>
        <w:rPr>
          <w:rFonts w:ascii="Arial" w:cs="Arial" w:eastAsia="Arial" w:hAnsi="Arial"/>
          <w:sz w:val="18"/>
          <w:szCs w:val="18"/>
          <w:b w:val="1"/>
          <w:bCs w:val="1"/>
          <w:color w:val="auto"/>
        </w:rPr>
      </w:pPr>
    </w:p>
    <w:p>
      <w:pPr>
        <w:ind w:left="1292" w:right="40" w:hanging="648"/>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8"/>
          <w:szCs w:val="18"/>
          <w:color w:val="auto"/>
        </w:rPr>
        <w:t>Subject to these Bye-laws and to any resolution of the Members to the contrary, and without prejudice to any special rights previously conferred on the holders of any existing shares or class of shares, the Board shall have the power to issue any unissued shares on such terms and conditions as it may determine.</w:t>
      </w:r>
    </w:p>
    <w:p>
      <w:pPr>
        <w:spacing w:after="0" w:line="181" w:lineRule="exact"/>
        <w:rPr>
          <w:rFonts w:ascii="Arial" w:cs="Arial" w:eastAsia="Arial" w:hAnsi="Arial"/>
          <w:sz w:val="18"/>
          <w:szCs w:val="18"/>
          <w:b w:val="1"/>
          <w:bCs w:val="1"/>
          <w:color w:val="auto"/>
        </w:rPr>
      </w:pPr>
    </w:p>
    <w:p>
      <w:pPr>
        <w:ind w:left="1292" w:right="20" w:hanging="648"/>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2.2</w:t>
      </w:r>
      <w:r>
        <w:rPr>
          <w:rFonts w:ascii="Arial" w:cs="Arial" w:eastAsia="Arial" w:hAnsi="Arial"/>
          <w:sz w:val="18"/>
          <w:szCs w:val="18"/>
          <w:color w:val="auto"/>
        </w:rPr>
        <w:t>Subject to the Act, any preference shares may be issued or converted into shares that (at a determinable date or at the option of the Company or the holder) are liable to be redeemed on such terms and in such manner as may be determined by the Board (before the issue or conversion).</w:t>
      </w:r>
    </w:p>
    <w:p>
      <w:pPr>
        <w:spacing w:after="0" w:line="181" w:lineRule="exact"/>
        <w:rPr>
          <w:rFonts w:ascii="Arial" w:cs="Arial" w:eastAsia="Arial" w:hAnsi="Arial"/>
          <w:sz w:val="18"/>
          <w:szCs w:val="18"/>
          <w:b w:val="1"/>
          <w:bCs w:val="1"/>
          <w:color w:val="auto"/>
        </w:rPr>
      </w:pPr>
    </w:p>
    <w:p>
      <w:pPr>
        <w:ind w:left="1292" w:right="80" w:hanging="648"/>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2.3</w:t>
      </w:r>
      <w:r>
        <w:rPr>
          <w:rFonts w:ascii="Arial" w:cs="Arial" w:eastAsia="Arial" w:hAnsi="Arial"/>
          <w:sz w:val="18"/>
          <w:szCs w:val="18"/>
          <w:color w:val="auto"/>
        </w:rPr>
        <w:t>Notwithstanding the foregoing or any other provision of these Bye-laws, the Company may not issue any shares in a manner that the Board determines in its sole discretion may result in a non de minimis adverse tax, legal or regulatory consequence to the Company, any of its subsidiaries or any direct or indirect holder of shares or its affiliates.</w:t>
      </w:r>
    </w:p>
    <w:p>
      <w:pPr>
        <w:spacing w:after="0" w:line="181" w:lineRule="exact"/>
        <w:rPr>
          <w:rFonts w:ascii="Arial" w:cs="Arial" w:eastAsia="Arial" w:hAnsi="Arial"/>
          <w:sz w:val="18"/>
          <w:szCs w:val="18"/>
          <w:b w:val="1"/>
          <w:bCs w:val="1"/>
          <w:color w:val="auto"/>
        </w:rPr>
      </w:pPr>
    </w:p>
    <w:p>
      <w:pPr>
        <w:ind w:left="652" w:hanging="652"/>
        <w:spacing w:after="0"/>
        <w:tabs>
          <w:tab w:leader="none" w:pos="6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Power of the Company to Purchase its Shares</w:t>
      </w:r>
    </w:p>
    <w:p>
      <w:pPr>
        <w:spacing w:after="0" w:line="225"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8"/>
          <w:szCs w:val="18"/>
          <w:color w:val="auto"/>
        </w:rPr>
        <w:t>The Company may purchase its own shares for cancellation or acquire them as Treasury Shares in accordance with the Act on such terms as the Board shall think fit.</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3.2</w:t>
      </w:r>
      <w:r>
        <w:rPr>
          <w:rFonts w:ascii="Arial" w:cs="Arial" w:eastAsia="Arial" w:hAnsi="Arial"/>
          <w:sz w:val="16"/>
          <w:szCs w:val="16"/>
          <w:color w:val="auto"/>
        </w:rPr>
        <w:t>The Board may exercise all the powers of the Company to purchase or acquire all or any part of its own shares in accordance with the Act.</w:t>
      </w:r>
    </w:p>
    <w:p>
      <w:pPr>
        <w:spacing w:after="0" w:line="225" w:lineRule="exact"/>
        <w:rPr>
          <w:sz w:val="20"/>
          <w:szCs w:val="20"/>
          <w:color w:val="auto"/>
        </w:rPr>
      </w:pPr>
    </w:p>
    <w:p>
      <w:pPr>
        <w:ind w:left="1292" w:right="2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Notwithstanding the foregoing or any other provision of these Bye-laws, any such purchase or acquisition may not be made if the Board determines in its sole discretion that the purchase or acquisition may result in a non de minimis adverse tax, legal or regulatory consequence to the Company, any of its subsidiaries or any direct or indirect holder of shares or its affiliates.</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Shares</w:t>
      </w:r>
    </w:p>
    <w:p>
      <w:pPr>
        <w:spacing w:after="0" w:line="225" w:lineRule="exact"/>
        <w:rPr>
          <w:rFonts w:ascii="Arial" w:cs="Arial" w:eastAsia="Arial" w:hAnsi="Arial"/>
          <w:sz w:val="18"/>
          <w:szCs w:val="18"/>
          <w:b w:val="1"/>
          <w:bCs w:val="1"/>
          <w:color w:val="auto"/>
        </w:rPr>
      </w:pPr>
    </w:p>
    <w:p>
      <w:pPr>
        <w:ind w:left="1292" w:right="200" w:hanging="648"/>
        <w:spacing w:after="0" w:line="342" w:lineRule="auto"/>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color w:val="auto"/>
        </w:rPr>
        <w:t>Without prejudice to any special rights previously conferred on the holders of any existing shares or class of shares, the share capital shall consist of at least one class of common shares (the “Common Shares”), the holders of which shall, subject to these Bye-laws:</w:t>
      </w:r>
    </w:p>
    <w:p>
      <w:pPr>
        <w:spacing w:after="0" w:line="127" w:lineRule="exact"/>
        <w:rPr>
          <w:rFonts w:ascii="Arial" w:cs="Arial" w:eastAsia="Arial" w:hAnsi="Arial"/>
          <w:sz w:val="18"/>
          <w:szCs w:val="18"/>
          <w:b w:val="1"/>
          <w:bCs w:val="1"/>
          <w:color w:val="auto"/>
        </w:rPr>
      </w:pPr>
    </w:p>
    <w:p>
      <w:pPr>
        <w:ind w:left="1932" w:hanging="635"/>
        <w:spacing w:after="0"/>
        <w:tabs>
          <w:tab w:leader="none" w:pos="19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 entitled to one vote per share;</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 entitled to such dividends as the Board may from time to time declare;</w:t>
      </w:r>
    </w:p>
    <w:p>
      <w:pPr>
        <w:spacing w:after="0" w:line="225" w:lineRule="exact"/>
        <w:rPr>
          <w:rFonts w:ascii="Arial" w:cs="Arial" w:eastAsia="Arial" w:hAnsi="Arial"/>
          <w:sz w:val="18"/>
          <w:szCs w:val="18"/>
          <w:color w:val="auto"/>
        </w:rPr>
      </w:pPr>
    </w:p>
    <w:p>
      <w:pPr>
        <w:ind w:left="1952" w:hanging="655"/>
        <w:spacing w:after="0" w:line="277" w:lineRule="auto"/>
        <w:tabs>
          <w:tab w:leader="none" w:pos="19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the event of a winding-up or dissolution of the Company, whether voluntary or involuntary or for the purpose of a reorganisation or otherwise or upon any distribution of capital, be entitled to the surplus assets of the Company;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generally be entitled to enjoy all of the rights attaching to shares.</w:t>
      </w:r>
    </w:p>
    <w:p>
      <w:pPr>
        <w:spacing w:after="0" w:line="221" w:lineRule="exact"/>
        <w:rPr>
          <w:sz w:val="20"/>
          <w:szCs w:val="20"/>
          <w:color w:val="auto"/>
        </w:rPr>
      </w:pPr>
    </w:p>
    <w:p>
      <w:pPr>
        <w:ind w:left="1292" w:hanging="647"/>
        <w:spacing w:after="0" w:line="312" w:lineRule="auto"/>
        <w:tabs>
          <w:tab w:leader="none" w:pos="1272"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The Board is authorised to provide for the creation and issuance of preference shares (the “Preference Shares”) in one or more series, and to establish from time to time the number of shares to be included in each such series, and to fix the terms, including designation, powers, preferences, rights, qualifications, limitations and restrictions of the shares of each such series (and, for the avoidance of doubt, such matters</w:t>
      </w:r>
    </w:p>
    <w:p>
      <w:pPr>
        <w:sectPr>
          <w:pgSz w:w="11900" w:h="16949" w:orient="portrait"/>
          <w:cols w:equalWidth="0" w:num="1">
            <w:col w:w="11412"/>
          </w:cols>
          <w:pgMar w:left="248" w:top="125" w:right="239" w:bottom="0" w:gutter="0" w:footer="0" w:header="0"/>
        </w:sectPr>
      </w:pPr>
    </w:p>
    <w:bookmarkStart w:id="163" w:name="page164"/>
    <w:bookmarkEnd w:id="163"/>
    <w:p>
      <w:pPr>
        <w:jc w:val="both"/>
        <w:ind w:left="1292" w:right="40"/>
        <w:spacing w:after="0" w:line="286" w:lineRule="auto"/>
        <w:rPr>
          <w:sz w:val="20"/>
          <w:szCs w:val="20"/>
          <w:color w:val="auto"/>
        </w:rPr>
      </w:pPr>
      <w:r>
        <w:rPr>
          <w:rFonts w:ascii="Arial" w:cs="Arial" w:eastAsia="Arial" w:hAnsi="Arial"/>
          <w:sz w:val="17"/>
          <w:szCs w:val="17"/>
          <w:color w:val="auto"/>
        </w:rPr>
        <w:t>and the issuance of such Preference Shares shall not be deemed to vary the rights attached to the Common Shares or, subject to the terms of any other series of Preference Shares, to vary the rights attached to any other series of Preference Shares). The authority of the Board with respect to each series shall include, but not be limited to, determination of the following:</w:t>
      </w:r>
    </w:p>
    <w:p>
      <w:pPr>
        <w:spacing w:after="0" w:line="166" w:lineRule="exact"/>
        <w:rPr>
          <w:sz w:val="20"/>
          <w:szCs w:val="20"/>
          <w:color w:val="auto"/>
        </w:rPr>
      </w:pPr>
    </w:p>
    <w:p>
      <w:pPr>
        <w:ind w:left="1932" w:hanging="635"/>
        <w:spacing w:after="0"/>
        <w:tabs>
          <w:tab w:leader="none" w:pos="19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225" w:lineRule="exact"/>
        <w:rPr>
          <w:rFonts w:ascii="Arial" w:cs="Arial" w:eastAsia="Arial" w:hAnsi="Arial"/>
          <w:sz w:val="18"/>
          <w:szCs w:val="18"/>
          <w:color w:val="auto"/>
        </w:rPr>
      </w:pPr>
    </w:p>
    <w:p>
      <w:pPr>
        <w:ind w:left="1952" w:right="220" w:hanging="655"/>
        <w:spacing w:after="0" w:line="277" w:lineRule="auto"/>
        <w:tabs>
          <w:tab w:leader="none" w:pos="19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the payment of dividends on shares of that series;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340" w:hanging="655"/>
        <w:spacing w:after="0" w:line="277" w:lineRule="auto"/>
        <w:tabs>
          <w:tab w:leader="none" w:pos="19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170" w:lineRule="exact"/>
        <w:rPr>
          <w:rFonts w:ascii="Arial" w:cs="Arial" w:eastAsia="Arial" w:hAnsi="Arial"/>
          <w:sz w:val="18"/>
          <w:szCs w:val="18"/>
          <w:color w:val="auto"/>
        </w:rPr>
      </w:pPr>
    </w:p>
    <w:p>
      <w:pPr>
        <w:ind w:left="1952" w:right="100" w:hanging="655"/>
        <w:spacing w:after="0" w:line="264" w:lineRule="auto"/>
        <w:tabs>
          <w:tab w:leader="none" w:pos="19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that series shall have conversion or exchange privileges (including, without limitation, conversion into Common Shares), and, if so, the terms and conditions of such conversion or exchange, including provision for adjustment of the conversion or exchange rate in such events as the Board shall determine;</w:t>
      </w:r>
    </w:p>
    <w:p>
      <w:pPr>
        <w:spacing w:after="0" w:line="181" w:lineRule="exact"/>
        <w:rPr>
          <w:rFonts w:ascii="Arial" w:cs="Arial" w:eastAsia="Arial" w:hAnsi="Arial"/>
          <w:sz w:val="18"/>
          <w:szCs w:val="18"/>
          <w:color w:val="auto"/>
        </w:rPr>
      </w:pPr>
    </w:p>
    <w:p>
      <w:pPr>
        <w:ind w:left="1952" w:right="100" w:hanging="655"/>
        <w:spacing w:after="0" w:line="257" w:lineRule="auto"/>
        <w:tabs>
          <w:tab w:leader="none" w:pos="1963"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or not the shares of that series shall be redeemable or repurchaseable, and, if so, the terms and conditions of such redemption or repurchase, including the manner of selecting shares for redemption or repurchase if less than all shares are to be redeemed or repurchased, the date or dates upon or after which they shall be redeemable or repurchaseable, and the amount per share payable in case of redemption or repurchase, which amount may vary under different conditions and at different redemption or repurchase dates;</w:t>
      </w:r>
    </w:p>
    <w:p>
      <w:pPr>
        <w:spacing w:after="0" w:line="188" w:lineRule="exact"/>
        <w:rPr>
          <w:rFonts w:ascii="Arial" w:cs="Arial" w:eastAsia="Arial" w:hAnsi="Arial"/>
          <w:sz w:val="18"/>
          <w:szCs w:val="18"/>
          <w:color w:val="auto"/>
        </w:rPr>
      </w:pPr>
    </w:p>
    <w:p>
      <w:pPr>
        <w:ind w:left="1952" w:right="380" w:hanging="655"/>
        <w:spacing w:after="0" w:line="277" w:lineRule="auto"/>
        <w:tabs>
          <w:tab w:leader="none" w:pos="19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that series shall have a sinking fund for the redemption or repurchase of shares of that series, and, if so, the terms and amount of such sinking fund;</w:t>
      </w:r>
    </w:p>
    <w:p>
      <w:pPr>
        <w:spacing w:after="0" w:line="170" w:lineRule="exact"/>
        <w:rPr>
          <w:rFonts w:ascii="Arial" w:cs="Arial" w:eastAsia="Arial" w:hAnsi="Arial"/>
          <w:sz w:val="18"/>
          <w:szCs w:val="18"/>
          <w:color w:val="auto"/>
        </w:rPr>
      </w:pPr>
    </w:p>
    <w:p>
      <w:pPr>
        <w:ind w:left="1952" w:right="100" w:hanging="655"/>
        <w:spacing w:after="0" w:line="259" w:lineRule="auto"/>
        <w:tabs>
          <w:tab w:leader="none" w:pos="19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 of the shares of that series to the benefit of conditions and restrictions upon the creation of indebtedness of the Company or any subsidiary, upon the issue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186" w:lineRule="exact"/>
        <w:rPr>
          <w:rFonts w:ascii="Arial" w:cs="Arial" w:eastAsia="Arial" w:hAnsi="Arial"/>
          <w:sz w:val="18"/>
          <w:szCs w:val="18"/>
          <w:color w:val="auto"/>
        </w:rPr>
      </w:pPr>
    </w:p>
    <w:p>
      <w:pPr>
        <w:ind w:left="1952" w:right="740" w:hanging="655"/>
        <w:spacing w:after="0" w:line="308" w:lineRule="auto"/>
        <w:tabs>
          <w:tab w:leader="none" w:pos="195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rights of the shares of that series in the event of voluntary or involuntary liquidation, dissolution or winding up of the Company, and the relative rights of priority, if any, of payment in respect of shares of that series; and</w:t>
      </w:r>
    </w:p>
    <w:p>
      <w:pPr>
        <w:spacing w:after="0" w:line="146" w:lineRule="exact"/>
        <w:rPr>
          <w:rFonts w:ascii="Arial" w:cs="Arial" w:eastAsia="Arial" w:hAnsi="Arial"/>
          <w:sz w:val="17"/>
          <w:szCs w:val="17"/>
          <w:color w:val="auto"/>
        </w:rPr>
      </w:pPr>
    </w:p>
    <w:p>
      <w:pPr>
        <w:ind w:left="1972" w:hanging="675"/>
        <w:spacing w:after="0"/>
        <w:tabs>
          <w:tab w:leader="none" w:pos="19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rights, qualifications, limitations or restrictions of that series.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hanging="647"/>
        <w:spacing w:after="0" w:line="273" w:lineRule="auto"/>
        <w:tabs>
          <w:tab w:leader="none" w:pos="1272"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color w:val="auto"/>
        </w:rPr>
        <w:t>Any Preference Shares of any series which have been redeemed (whether through the operation of a sinking fund or otherwise) or which, if convertible or exchangeable, have been converted into or exchanged for shares of any other class or classes shall have the status of authorised and unissued Preference Shares of the same series and may be reissued as a part of the series of which they were originally a part or may be reclassified and reissued as part of a new series of Preference Shares to be created by resolution or resolutions of the Board or as part of any other series of Preference Shares, all subject to the conditions and the restrictions on issuance set forth in the resolution or resolutions adopted by the Board providing for the issue of any series of Preference Shares.</w:t>
      </w:r>
    </w:p>
    <w:p>
      <w:pPr>
        <w:spacing w:after="0" w:line="178" w:lineRule="exact"/>
        <w:rPr>
          <w:sz w:val="20"/>
          <w:szCs w:val="20"/>
          <w:color w:val="auto"/>
        </w:rPr>
      </w:pPr>
    </w:p>
    <w:p>
      <w:pPr>
        <w:ind w:left="1292" w:hanging="647"/>
        <w:spacing w:after="0" w:line="255" w:lineRule="auto"/>
        <w:tabs>
          <w:tab w:leader="none" w:pos="1272"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At the discretion of the Board, whether or not in connection with the issuance and sale of any shares or other securities of the Company, the Company may issue securities, contracts, warrants or other instruments evidencing any shares, option rights, securities having conversion or option rights, or obligations on such terms, conditions and other provisions as are fixed by the Board, including, without limiting the generality of this authority, conditions that preclude or limit any person or persons owning or offering to acquire a specified number or percentage of the issued Common Shares, other shares, option rights, securities having conversion or option rights, or obligations of the Company or transferee of the person or persons from exercising, converting, transferring or receiving the shares, option rights, securities having conversion or option rights, or obligations.</w:t>
      </w:r>
    </w:p>
    <w:p>
      <w:pPr>
        <w:spacing w:after="0" w:line="189" w:lineRule="exact"/>
        <w:rPr>
          <w:sz w:val="20"/>
          <w:szCs w:val="20"/>
          <w:color w:val="auto"/>
        </w:rPr>
      </w:pPr>
    </w:p>
    <w:p>
      <w:pPr>
        <w:ind w:left="1292" w:right="6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All the rights attaching to a Treasury Share shall be suspended and shall not be exercised by the Company while it holds such Treasury Share and, except where required by the Act, all Treasury Shares shall be excluded from the calculation of any percentage or fraction of the share capital, or shares, of the Company.</w:t>
      </w:r>
    </w:p>
    <w:p>
      <w:pPr>
        <w:spacing w:after="0" w:line="181" w:lineRule="exact"/>
        <w:rPr>
          <w:sz w:val="20"/>
          <w:szCs w:val="20"/>
          <w:color w:val="auto"/>
        </w:rPr>
      </w:pPr>
    </w:p>
    <w:p>
      <w:pPr>
        <w:ind w:left="652" w:hanging="652"/>
        <w:spacing w:after="0"/>
        <w:tabs>
          <w:tab w:leader="none" w:pos="65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6"/>
          <w:szCs w:val="16"/>
          <w:color w:val="auto"/>
        </w:rPr>
        <w:t>The Board may make such calls as it thinks fit upon the Members in respect of any moneys (whether in respect of nominal value or</w:t>
      </w:r>
    </w:p>
    <w:p>
      <w:pPr>
        <w:spacing w:after="0" w:line="27" w:lineRule="exact"/>
        <w:rPr>
          <w:rFonts w:ascii="Arial" w:cs="Arial" w:eastAsia="Arial" w:hAnsi="Arial"/>
          <w:sz w:val="18"/>
          <w:szCs w:val="18"/>
          <w:b w:val="1"/>
          <w:bCs w:val="1"/>
          <w:color w:val="auto"/>
        </w:rPr>
      </w:pPr>
    </w:p>
    <w:p>
      <w:pPr>
        <w:ind w:left="1292"/>
        <w:spacing w:after="0"/>
        <w:rPr>
          <w:rFonts w:ascii="Arial" w:cs="Arial" w:eastAsia="Arial" w:hAnsi="Arial"/>
          <w:sz w:val="18"/>
          <w:szCs w:val="18"/>
          <w:b w:val="1"/>
          <w:bCs w:val="1"/>
          <w:color w:val="auto"/>
        </w:rPr>
      </w:pPr>
      <w:r>
        <w:rPr>
          <w:rFonts w:ascii="Arial" w:cs="Arial" w:eastAsia="Arial" w:hAnsi="Arial"/>
          <w:sz w:val="18"/>
          <w:szCs w:val="18"/>
          <w:color w:val="auto"/>
        </w:rPr>
        <w:t>premium) unpaid on the shares allotted to or held by such Members (and not made payable at fixed times by the terms and</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92" w:right="40"/>
        <w:spacing w:after="0" w:line="259" w:lineRule="auto"/>
        <w:rPr>
          <w:sz w:val="20"/>
          <w:szCs w:val="20"/>
          <w:color w:val="auto"/>
        </w:rPr>
      </w:pPr>
      <w:r>
        <w:rPr>
          <w:rFonts w:ascii="Arial" w:cs="Arial" w:eastAsia="Arial" w:hAnsi="Arial"/>
          <w:sz w:val="18"/>
          <w:szCs w:val="18"/>
          <w:color w:val="auto"/>
        </w:rPr>
        <w:t>conditions of issue) and, if a call is not paid on or before the day appointed for payment thereof, the Member may at the discretion of the Board be liable to pay the Company interest on the amount of such call at such rate as the Board may determine, from the date when such call was payable up to the actual date of payment. The Board may differentiate between the holders as to the amount of calls to be paid and the times of payment of such calls.</w:t>
      </w:r>
    </w:p>
    <w:p>
      <w:pPr>
        <w:sectPr>
          <w:pgSz w:w="11900" w:h="16838" w:orient="portrait"/>
          <w:cols w:equalWidth="0" w:num="1">
            <w:col w:w="11392"/>
          </w:cols>
          <w:pgMar w:left="248" w:top="125" w:right="259" w:bottom="0" w:gutter="0" w:footer="0" w:header="0"/>
        </w:sectPr>
      </w:pPr>
    </w:p>
    <w:bookmarkStart w:id="164" w:name="page165"/>
    <w:bookmarkEnd w:id="164"/>
    <w:p>
      <w:pPr>
        <w:spacing w:after="0" w:line="150" w:lineRule="exact"/>
        <w:rPr>
          <w:sz w:val="20"/>
          <w:szCs w:val="20"/>
          <w:color w:val="auto"/>
        </w:rPr>
      </w:pPr>
    </w:p>
    <w:p>
      <w:pPr>
        <w:ind w:left="1292" w:hanging="647"/>
        <w:spacing w:after="0" w:line="276" w:lineRule="auto"/>
        <w:tabs>
          <w:tab w:leader="none" w:pos="1272"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color w:val="auto"/>
        </w:rPr>
        <w:t>Any amount which by the terms of allotment of a share becomes payable upon issue or at any fixed date, whether on account of the nominal value of the share or by way of premium, shall for all the purposes of these Bye-laws be deemed to be an amount on which a call has been duly made and payable on the date on which, by the terms of issue, the same becomes payable, and in case of non-payment all the relevant provisions of these Bye-laws as to forfeiture, payment of interest, costs and expenses, forfeiture or otherwise shall apply as if such amount had become payable by virtue of a duly made and notified call.</w:t>
      </w:r>
    </w:p>
    <w:p>
      <w:pPr>
        <w:spacing w:after="0" w:line="173"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color w:val="auto"/>
        </w:rPr>
        <w:t>The joint holders of a share shall be jointly and severally liable to pay all calls and any interest, costs and expenses in respect thereof.</w:t>
      </w:r>
    </w:p>
    <w:p>
      <w:pPr>
        <w:spacing w:after="0" w:line="225" w:lineRule="exact"/>
        <w:rPr>
          <w:sz w:val="20"/>
          <w:szCs w:val="20"/>
          <w:color w:val="auto"/>
        </w:rPr>
      </w:pPr>
    </w:p>
    <w:p>
      <w:pPr>
        <w:ind w:left="1292" w:right="24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The Company may accept from any Member the whole or a part of the amount remaining unpaid on any shares held by him, although no part of that amount has been called up or become payable.</w:t>
      </w:r>
    </w:p>
    <w:p>
      <w:pPr>
        <w:spacing w:after="0" w:line="170" w:lineRule="exact"/>
        <w:rPr>
          <w:sz w:val="20"/>
          <w:szCs w:val="20"/>
          <w:color w:val="auto"/>
        </w:rPr>
      </w:pPr>
    </w:p>
    <w:p>
      <w:pPr>
        <w:ind w:left="652" w:hanging="652"/>
        <w:spacing w:after="0"/>
        <w:tabs>
          <w:tab w:leader="none" w:pos="6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of Shares</w:t>
      </w:r>
    </w:p>
    <w:p>
      <w:pPr>
        <w:spacing w:after="0" w:line="225" w:lineRule="exact"/>
        <w:rPr>
          <w:rFonts w:ascii="Arial" w:cs="Arial" w:eastAsia="Arial" w:hAnsi="Arial"/>
          <w:sz w:val="18"/>
          <w:szCs w:val="18"/>
          <w:b w:val="1"/>
          <w:bCs w:val="1"/>
          <w:color w:val="auto"/>
        </w:rPr>
      </w:pPr>
    </w:p>
    <w:p>
      <w:pPr>
        <w:ind w:left="1292" w:right="140" w:hanging="648"/>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8"/>
          <w:szCs w:val="18"/>
          <w:color w:val="auto"/>
        </w:rPr>
        <w:t>If any Member fails to pay, on the day appointed for payment thereof, any call in respect of any share allotted to or held by such Member, the Board may, at any time thereafter during such time as the call remains unpaid, direct the Secretary to forward such Member a notice in writing in the form, or as near thereto as circumstances admit, of the following:</w:t>
      </w:r>
    </w:p>
    <w:p>
      <w:pPr>
        <w:spacing w:after="0" w:line="18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Notice of Liability to Forfeiture for Non-Payment of Call</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Essent Group Ltd. (the “Company”)</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right="180"/>
        <w:spacing w:after="0" w:line="279" w:lineRule="auto"/>
        <w:rPr>
          <w:sz w:val="20"/>
          <w:szCs w:val="20"/>
          <w:color w:val="auto"/>
        </w:rPr>
      </w:pPr>
      <w:r>
        <w:rPr>
          <w:rFonts w:ascii="Arial" w:cs="Arial" w:eastAsia="Arial" w:hAnsi="Arial"/>
          <w:sz w:val="17"/>
          <w:szCs w:val="17"/>
          <w:color w:val="auto"/>
        </w:rPr>
        <w:t>You have failed to pay the call of [amount of call] made on the [ ] day of [ ], 20[ ], in respect of the [number] share(s) [number in figures] standing in your name in the Register of Members of the Company, on the [ ] day of [ ], 20[ ], the day appointed for payment of such call. You are hereby notified that unless you pay such call together with interest thereon at the rate of [ ] per annum computed from the said [ ] day of [ ], 20[ ] at the registered office of the Company the share(s) will be liable to be forfeited.</w:t>
      </w:r>
    </w:p>
    <w:p>
      <w:pPr>
        <w:spacing w:after="0" w:line="171" w:lineRule="exact"/>
        <w:rPr>
          <w:sz w:val="20"/>
          <w:szCs w:val="20"/>
          <w:color w:val="auto"/>
        </w:rPr>
      </w:pPr>
    </w:p>
    <w:p>
      <w:pPr>
        <w:ind w:left="1532"/>
        <w:spacing w:after="0"/>
        <w:rPr>
          <w:sz w:val="20"/>
          <w:szCs w:val="20"/>
          <w:color w:val="auto"/>
        </w:rPr>
      </w:pPr>
      <w:r>
        <w:rPr>
          <w:rFonts w:ascii="Arial" w:cs="Arial" w:eastAsia="Arial" w:hAnsi="Arial"/>
          <w:sz w:val="18"/>
          <w:szCs w:val="18"/>
          <w:color w:val="auto"/>
        </w:rPr>
        <w:t>Dated this [ ] day of [ ], 20[ ]</w:t>
      </w:r>
    </w:p>
    <w:p>
      <w:pPr>
        <w:spacing w:after="0" w:line="200" w:lineRule="exact"/>
        <w:rPr>
          <w:sz w:val="20"/>
          <w:szCs w:val="20"/>
          <w:color w:val="auto"/>
        </w:rPr>
      </w:pPr>
    </w:p>
    <w:p>
      <w:pPr>
        <w:spacing w:after="0" w:line="255" w:lineRule="exact"/>
        <w:rPr>
          <w:sz w:val="20"/>
          <w:szCs w:val="20"/>
          <w:color w:val="auto"/>
        </w:rPr>
      </w:pPr>
    </w:p>
    <w:p>
      <w:pPr>
        <w:ind w:left="1532"/>
        <w:spacing w:after="0"/>
        <w:rPr>
          <w:sz w:val="20"/>
          <w:szCs w:val="20"/>
          <w:color w:val="auto"/>
        </w:rPr>
      </w:pPr>
      <w:r>
        <w:rPr>
          <w:rFonts w:ascii="Arial" w:cs="Arial" w:eastAsia="Arial" w:hAnsi="Arial"/>
          <w:sz w:val="18"/>
          <w:szCs w:val="18"/>
          <w:color w:val="auto"/>
        </w:rPr>
        <w:t>[Signature of Secretary] 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-130175</wp:posOffset>
            </wp:positionV>
            <wp:extent cx="28384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1" w:lineRule="exact"/>
        <w:rPr>
          <w:sz w:val="20"/>
          <w:szCs w:val="20"/>
          <w:color w:val="auto"/>
        </w:rPr>
      </w:pPr>
    </w:p>
    <w:p>
      <w:pPr>
        <w:jc w:val="both"/>
        <w:ind w:left="1292" w:right="60" w:hanging="647"/>
        <w:spacing w:after="0" w:line="302" w:lineRule="auto"/>
        <w:tabs>
          <w:tab w:leader="none" w:pos="1272"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If the requirements of such notice are not complied with, any such share may at any time thereafter before the payment of such call and the interest due in respect thereof be forfeited by a resolution of the Board to that effect, and such share shall thereupon become the property of the Company and may be disposed of as the Board shall determine. Without limiting the generality of the foregoing, the disposal may take place by sale, repurchase, redemption or any other method of disposal permitted by and consistent with these Bye-laws and the Act.</w:t>
      </w:r>
    </w:p>
    <w:p>
      <w:pPr>
        <w:spacing w:after="0" w:line="154" w:lineRule="exact"/>
        <w:rPr>
          <w:sz w:val="20"/>
          <w:szCs w:val="20"/>
          <w:color w:val="auto"/>
        </w:rPr>
      </w:pPr>
    </w:p>
    <w:p>
      <w:pPr>
        <w:ind w:left="1292" w:right="6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A Member whose share or shares have been so forfeited shall, notwithstanding such forfeiture, be liable to pay to the Company all calls owing on such share or shares at the time of the forfeiture, together with all interest due thereon and any costs and expenses incurred by the Company in connection therewith.</w:t>
      </w:r>
    </w:p>
    <w:p>
      <w:pPr>
        <w:spacing w:after="0" w:line="181" w:lineRule="exact"/>
        <w:rPr>
          <w:sz w:val="20"/>
          <w:szCs w:val="20"/>
          <w:color w:val="auto"/>
        </w:rPr>
      </w:pPr>
    </w:p>
    <w:p>
      <w:pPr>
        <w:ind w:left="1292" w:right="2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color w:val="auto"/>
        </w:rPr>
        <w:t>The Board may accept the surrender of any shares which it is in a position to forfeit on such terms and conditions as may be agreed. Subject to those terms and conditions, a surrendered share shall be treated as if it had been forfeited.</w:t>
      </w:r>
    </w:p>
    <w:p>
      <w:pPr>
        <w:spacing w:after="0" w:line="170" w:lineRule="exact"/>
        <w:rPr>
          <w:sz w:val="20"/>
          <w:szCs w:val="20"/>
          <w:color w:val="auto"/>
        </w:rPr>
      </w:pPr>
    </w:p>
    <w:p>
      <w:pPr>
        <w:ind w:left="652" w:hanging="652"/>
        <w:spacing w:after="0"/>
        <w:tabs>
          <w:tab w:leader="none" w:pos="65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225" w:lineRule="exact"/>
        <w:rPr>
          <w:rFonts w:ascii="Arial" w:cs="Arial" w:eastAsia="Arial" w:hAnsi="Arial"/>
          <w:sz w:val="18"/>
          <w:szCs w:val="18"/>
          <w:b w:val="1"/>
          <w:bCs w:val="1"/>
          <w:color w:val="auto"/>
        </w:rPr>
      </w:pPr>
    </w:p>
    <w:p>
      <w:pPr>
        <w:ind w:left="1292" w:hanging="648"/>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8"/>
          <w:szCs w:val="18"/>
          <w:color w:val="auto"/>
        </w:rPr>
        <w:t>Every Member shall be entitled to a certificate under the common seal (or a facsimile thereof) of the Company or bearing the signature (or a facsimile thereof) of a Director or Secretary or a person expressly authorized to sign specifying the number and, where appropriate, the class of shares held by such Member and whether the same are fully</w:t>
      </w:r>
    </w:p>
    <w:p>
      <w:pPr>
        <w:spacing w:after="0" w:line="18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20"/>
        <w:spacing w:after="0" w:line="277" w:lineRule="auto"/>
        <w:rPr>
          <w:sz w:val="20"/>
          <w:szCs w:val="20"/>
          <w:color w:val="auto"/>
        </w:rPr>
      </w:pPr>
      <w:r>
        <w:rPr>
          <w:rFonts w:ascii="Arial" w:cs="Arial" w:eastAsia="Arial" w:hAnsi="Arial"/>
          <w:sz w:val="18"/>
          <w:szCs w:val="18"/>
          <w:color w:val="auto"/>
        </w:rPr>
        <w:t>paid up and, if not, specifying the amount paid on such shares. The Board may by resolution determine, either generally or in a particular case, that any or all signatures on certificates may be printed thereon or affixed by mechanical means.</w:t>
      </w:r>
    </w:p>
    <w:p>
      <w:pPr>
        <w:spacing w:after="0" w:line="166" w:lineRule="exact"/>
        <w:rPr>
          <w:sz w:val="20"/>
          <w:szCs w:val="20"/>
          <w:color w:val="auto"/>
        </w:rPr>
      </w:pPr>
    </w:p>
    <w:p>
      <w:pPr>
        <w:ind w:left="1292" w:right="8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allotted.</w:t>
      </w:r>
    </w:p>
    <w:p>
      <w:pPr>
        <w:spacing w:after="0" w:line="170" w:lineRule="exact"/>
        <w:rPr>
          <w:sz w:val="20"/>
          <w:szCs w:val="20"/>
          <w:color w:val="auto"/>
        </w:rPr>
      </w:pPr>
    </w:p>
    <w:p>
      <w:pPr>
        <w:ind w:left="1292" w:right="38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If any share certificate shall be proved to the satisfaction of the Board to have been worn out, lost, mislaid, or destroyed the Board may cause a new certificate to be issued and request an indemnity for the lost certificate if it sees fit.</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color w:val="auto"/>
        </w:rPr>
        <w:t>Notwithstanding any provisions of these Bye-laws:</w:t>
      </w:r>
    </w:p>
    <w:p>
      <w:pPr>
        <w:spacing w:after="0" w:line="229" w:lineRule="exact"/>
        <w:rPr>
          <w:sz w:val="20"/>
          <w:szCs w:val="20"/>
          <w:color w:val="auto"/>
        </w:rPr>
      </w:pPr>
    </w:p>
    <w:p>
      <w:pPr>
        <w:ind w:left="1952" w:right="160" w:hanging="655"/>
        <w:spacing w:after="0" w:line="257" w:lineRule="auto"/>
        <w:tabs>
          <w:tab w:leader="none" w:pos="194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Directors shall, subject always to the Act and any other applicable laws and regulations and the facilities and requirements of any relevant system concerned, have power to implement any arrangements they may, in their absolute discretion, think fit in relation to the evidencing of title to and transfer of uncertificated shares and to the extent such arrangements are so implemented, no provision of these Bye-laws shall apply or have effect to the extent that it is in any respect inconsistent with the holding or transfer of shares in uncertificated form; and</w:t>
      </w:r>
    </w:p>
    <w:p>
      <w:pPr>
        <w:spacing w:after="0" w:line="188" w:lineRule="exact"/>
        <w:rPr>
          <w:rFonts w:ascii="Arial" w:cs="Arial" w:eastAsia="Arial" w:hAnsi="Arial"/>
          <w:sz w:val="18"/>
          <w:szCs w:val="18"/>
          <w:color w:val="auto"/>
        </w:rPr>
      </w:pPr>
    </w:p>
    <w:p>
      <w:pPr>
        <w:jc w:val="both"/>
        <w:ind w:left="1952" w:right="20" w:hanging="655"/>
        <w:spacing w:after="0" w:line="342" w:lineRule="auto"/>
        <w:tabs>
          <w:tab w:leader="none" w:pos="1959" w:val="left"/>
        </w:tabs>
        <w:numPr>
          <w:ilvl w:val="0"/>
          <w:numId w:val="73"/>
        </w:numPr>
        <w:rPr>
          <w:rFonts w:ascii="Arial" w:cs="Arial" w:eastAsia="Arial" w:hAnsi="Arial"/>
          <w:sz w:val="16"/>
          <w:szCs w:val="16"/>
          <w:color w:val="auto"/>
        </w:rPr>
      </w:pPr>
      <w:r>
        <w:rPr>
          <w:rFonts w:ascii="Arial" w:cs="Arial" w:eastAsia="Arial" w:hAnsi="Arial"/>
          <w:sz w:val="16"/>
          <w:szCs w:val="16"/>
          <w:color w:val="auto"/>
        </w:rPr>
        <w:t>unless otherwise determined by the Directors and as permitted by the Act and any other applicable laws and regulations, no person shall be entitled to receive a certificate in respect of any share for so long as the title to that share is evidenced otherwise than by a</w:t>
      </w:r>
    </w:p>
    <w:p>
      <w:pPr>
        <w:sectPr>
          <w:pgSz w:w="11900" w:h="16989" w:orient="portrait"/>
          <w:cols w:equalWidth="0" w:num="1">
            <w:col w:w="11392"/>
          </w:cols>
          <w:pgMar w:left="248" w:top="121" w:right="259" w:bottom="0" w:gutter="0" w:footer="0" w:header="0"/>
        </w:sectPr>
      </w:pPr>
    </w:p>
    <w:bookmarkStart w:id="165" w:name="page166"/>
    <w:bookmarkEnd w:id="165"/>
    <w:p>
      <w:pPr>
        <w:jc w:val="center"/>
        <w:ind w:right="40"/>
        <w:spacing w:after="0"/>
        <w:rPr>
          <w:sz w:val="20"/>
          <w:szCs w:val="20"/>
          <w:color w:val="auto"/>
        </w:rPr>
      </w:pPr>
      <w:r>
        <w:rPr>
          <w:rFonts w:ascii="Arial" w:cs="Arial" w:eastAsia="Arial" w:hAnsi="Arial"/>
          <w:sz w:val="18"/>
          <w:szCs w:val="18"/>
          <w:color w:val="auto"/>
        </w:rPr>
        <w:t>certificate and for so long as transfers of that share may be made otherwise than by a written instrument.</w:t>
      </w:r>
    </w:p>
    <w:p>
      <w:pPr>
        <w:spacing w:after="0" w:line="221"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p>
    <w:p>
      <w:pPr>
        <w:spacing w:after="0" w:line="229" w:lineRule="exact"/>
        <w:rPr>
          <w:rFonts w:ascii="Arial" w:cs="Arial" w:eastAsia="Arial" w:hAnsi="Arial"/>
          <w:sz w:val="18"/>
          <w:szCs w:val="18"/>
          <w:b w:val="1"/>
          <w:bCs w:val="1"/>
          <w:color w:val="auto"/>
        </w:rPr>
      </w:pPr>
    </w:p>
    <w:p>
      <w:pPr>
        <w:ind w:left="660" w:righ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may issue its shares in fractional denominations and deal with such fractions to the same extent as its whole shares and shares in fractional denominations shall have in proportion to the respective fractions represented thereby all of the rights of whole shares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including (but without limiting the generality of the foregoing) the right to vote, to receive dividends and distributions and to participate in a winding-up.</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OF SHARES</w:t>
      </w:r>
    </w:p>
    <w:p>
      <w:pPr>
        <w:spacing w:after="0" w:line="22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color w:val="auto"/>
        </w:rPr>
        <w:t>The Board shall cause to be kept in one or more books a Register of Members and shall enter therein the particulars required by the Act.</w:t>
      </w:r>
    </w:p>
    <w:p>
      <w:pPr>
        <w:spacing w:after="0" w:line="225" w:lineRule="exact"/>
        <w:rPr>
          <w:rFonts w:ascii="Arial" w:cs="Arial" w:eastAsia="Arial" w:hAnsi="Arial"/>
          <w:sz w:val="18"/>
          <w:szCs w:val="18"/>
          <w:b w:val="1"/>
          <w:bCs w:val="1"/>
          <w:color w:val="auto"/>
        </w:rPr>
      </w:pPr>
    </w:p>
    <w:p>
      <w:pPr>
        <w:ind w:left="1300" w:right="40" w:hanging="648"/>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9.2</w:t>
      </w:r>
      <w:r>
        <w:rPr>
          <w:rFonts w:ascii="Arial" w:cs="Arial" w:eastAsia="Arial" w:hAnsi="Arial"/>
          <w:sz w:val="18"/>
          <w:szCs w:val="18"/>
          <w:color w:val="auto"/>
        </w:rPr>
        <w:t>The Register of Members shall be open to inspection without charge at the registered office of the Company on every business day, subject to such reasonable restrictions as the Board may impose, so that not less than two hours in each business day be allowed for inspection. The Register of Members may, after notice has been given in accordance with the Act, be closed for any time or times not exceeding in the whole thirty days in each year.</w:t>
      </w:r>
    </w:p>
    <w:p>
      <w:pPr>
        <w:spacing w:after="0" w:line="186" w:lineRule="exact"/>
        <w:rPr>
          <w:rFonts w:ascii="Arial" w:cs="Arial" w:eastAsia="Arial" w:hAnsi="Arial"/>
          <w:sz w:val="18"/>
          <w:szCs w:val="18"/>
          <w:b w:val="1"/>
          <w:bCs w:val="1"/>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Holder Absolute Owner</w:t>
      </w:r>
    </w:p>
    <w:p>
      <w:pPr>
        <w:spacing w:after="0" w:line="229" w:lineRule="exact"/>
        <w:rPr>
          <w:rFonts w:ascii="Arial" w:cs="Arial" w:eastAsia="Arial" w:hAnsi="Arial"/>
          <w:sz w:val="18"/>
          <w:szCs w:val="18"/>
          <w:b w:val="1"/>
          <w:bCs w:val="1"/>
          <w:color w:val="auto"/>
        </w:rPr>
      </w:pPr>
    </w:p>
    <w:p>
      <w:pPr>
        <w:ind w:left="66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be entitled to treat the registered holder of any share as the absolute owner thereof and accordingly shall not be bound to recognise any equitable claim or other claim to, or interest in, such share on the part of any other person.</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Registered Shares</w:t>
      </w:r>
    </w:p>
    <w:p>
      <w:pPr>
        <w:spacing w:after="0" w:line="225" w:lineRule="exact"/>
        <w:rPr>
          <w:sz w:val="20"/>
          <w:szCs w:val="20"/>
          <w:color w:val="auto"/>
        </w:rPr>
      </w:pPr>
    </w:p>
    <w:p>
      <w:pPr>
        <w:ind w:left="1280" w:right="100" w:hanging="647"/>
        <w:spacing w:after="0" w:line="277" w:lineRule="auto"/>
        <w:tabs>
          <w:tab w:leader="none" w:pos="12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An instrument of transfer shall be in writing in the form of the following, or as near thereto as circumstances admit, or in such other form as the Board may accept: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20" w:type="dxa"/>
            <w:vAlign w:val="bottom"/>
            <w:gridSpan w:val="4"/>
          </w:tcPr>
          <w:p>
            <w:pPr>
              <w:jc w:val="center"/>
              <w:ind w:right="4080"/>
              <w:spacing w:after="0"/>
              <w:rPr>
                <w:sz w:val="20"/>
                <w:szCs w:val="20"/>
                <w:color w:val="auto"/>
              </w:rPr>
            </w:pPr>
            <w:r>
              <w:rPr>
                <w:rFonts w:ascii="Arial" w:cs="Arial" w:eastAsia="Arial" w:hAnsi="Arial"/>
                <w:sz w:val="18"/>
                <w:szCs w:val="18"/>
                <w:color w:val="auto"/>
                <w:w w:val="88"/>
              </w:rPr>
              <w:t>Transfer of a Share or Shares</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20" w:type="dxa"/>
            <w:vAlign w:val="bottom"/>
            <w:gridSpan w:val="4"/>
          </w:tcPr>
          <w:p>
            <w:pPr>
              <w:jc w:val="center"/>
              <w:ind w:right="4060"/>
              <w:spacing w:after="0"/>
              <w:rPr>
                <w:sz w:val="20"/>
                <w:szCs w:val="20"/>
                <w:color w:val="auto"/>
              </w:rPr>
            </w:pPr>
            <w:r>
              <w:rPr>
                <w:rFonts w:ascii="Arial" w:cs="Arial" w:eastAsia="Arial" w:hAnsi="Arial"/>
                <w:sz w:val="18"/>
                <w:szCs w:val="18"/>
                <w:color w:val="auto"/>
                <w:w w:val="92"/>
              </w:rPr>
              <w:t>Essent Group Ltd. (the “Company”)</w:t>
            </w:r>
          </w:p>
        </w:tc>
        <w:tc>
          <w:tcPr>
            <w:tcW w:w="0" w:type="dxa"/>
            <w:vAlign w:val="bottom"/>
          </w:tcPr>
          <w:p>
            <w:pPr>
              <w:spacing w:after="0"/>
              <w:rPr>
                <w:sz w:val="1"/>
                <w:szCs w:val="1"/>
                <w:color w:val="auto"/>
              </w:rPr>
            </w:pPr>
          </w:p>
        </w:tc>
      </w:tr>
      <w:tr>
        <w:trPr>
          <w:trHeight w:val="418"/>
        </w:trPr>
        <w:tc>
          <w:tcPr>
            <w:tcW w:w="4040" w:type="dxa"/>
            <w:vAlign w:val="bottom"/>
            <w:gridSpan w:val="2"/>
          </w:tcPr>
          <w:p>
            <w:pPr>
              <w:ind w:left="1300"/>
              <w:spacing w:after="0"/>
              <w:rPr>
                <w:sz w:val="20"/>
                <w:szCs w:val="20"/>
                <w:color w:val="auto"/>
              </w:rPr>
            </w:pPr>
            <w:r>
              <w:rPr>
                <w:rFonts w:ascii="Arial" w:cs="Arial" w:eastAsia="Arial" w:hAnsi="Arial"/>
                <w:sz w:val="18"/>
                <w:szCs w:val="18"/>
                <w:color w:val="auto"/>
              </w:rPr>
              <w:t>FOR VALUE RECEIVED</w:t>
            </w:r>
          </w:p>
        </w:tc>
        <w:tc>
          <w:tcPr>
            <w:tcW w:w="7420" w:type="dxa"/>
            <w:vAlign w:val="bottom"/>
            <w:gridSpan w:val="4"/>
          </w:tcPr>
          <w:p>
            <w:pPr>
              <w:ind w:left="260"/>
              <w:spacing w:after="0"/>
              <w:rPr>
                <w:sz w:val="20"/>
                <w:szCs w:val="20"/>
                <w:color w:val="auto"/>
              </w:rPr>
            </w:pPr>
            <w:r>
              <w:rPr>
                <w:rFonts w:ascii="Arial" w:cs="Arial" w:eastAsia="Arial" w:hAnsi="Arial"/>
                <w:sz w:val="18"/>
                <w:szCs w:val="18"/>
                <w:color w:val="auto"/>
                <w:w w:val="95"/>
              </w:rPr>
              <w:t>[amount], I, [name of transferor] hereby sell, assign and transfer unto [transferee] of [address],</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300"/>
              <w:spacing w:after="0"/>
              <w:rPr>
                <w:sz w:val="20"/>
                <w:szCs w:val="20"/>
                <w:color w:val="auto"/>
              </w:rPr>
            </w:pPr>
            <w:r>
              <w:rPr>
                <w:rFonts w:ascii="Arial" w:cs="Arial" w:eastAsia="Arial" w:hAnsi="Arial"/>
                <w:sz w:val="18"/>
                <w:szCs w:val="18"/>
                <w:color w:val="auto"/>
              </w:rPr>
              <w:t>[number] shares of the Company.</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80" w:type="dxa"/>
            <w:vAlign w:val="bottom"/>
            <w:gridSpan w:val="2"/>
          </w:tcPr>
          <w:p>
            <w:pPr>
              <w:jc w:val="center"/>
              <w:ind w:left="1470"/>
              <w:spacing w:after="0"/>
              <w:rPr>
                <w:sz w:val="20"/>
                <w:szCs w:val="20"/>
                <w:color w:val="auto"/>
              </w:rPr>
            </w:pPr>
            <w:r>
              <w:rPr>
                <w:rFonts w:ascii="Arial" w:cs="Arial" w:eastAsia="Arial" w:hAnsi="Arial"/>
                <w:sz w:val="18"/>
                <w:szCs w:val="18"/>
                <w:color w:val="auto"/>
                <w:w w:val="89"/>
              </w:rPr>
              <w:t>12</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4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5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DATED this [ ] day of [ ], 20[ ]</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Signed by: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Transferor</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Witness</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540" w:type="dxa"/>
            <w:vAlign w:val="bottom"/>
            <w:vMerge w:val="restart"/>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540" w:type="dxa"/>
            <w:vAlign w:val="bottom"/>
            <w:vMerge w:val="continue"/>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Transferee</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Witness</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-1648460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-1648460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3" w:lineRule="exact"/>
        <w:rPr>
          <w:sz w:val="20"/>
          <w:szCs w:val="20"/>
          <w:color w:val="auto"/>
        </w:rPr>
      </w:pPr>
    </w:p>
    <w:p>
      <w:pPr>
        <w:ind w:left="1280" w:right="40" w:hanging="647"/>
        <w:spacing w:after="0" w:line="286" w:lineRule="auto"/>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Such instrument of transfer shall be signed by or on behalf of the transferor and transferee, provided that, in the case of a fully paid up share, the Board may accept the instrument signed by or on behalf of the transferor alone. The transferor shall be deemed to remain the holder of such share until the same has been registered as having been transferred to the transferee in the Register of Members.</w:t>
      </w:r>
    </w:p>
    <w:p>
      <w:pPr>
        <w:spacing w:after="0" w:line="166" w:lineRule="exact"/>
        <w:rPr>
          <w:sz w:val="20"/>
          <w:szCs w:val="20"/>
          <w:color w:val="auto"/>
        </w:rPr>
      </w:pPr>
    </w:p>
    <w:p>
      <w:pPr>
        <w:ind w:left="1280" w:right="180" w:hanging="647"/>
        <w:spacing w:after="0" w:line="342" w:lineRule="auto"/>
        <w:tabs>
          <w:tab w:leader="none" w:pos="12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The Board may refuse to recognise any instrument of transfer unless it is accompanied by the certificate in respect of the shares to which it relates and by such other evidence as the Board may reasonably require to show the right of the transferor to make the transfer.</w:t>
      </w:r>
    </w:p>
    <w:p>
      <w:pPr>
        <w:spacing w:after="0" w:line="124" w:lineRule="exact"/>
        <w:rPr>
          <w:sz w:val="20"/>
          <w:szCs w:val="20"/>
          <w:color w:val="auto"/>
        </w:rPr>
      </w:pPr>
    </w:p>
    <w:p>
      <w:pPr>
        <w:ind w:left="1280" w:right="120" w:hanging="647"/>
        <w:spacing w:after="0" w:line="264" w:lineRule="auto"/>
        <w:tabs>
          <w:tab w:leader="none" w:pos="12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The joint holders of any share may transfer such share to one or more of such joint holders, and the surviving holder or holders of any share previously held by them jointly with a deceased Member may transfer any such share to the executors or administrators of such deceased Member.</w:t>
      </w:r>
    </w:p>
    <w:p>
      <w:pPr>
        <w:spacing w:after="0" w:line="181" w:lineRule="exact"/>
        <w:rPr>
          <w:sz w:val="20"/>
          <w:szCs w:val="20"/>
          <w:color w:val="auto"/>
        </w:rPr>
      </w:pPr>
    </w:p>
    <w:p>
      <w:pPr>
        <w:ind w:left="1280" w:right="200" w:hanging="647"/>
        <w:spacing w:after="0" w:line="273" w:lineRule="auto"/>
        <w:tabs>
          <w:tab w:leader="none" w:pos="12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color w:val="auto"/>
        </w:rPr>
        <w:t>The Board may in its absolute discretion and without assigning any reason therefor refuse to register the transfer of a share which is not fully paid up. The Board shall refuse to register a transfer (x) unless all applicable consents, authorisations and permissions of any governmental body or agency in Bermuda have been obtained or (y) if such transfer is not made in accordance with the provisions of Regulation S under the United States Securities Act of 1933, as amended, pursuant to registration under such Securities Act or pursuant to an available exemption from, or transaction not subject to, registration under such Securities Act. The Board may decline to approve or register or permit the registration of any transfer of shares if it appears to the Board that any non de</w:t>
      </w:r>
    </w:p>
    <w:p>
      <w:pPr>
        <w:sectPr>
          <w:pgSz w:w="11900" w:h="16838" w:orient="portrait"/>
          <w:cols w:equalWidth="0" w:num="1">
            <w:col w:w="11460"/>
          </w:cols>
          <w:pgMar w:left="240" w:top="125" w:right="199" w:bottom="0" w:gutter="0" w:footer="0" w:header="0"/>
        </w:sectPr>
      </w:pP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66" w:name="page167"/>
    <w:bookmarkEnd w:id="166"/>
    <w:p>
      <w:pPr>
        <w:ind w:left="1300" w:right="200"/>
        <w:spacing w:after="0" w:line="312" w:lineRule="auto"/>
        <w:rPr>
          <w:sz w:val="20"/>
          <w:szCs w:val="20"/>
          <w:color w:val="auto"/>
        </w:rPr>
      </w:pPr>
      <w:r>
        <w:rPr>
          <w:rFonts w:ascii="Arial" w:cs="Arial" w:eastAsia="Arial" w:hAnsi="Arial"/>
          <w:sz w:val="16"/>
          <w:szCs w:val="16"/>
          <w:color w:val="auto"/>
        </w:rPr>
        <w:t>minimis adverse tax, regulatory or legal consequences to the Company, any subsidiary of the Company, or any direct or indirect holder of shares or its affiliates would result from such transfer. If the Board refuses to register a transfer of any share the Secretary shall, within three months after the date on which the transfer was lodged with the Company, send to the transferor and transferee notice of the refusal.</w:t>
      </w:r>
    </w:p>
    <w:p>
      <w:pPr>
        <w:spacing w:after="0" w:line="143" w:lineRule="exact"/>
        <w:rPr>
          <w:sz w:val="20"/>
          <w:szCs w:val="20"/>
          <w:color w:val="auto"/>
        </w:rPr>
      </w:pPr>
    </w:p>
    <w:p>
      <w:pPr>
        <w:ind w:left="1280" w:hanging="647"/>
        <w:spacing w:after="0" w:line="264" w:lineRule="auto"/>
        <w:tabs>
          <w:tab w:leader="none" w:pos="12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The registration of transfers may be suspended at such time and for such periods as the Directors may from time to time determine; provided that such registration shall not be suspended for more than forty-five days in any period of three hundred and sixty five (365) consecutive days.</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color w:val="auto"/>
        </w:rPr>
        <w:t>Shares may be transferred without a written instrument if transferred by an appointed agent or otherwise in accordance with the Act.</w:t>
      </w:r>
    </w:p>
    <w:p>
      <w:pPr>
        <w:spacing w:after="0" w:line="225" w:lineRule="exact"/>
        <w:rPr>
          <w:sz w:val="20"/>
          <w:szCs w:val="20"/>
          <w:color w:val="auto"/>
        </w:rPr>
      </w:pPr>
    </w:p>
    <w:p>
      <w:pPr>
        <w:ind w:left="1280" w:right="340" w:hanging="647"/>
        <w:spacing w:after="0" w:line="277" w:lineRule="auto"/>
        <w:tabs>
          <w:tab w:leader="none" w:pos="12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regulations of such exchange.</w:t>
      </w:r>
    </w:p>
    <w:p>
      <w:pPr>
        <w:spacing w:after="0" w:line="170" w:lineRule="exact"/>
        <w:rPr>
          <w:sz w:val="20"/>
          <w:szCs w:val="20"/>
          <w:color w:val="auto"/>
        </w:rPr>
      </w:pPr>
    </w:p>
    <w:p>
      <w:pPr>
        <w:jc w:val="both"/>
        <w:ind w:left="1280" w:right="80" w:hanging="647"/>
        <w:spacing w:after="0" w:line="264" w:lineRule="auto"/>
        <w:tabs>
          <w:tab w:leader="none" w:pos="12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Notwithstanding the foregoing, the Board may decline to approve or register or permit the registration of any transfer of shares if it appears to the Board that any non-de minimis adverse tax, regulatory or legal consequences to the Company, any subsidiary of the Company or any direct or indirect holder of shares or its Affiliates would result from such Transfer.</w:t>
      </w:r>
    </w:p>
    <w:p>
      <w:pPr>
        <w:spacing w:after="0" w:line="18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Registered Shares</w:t>
      </w:r>
    </w:p>
    <w:p>
      <w:pPr>
        <w:spacing w:after="0" w:line="225" w:lineRule="exact"/>
        <w:rPr>
          <w:rFonts w:ascii="Arial" w:cs="Arial" w:eastAsia="Arial" w:hAnsi="Arial"/>
          <w:sz w:val="18"/>
          <w:szCs w:val="18"/>
          <w:b w:val="1"/>
          <w:bCs w:val="1"/>
          <w:color w:val="auto"/>
        </w:rPr>
      </w:pPr>
    </w:p>
    <w:p>
      <w:pPr>
        <w:ind w:left="1300" w:right="40" w:hanging="648"/>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In the case of the death of a Member, the survivor or survivors where the deceased Member was a joint holder, and the legal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which had been jointly held by such deceased Member with other persons. Subject to the Act, for the purpose of this Bye-law, legal personal representative means the executor or administrator of a deceased Member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such other person as the Board may, in its absolute discretion, decide as being properly authorised to deal with the shares of a deceased Member.</w:t>
      </w:r>
    </w:p>
    <w:p>
      <w:pPr>
        <w:spacing w:after="0" w:line="166" w:lineRule="exact"/>
        <w:rPr>
          <w:sz w:val="20"/>
          <w:szCs w:val="20"/>
          <w:color w:val="auto"/>
        </w:rPr>
      </w:pPr>
    </w:p>
    <w:p>
      <w:pPr>
        <w:ind w:left="1300" w:right="1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color w:val="auto"/>
        </w:rPr>
        <w:t>Any person becoming entitled to a share in consequence of the death or bankruptcy of any Member may be registered as a Member upon such evidence as the Board may deem sufficient or may elect to nominate some person to be registered as a transferee of such share, and in such case the person becoming entitled shall execute in favour of such nominee an instrument of transfer in writing in the form, or as near thereto as circumstances admit, of the following: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by a Person Becoming Entitled on Death/Bankruptcy of a Member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Essent Group Ltd. (the “Company”)</w:t>
      </w:r>
    </w:p>
    <w:p>
      <w:pPr>
        <w:spacing w:after="0" w:line="225"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I/We, having become entitled in consequence of the [death/bankruptcy] of [name and address of deceased/bankrupt Member] to [number] share(s) standing in the Register of Members of the Company in the name of the said [name of deceased/bankrupt Member] instead of being registered myself/ourselves, elect to have [name of transferee] (the “Transferee”) registered as a transferee of such share(s) and I/we do hereby accordingly transfer the said share(s) to the Transferee to hold the same unto the Transferee, his or her executors, administrators and assigns, subject to the conditions on which the same were held at the time of the execution hereof; and the Transferee does hereby agree to take the said share(s) subject to the same conditions.</w:t>
      </w:r>
    </w:p>
    <w:p>
      <w:pPr>
        <w:spacing w:after="0" w:line="193"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DATED this [ ] day of [ ], 20[ ]</w:t>
            </w: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rPr>
              <w:t>Signed by:</w:t>
            </w:r>
          </w:p>
        </w:tc>
        <w:tc>
          <w:tcPr>
            <w:tcW w:w="5600" w:type="dxa"/>
            <w:vAlign w:val="bottom"/>
          </w:tcPr>
          <w:p>
            <w:pPr>
              <w:spacing w:after="0"/>
              <w:rPr>
                <w:sz w:val="20"/>
                <w:szCs w:val="20"/>
                <w:color w:val="auto"/>
              </w:rPr>
            </w:pPr>
            <w:r>
              <w:rPr>
                <w:rFonts w:ascii="Arial" w:cs="Arial" w:eastAsia="Arial" w:hAnsi="Arial"/>
                <w:sz w:val="18"/>
                <w:szCs w:val="18"/>
                <w:color w:val="auto"/>
              </w:rPr>
              <w:t>In the presence of:</w:t>
            </w:r>
          </w:p>
        </w:tc>
        <w:tc>
          <w:tcPr>
            <w:tcW w:w="0" w:type="dxa"/>
            <w:vAlign w:val="bottom"/>
          </w:tcPr>
          <w:p>
            <w:pPr>
              <w:spacing w:after="0"/>
              <w:rPr>
                <w:sz w:val="1"/>
                <w:szCs w:val="1"/>
                <w:color w:val="auto"/>
              </w:rPr>
            </w:pPr>
          </w:p>
        </w:tc>
      </w:tr>
      <w:tr>
        <w:trPr>
          <w:trHeight w:val="432"/>
        </w:trPr>
        <w:tc>
          <w:tcPr>
            <w:tcW w:w="4080" w:type="dxa"/>
            <w:vAlign w:val="bottom"/>
            <w:tcBorders>
              <w:bottom w:val="single" w:sz="8" w:color="auto"/>
            </w:tcBorders>
          </w:tcPr>
          <w:p>
            <w:pPr>
              <w:spacing w:after="0"/>
              <w:rPr>
                <w:sz w:val="24"/>
                <w:szCs w:val="24"/>
                <w:color w:val="auto"/>
              </w:rPr>
            </w:pPr>
          </w:p>
        </w:tc>
        <w:tc>
          <w:tcPr>
            <w:tcW w:w="200" w:type="dxa"/>
            <w:vAlign w:val="bottom"/>
            <w:vMerge w:val="restart"/>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Transferor</w:t>
            </w:r>
          </w:p>
        </w:tc>
        <w:tc>
          <w:tcPr>
            <w:tcW w:w="20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r>
        <w:trPr>
          <w:trHeight w:val="418"/>
        </w:trPr>
        <w:tc>
          <w:tcPr>
            <w:tcW w:w="4080" w:type="dxa"/>
            <w:vAlign w:val="bottom"/>
            <w:tcBorders>
              <w:bottom w:val="single" w:sz="8" w:color="auto"/>
            </w:tcBorders>
          </w:tcPr>
          <w:p>
            <w:pPr>
              <w:spacing w:after="0"/>
              <w:rPr>
                <w:sz w:val="24"/>
                <w:szCs w:val="24"/>
                <w:color w:val="auto"/>
              </w:rPr>
            </w:pPr>
          </w:p>
        </w:tc>
        <w:tc>
          <w:tcPr>
            <w:tcW w:w="200" w:type="dxa"/>
            <w:vAlign w:val="bottom"/>
            <w:vMerge w:val="restart"/>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Transferee</w:t>
            </w:r>
          </w:p>
        </w:tc>
        <w:tc>
          <w:tcPr>
            <w:tcW w:w="20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Witness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On the presentation of the foregoing materials to the Board, accompanied by such evidence as the Board may require to prove the title of the transferor, the transferee shall be registered as a Member. Notwithstanding the foregoing, the Board shall, in any case, have the same right to decline or suspend registration as it would have had in the case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transfer of the share by that Member before such Member’s death or bankruptcy, as the case may be.</w:t>
      </w:r>
    </w:p>
    <w:p>
      <w:pPr>
        <w:spacing w:after="0" w:line="221" w:lineRule="exact"/>
        <w:rPr>
          <w:sz w:val="20"/>
          <w:szCs w:val="20"/>
          <w:color w:val="auto"/>
        </w:rPr>
      </w:pPr>
    </w:p>
    <w:p>
      <w:pPr>
        <w:ind w:left="1300" w:right="20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color w:val="auto"/>
        </w:rPr>
        <w:t>Where two or more persons are registered as joint holders of a share or shares, then in the event of the death of any joint holder or holders the remaining joint holder or holders shall be absolutely entitled to such share or shares and the Company shall recognise no claim in respect of the estate of any joint holder except in the case of the last survivor of such joint holders.</w:t>
      </w:r>
    </w:p>
    <w:p>
      <w:pPr>
        <w:sectPr>
          <w:pgSz w:w="11900" w:h="16838" w:orient="portrait"/>
          <w:cols w:equalWidth="0" w:num="1">
            <w:col w:w="11420"/>
          </w:cols>
          <w:pgMar w:left="240" w:top="584" w:right="239" w:bottom="0" w:gutter="0" w:footer="0" w:header="0"/>
        </w:sectPr>
      </w:pPr>
    </w:p>
    <w:bookmarkStart w:id="167" w:name="page168"/>
    <w:bookmarkEnd w:id="167"/>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ALTERATION OF SHARE CAPITAL</w:t>
      </w:r>
    </w:p>
    <w:p>
      <w:pPr>
        <w:spacing w:after="0" w:line="225" w:lineRule="exact"/>
        <w:rPr>
          <w:sz w:val="20"/>
          <w:szCs w:val="20"/>
          <w:color w:val="auto"/>
        </w:rPr>
      </w:pPr>
    </w:p>
    <w:p>
      <w:pPr>
        <w:ind w:left="652" w:hanging="652"/>
        <w:spacing w:after="0"/>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Power to Alter Capital</w:t>
      </w:r>
    </w:p>
    <w:p>
      <w:pPr>
        <w:spacing w:after="0" w:line="225" w:lineRule="exact"/>
        <w:rPr>
          <w:rFonts w:ascii="Arial" w:cs="Arial" w:eastAsia="Arial" w:hAnsi="Arial"/>
          <w:sz w:val="18"/>
          <w:szCs w:val="18"/>
          <w:b w:val="1"/>
          <w:bCs w:val="1"/>
          <w:color w:val="auto"/>
        </w:rPr>
      </w:pPr>
    </w:p>
    <w:p>
      <w:pPr>
        <w:ind w:left="1292" w:right="18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The Company may if authorised by resolution of the Members increase, divide, consolidate, subdivide, change the currency denomination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diminish or otherwise alter or reduce its share capital in any manner permitted by the Act.</w:t>
      </w:r>
    </w:p>
    <w:p>
      <w:pPr>
        <w:spacing w:after="0" w:line="161" w:lineRule="exact"/>
        <w:rPr>
          <w:rFonts w:ascii="Arial" w:cs="Arial" w:eastAsia="Arial" w:hAnsi="Arial"/>
          <w:sz w:val="18"/>
          <w:szCs w:val="18"/>
          <w:b w:val="1"/>
          <w:bCs w:val="1"/>
          <w:color w:val="auto"/>
        </w:rPr>
      </w:pPr>
    </w:p>
    <w:p>
      <w:pPr>
        <w:ind w:left="1292" w:right="2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Where, on any alteration or reduction of share capital, fractions of shares or some other difficulty would arise, the Board may deal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resolve the same in such manner as it thinks fit.</w:t>
      </w:r>
    </w:p>
    <w:p>
      <w:pPr>
        <w:spacing w:after="0" w:line="161" w:lineRule="exact"/>
        <w:rPr>
          <w:rFonts w:ascii="Arial" w:cs="Arial" w:eastAsia="Arial" w:hAnsi="Arial"/>
          <w:sz w:val="18"/>
          <w:szCs w:val="18"/>
          <w:b w:val="1"/>
          <w:bCs w:val="1"/>
          <w:color w:val="auto"/>
        </w:rPr>
      </w:pPr>
    </w:p>
    <w:p>
      <w:pPr>
        <w:ind w:left="652" w:hanging="652"/>
        <w:spacing w:after="0"/>
        <w:tabs>
          <w:tab w:leader="none" w:pos="652"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 Attaching to Shares</w:t>
      </w:r>
    </w:p>
    <w:p>
      <w:pPr>
        <w:spacing w:after="0" w:line="225" w:lineRule="exact"/>
        <w:rPr>
          <w:rFonts w:ascii="Arial" w:cs="Arial" w:eastAsia="Arial" w:hAnsi="Arial"/>
          <w:sz w:val="18"/>
          <w:szCs w:val="18"/>
          <w:b w:val="1"/>
          <w:bCs w:val="1"/>
          <w:color w:val="auto"/>
        </w:rPr>
      </w:pPr>
    </w:p>
    <w:p>
      <w:pPr>
        <w:ind w:left="1292" w:right="40" w:hanging="648"/>
        <w:spacing w:after="0" w:line="292"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14.1 </w:t>
      </w:r>
      <w:r>
        <w:rPr>
          <w:rFonts w:ascii="Arial" w:cs="Arial" w:eastAsia="Arial" w:hAnsi="Arial"/>
          <w:sz w:val="16"/>
          <w:szCs w:val="16"/>
          <w:color w:val="auto"/>
        </w:rPr>
        <w:t>If, at any time, the share capital is divided into different classes of shares, the rights attached to any class (unless otherwise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issue of the shares of that class) may, whether or not the Company is being wound-up, be varied with the consent in writing of the holders of three-fourths of the issued shares of that class or with the sanction of a resolution passed by a majority of the votes cast at a separate general meeting of the holders of the shares of the class at which meeting the necessary quorum shall be two persons at least holding or representing by proxy one-third of the issued shares of the class. The rights conferred upon the holders of the shares of any class or series issued with preferred or other rights shall not, unless otherwise expressly provided by the terms of issue of the shares of that class or series, be deemed to be varied by the creation or issue of further shares ranking pari passu therewith.</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right="120" w:hanging="647"/>
        <w:spacing w:after="0" w:line="302" w:lineRule="auto"/>
        <w:tabs>
          <w:tab w:leader="none" w:pos="1272"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color w:val="auto"/>
        </w:rPr>
        <w:t>Notwithstanding the foregoing or any other provision of these Bye-laws, the Company shall not vary or alter the rights attaching to any class of shares if the Board, after taking into account any adjustments to or restrictions on exercise of voting rights under Bye-laws 33 and 34 (inclusive), determines in its sole discretion that any non de minimis adverse tax, regulatory or legal consequences to the Company, any subsidiary of the Company, or any direct or indirect holders of shares or its affiliates may result from such variation.</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DIVIDENDS AND CAPITALISATION</w:t>
      </w:r>
    </w:p>
    <w:p>
      <w:pPr>
        <w:spacing w:after="0" w:line="225"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5" w:lineRule="exact"/>
        <w:rPr>
          <w:rFonts w:ascii="Arial" w:cs="Arial" w:eastAsia="Arial" w:hAnsi="Arial"/>
          <w:sz w:val="18"/>
          <w:szCs w:val="18"/>
          <w:b w:val="1"/>
          <w:bCs w:val="1"/>
          <w:color w:val="auto"/>
        </w:rPr>
      </w:pPr>
    </w:p>
    <w:p>
      <w:pPr>
        <w:ind w:left="1292" w:right="40" w:hanging="648"/>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15.1 </w:t>
      </w:r>
      <w:r>
        <w:rPr>
          <w:rFonts w:ascii="Arial" w:cs="Arial" w:eastAsia="Arial" w:hAnsi="Arial"/>
          <w:sz w:val="17"/>
          <w:szCs w:val="17"/>
          <w:color w:val="auto"/>
        </w:rPr>
        <w:t>The Board may, subject to these Bye-laws and in accordance with the Act, declare a dividend to be paid to the Members, in proportion to</w:t>
      </w:r>
      <w:r>
        <w:rPr>
          <w:rFonts w:ascii="Arial" w:cs="Arial" w:eastAsia="Arial" w:hAnsi="Arial"/>
          <w:sz w:val="17"/>
          <w:szCs w:val="17"/>
          <w:b w:val="1"/>
          <w:bCs w:val="1"/>
          <w:color w:val="auto"/>
        </w:rPr>
        <w:t xml:space="preserve"> </w:t>
      </w:r>
      <w:r>
        <w:rPr>
          <w:rFonts w:ascii="Arial" w:cs="Arial" w:eastAsia="Arial" w:hAnsi="Arial"/>
          <w:sz w:val="17"/>
          <w:szCs w:val="17"/>
          <w:color w:val="auto"/>
        </w:rPr>
        <w:t>the number of shares held by them, and such dividend may be paid in cash or wholly or partly in specie in which case the Board may fix the value for distribution in specie of any assets. No unpaid dividend shall bear interest as against the Company.</w:t>
      </w:r>
    </w:p>
    <w:p>
      <w:pPr>
        <w:spacing w:after="0" w:line="158"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The Board may fix any date as the record date for determining the Members entitled to receive any dividend.</w:t>
      </w:r>
    </w:p>
    <w:p>
      <w:pPr>
        <w:spacing w:after="0" w:line="225" w:lineRule="exact"/>
        <w:rPr>
          <w:rFonts w:ascii="Arial" w:cs="Arial" w:eastAsia="Arial" w:hAnsi="Arial"/>
          <w:sz w:val="18"/>
          <w:szCs w:val="18"/>
          <w:b w:val="1"/>
          <w:bCs w:val="1"/>
          <w:color w:val="auto"/>
        </w:rPr>
      </w:pPr>
    </w:p>
    <w:p>
      <w:pPr>
        <w:ind w:left="1292" w:right="1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The Company may pay dividends in proportion to the amount paid up on each share where a larger amount is paid up on some shares than</w:t>
      </w:r>
      <w:r>
        <w:rPr>
          <w:rFonts w:ascii="Arial" w:cs="Arial" w:eastAsia="Arial" w:hAnsi="Arial"/>
          <w:sz w:val="18"/>
          <w:szCs w:val="18"/>
          <w:b w:val="1"/>
          <w:bCs w:val="1"/>
          <w:color w:val="auto"/>
        </w:rPr>
        <w:t xml:space="preserve"> </w:t>
      </w:r>
      <w:r>
        <w:rPr>
          <w:rFonts w:ascii="Arial" w:cs="Arial" w:eastAsia="Arial" w:hAnsi="Arial"/>
          <w:sz w:val="18"/>
          <w:szCs w:val="18"/>
          <w:color w:val="auto"/>
        </w:rPr>
        <w:t>on others.</w:t>
      </w:r>
    </w:p>
    <w:p>
      <w:pPr>
        <w:spacing w:after="0" w:line="161" w:lineRule="exact"/>
        <w:rPr>
          <w:rFonts w:ascii="Arial" w:cs="Arial" w:eastAsia="Arial" w:hAnsi="Arial"/>
          <w:sz w:val="18"/>
          <w:szCs w:val="18"/>
          <w:b w:val="1"/>
          <w:bCs w:val="1"/>
          <w:color w:val="auto"/>
        </w:rPr>
      </w:pPr>
    </w:p>
    <w:p>
      <w:pPr>
        <w:ind w:left="1292"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The Board may declare and make such other distributions (in cash or in specie) to the Members as may be lawfully made out of the assets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No unpaid distribution shall bear interest as against the Company.</w:t>
      </w:r>
    </w:p>
    <w:p>
      <w:pPr>
        <w:spacing w:after="0" w:line="161" w:lineRule="exact"/>
        <w:rPr>
          <w:rFonts w:ascii="Arial" w:cs="Arial" w:eastAsia="Arial" w:hAnsi="Arial"/>
          <w:sz w:val="18"/>
          <w:szCs w:val="18"/>
          <w:b w:val="1"/>
          <w:bCs w:val="1"/>
          <w:color w:val="auto"/>
        </w:rPr>
      </w:pPr>
    </w:p>
    <w:p>
      <w:pPr>
        <w:ind w:left="652" w:hanging="652"/>
        <w:spacing w:after="0"/>
        <w:tabs>
          <w:tab w:leader="none" w:pos="6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Power to Set Aside Profits</w:t>
      </w:r>
    </w:p>
    <w:p>
      <w:pPr>
        <w:spacing w:after="0" w:line="229" w:lineRule="exact"/>
        <w:rPr>
          <w:sz w:val="20"/>
          <w:szCs w:val="20"/>
          <w:color w:val="auto"/>
        </w:rPr>
      </w:pPr>
    </w:p>
    <w:p>
      <w:pPr>
        <w:ind w:left="652" w:right="60"/>
        <w:spacing w:after="0" w:line="277" w:lineRule="auto"/>
        <w:rPr>
          <w:sz w:val="20"/>
          <w:szCs w:val="20"/>
          <w:color w:val="auto"/>
        </w:rPr>
      </w:pPr>
      <w:r>
        <w:rPr>
          <w:rFonts w:ascii="Arial" w:cs="Arial" w:eastAsia="Arial" w:hAnsi="Arial"/>
          <w:sz w:val="18"/>
          <w:szCs w:val="18"/>
          <w:color w:val="auto"/>
        </w:rPr>
        <w:t>The Board may, before declaring a dividend, set aside out of the surplus or profits of the Company, such amount as it thinks proper as a reserve to be used to meet contingencies or for equalising dividends or for any other purpose.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225" w:lineRule="exact"/>
        <w:rPr>
          <w:rFonts w:ascii="Arial" w:cs="Arial" w:eastAsia="Arial" w:hAnsi="Arial"/>
          <w:sz w:val="18"/>
          <w:szCs w:val="18"/>
          <w:b w:val="1"/>
          <w:bCs w:val="1"/>
          <w:color w:val="auto"/>
        </w:rPr>
      </w:pPr>
    </w:p>
    <w:p>
      <w:pPr>
        <w:ind w:left="1292" w:hanging="648"/>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17.1 </w:t>
      </w:r>
      <w:r>
        <w:rPr>
          <w:rFonts w:ascii="Arial" w:cs="Arial" w:eastAsia="Arial" w:hAnsi="Arial"/>
          <w:sz w:val="17"/>
          <w:szCs w:val="17"/>
          <w:color w:val="auto"/>
        </w:rPr>
        <w:t>Any dividend or other moneys payable in respect of a share may be paid by cheque or draft sent through the post directed to the address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Member in the Register of Members (in the case of joint Members, the senior joint holder, seniority being determined by the order in which the names stand in the Register of Members), or by direct transfer to such bank account as such Member may direct. Every such cheque shall be made payable to the order of the person to whom it is sent or to such persons as the Member may direct, and payment of the cheque or draft shall be a good discharge to the Company. Every such cheque or draft shall be sent at the risk of the person entitled to the money represented thereby. If two or more persons are registered as joint holders of any shares any one of them can give an effectual receipt for any dividend paid in respect of such shares.</w:t>
      </w:r>
    </w:p>
    <w:p>
      <w:pPr>
        <w:spacing w:after="0" w:line="172" w:lineRule="exact"/>
        <w:rPr>
          <w:rFonts w:ascii="Arial" w:cs="Arial" w:eastAsia="Arial" w:hAnsi="Arial"/>
          <w:sz w:val="18"/>
          <w:szCs w:val="18"/>
          <w:b w:val="1"/>
          <w:bCs w:val="1"/>
          <w:color w:val="auto"/>
        </w:rPr>
      </w:pPr>
    </w:p>
    <w:p>
      <w:pPr>
        <w:ind w:left="1292" w:right="2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The Board may deduct from the dividends or distributions payable to any Member all moneys due from such Member to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calls or otherwise.</w:t>
      </w:r>
    </w:p>
    <w:p>
      <w:pPr>
        <w:spacing w:after="0" w:line="161" w:lineRule="exact"/>
        <w:rPr>
          <w:rFonts w:ascii="Arial" w:cs="Arial" w:eastAsia="Arial" w:hAnsi="Arial"/>
          <w:sz w:val="18"/>
          <w:szCs w:val="18"/>
          <w:b w:val="1"/>
          <w:bCs w:val="1"/>
          <w:color w:val="auto"/>
        </w:rPr>
      </w:pPr>
    </w:p>
    <w:p>
      <w:pPr>
        <w:ind w:left="1292" w:right="260" w:hanging="648"/>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17.3 </w:t>
      </w:r>
      <w:r>
        <w:rPr>
          <w:rFonts w:ascii="Arial" w:cs="Arial" w:eastAsia="Arial" w:hAnsi="Arial"/>
          <w:sz w:val="17"/>
          <w:szCs w:val="17"/>
          <w:color w:val="auto"/>
        </w:rPr>
        <w:t>Any dividend and/or other moneys payable in respect of a share which has remained unclaimed for 7 years from the date when it became</w:t>
      </w:r>
      <w:r>
        <w:rPr>
          <w:rFonts w:ascii="Arial" w:cs="Arial" w:eastAsia="Arial" w:hAnsi="Arial"/>
          <w:sz w:val="17"/>
          <w:szCs w:val="17"/>
          <w:b w:val="1"/>
          <w:bCs w:val="1"/>
          <w:color w:val="auto"/>
        </w:rPr>
        <w:t xml:space="preserve"> </w:t>
      </w:r>
      <w:r>
        <w:rPr>
          <w:rFonts w:ascii="Arial" w:cs="Arial" w:eastAsia="Arial" w:hAnsi="Arial"/>
          <w:sz w:val="17"/>
          <w:szCs w:val="17"/>
          <w:color w:val="auto"/>
        </w:rPr>
        <w:t>due for payment shall, if the Board so resolves, be forfeited and cease to remain owing by the Company. The payment of any unclaimed dividend or other moneys payable in respect of a share may (but need not) be paid by the Company into an account separate from the Company’s own account. Such payment shall not constitute the Company a trustee in respect thereof.</w:t>
      </w:r>
    </w:p>
    <w:p>
      <w:pPr>
        <w:spacing w:after="0" w:line="164" w:lineRule="exact"/>
        <w:rPr>
          <w:rFonts w:ascii="Arial" w:cs="Arial" w:eastAsia="Arial" w:hAnsi="Arial"/>
          <w:sz w:val="18"/>
          <w:szCs w:val="18"/>
          <w:b w:val="1"/>
          <w:bCs w:val="1"/>
          <w:color w:val="auto"/>
        </w:rPr>
      </w:pPr>
    </w:p>
    <w:p>
      <w:pPr>
        <w:ind w:left="1292" w:right="40" w:hanging="648"/>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17.4 </w:t>
      </w:r>
      <w:r>
        <w:rPr>
          <w:rFonts w:ascii="Arial" w:cs="Arial" w:eastAsia="Arial" w:hAnsi="Arial"/>
          <w:sz w:val="17"/>
          <w:szCs w:val="17"/>
          <w:color w:val="auto"/>
        </w:rPr>
        <w:t>The Company shall be entitled to cease sending dividend cheques and drafts by post or otherwise to a Member if those instruments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returned undelivered to, or left uncashed by, that Member on at least two consecutive occasions, or, following one such occasion, reasonable enquiries have failed to establish the Member’s new address. The entitlement conferred on the Company by this Bye-law 17.4 in respect of any Member shall cease if the Member claims a dividend or cashes a dividend cheque or draft.</w:t>
      </w:r>
    </w:p>
    <w:p>
      <w:pPr>
        <w:sectPr>
          <w:pgSz w:w="11900" w:h="16931" w:orient="portrait"/>
          <w:cols w:equalWidth="0" w:num="1">
            <w:col w:w="11412"/>
          </w:cols>
          <w:pgMar w:left="248" w:top="122" w:right="239" w:bottom="0" w:gutter="0" w:footer="0" w:header="0"/>
        </w:sectPr>
      </w:pPr>
    </w:p>
    <w:bookmarkStart w:id="168" w:name="page169"/>
    <w:bookmarkEnd w:id="168"/>
    <w:p>
      <w:pPr>
        <w:ind w:left="652" w:hanging="652"/>
        <w:spacing w:after="0"/>
        <w:tabs>
          <w:tab w:leader="none" w:pos="6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225" w:lineRule="exact"/>
        <w:rPr>
          <w:rFonts w:ascii="Arial" w:cs="Arial" w:eastAsia="Arial" w:hAnsi="Arial"/>
          <w:sz w:val="18"/>
          <w:szCs w:val="18"/>
          <w:b w:val="1"/>
          <w:bCs w:val="1"/>
          <w:color w:val="auto"/>
        </w:rPr>
      </w:pPr>
    </w:p>
    <w:p>
      <w:pPr>
        <w:ind w:left="1292" w:right="3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The Board may capitalise any amount for the time being standing to the credit of any of the Company’s share premium or other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or to the credit of the profit and</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92" w:right="320"/>
        <w:spacing w:after="0" w:line="342" w:lineRule="auto"/>
        <w:rPr>
          <w:sz w:val="20"/>
          <w:szCs w:val="20"/>
          <w:color w:val="auto"/>
        </w:rPr>
      </w:pPr>
      <w:r>
        <w:rPr>
          <w:rFonts w:ascii="Arial" w:cs="Arial" w:eastAsia="Arial" w:hAnsi="Arial"/>
          <w:sz w:val="16"/>
          <w:szCs w:val="16"/>
          <w:color w:val="auto"/>
        </w:rPr>
        <w:t>loss account or otherwise available for distribution by applying such amount in paying up unissued shares to be allotted as fully paid up bonus shares pro-rata (except in connection with the conversion of shares of one class to shares of another class) to the Members.</w:t>
      </w:r>
    </w:p>
    <w:p>
      <w:pPr>
        <w:spacing w:after="0" w:line="120" w:lineRule="exact"/>
        <w:rPr>
          <w:sz w:val="20"/>
          <w:szCs w:val="20"/>
          <w:color w:val="auto"/>
        </w:rPr>
      </w:pPr>
    </w:p>
    <w:p>
      <w:pPr>
        <w:ind w:left="1292" w:right="6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8"/>
          <w:szCs w:val="18"/>
          <w:color w:val="auto"/>
        </w:rPr>
        <w:t>The Board may capitalise any amount for the time being standing to the credit of a reserve account or amounts otherwise available for dividend or distribution by applying such amounts in paying up in full, partly or nil paid up shares of those Members who would have been entitled to such amounts if they were distributed by way of dividend or distribution.</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MEETINGS OF MEMBERS</w:t>
      </w:r>
    </w:p>
    <w:p>
      <w:pPr>
        <w:spacing w:after="0" w:line="225" w:lineRule="exact"/>
        <w:rPr>
          <w:sz w:val="20"/>
          <w:szCs w:val="20"/>
          <w:color w:val="auto"/>
        </w:rPr>
      </w:pPr>
    </w:p>
    <w:p>
      <w:pPr>
        <w:ind w:left="652" w:hanging="652"/>
        <w:spacing w:after="0"/>
        <w:tabs>
          <w:tab w:leader="none" w:pos="6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229" w:lineRule="exact"/>
        <w:rPr>
          <w:rFonts w:ascii="Arial" w:cs="Arial" w:eastAsia="Arial" w:hAnsi="Arial"/>
          <w:sz w:val="18"/>
          <w:szCs w:val="18"/>
          <w:b w:val="1"/>
          <w:bCs w:val="1"/>
          <w:color w:val="auto"/>
        </w:rPr>
      </w:pPr>
    </w:p>
    <w:p>
      <w:pPr>
        <w:ind w:left="652"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annual general meeting of the Company shall be held in each year (other than the year of incorporation) at such time and place as the Chief Executive Officer or the Chairman (if any) or any two Directors or any Director and the Secretary or the Board shall appoint.</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Special General Meetings</w:t>
      </w:r>
    </w:p>
    <w:p>
      <w:pPr>
        <w:spacing w:after="0" w:line="229" w:lineRule="exact"/>
        <w:rPr>
          <w:rFonts w:ascii="Arial" w:cs="Arial" w:eastAsia="Arial" w:hAnsi="Arial"/>
          <w:sz w:val="18"/>
          <w:szCs w:val="18"/>
          <w:b w:val="1"/>
          <w:bCs w:val="1"/>
          <w:color w:val="auto"/>
        </w:rPr>
      </w:pPr>
    </w:p>
    <w:p>
      <w:pPr>
        <w:ind w:left="652"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Chief Executive Officer or the Chairman (if any) or any two Directors or any Director and the Secretary or the Board may convene a special general meeting whenever in their judgment such a meeting is necessary.</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Requisitioned General Meetings</w:t>
      </w:r>
    </w:p>
    <w:p>
      <w:pPr>
        <w:spacing w:after="0" w:line="229" w:lineRule="exact"/>
        <w:rPr>
          <w:rFonts w:ascii="Arial" w:cs="Arial" w:eastAsia="Arial" w:hAnsi="Arial"/>
          <w:sz w:val="18"/>
          <w:szCs w:val="18"/>
          <w:b w:val="1"/>
          <w:bCs w:val="1"/>
          <w:color w:val="auto"/>
        </w:rPr>
      </w:pPr>
    </w:p>
    <w:p>
      <w:pPr>
        <w:ind w:left="65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Board shall, on the requisition of Members holding at the date of the deposit of the requisition not less than one-tenth of such of the paid-up share capital of the Company as at the date of the deposit carries the right to vote at general meetings, forthwith proceed to convene a special general meeting and the provisions of the Act shall apply.</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5" w:lineRule="exact"/>
        <w:rPr>
          <w:sz w:val="20"/>
          <w:szCs w:val="20"/>
          <w:color w:val="auto"/>
        </w:rPr>
      </w:pPr>
    </w:p>
    <w:p>
      <w:pPr>
        <w:ind w:left="1292"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At least 5 days’ notice of an annual general meeting shall be given to each Member entitled to attend and vote thereat, stating the date, place and time at which the meeting</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620"/>
        <w:spacing w:after="0" w:line="277" w:lineRule="auto"/>
        <w:rPr>
          <w:sz w:val="20"/>
          <w:szCs w:val="20"/>
          <w:color w:val="auto"/>
        </w:rPr>
      </w:pPr>
      <w:r>
        <w:rPr>
          <w:rFonts w:ascii="Arial" w:cs="Arial" w:eastAsia="Arial" w:hAnsi="Arial"/>
          <w:sz w:val="18"/>
          <w:szCs w:val="18"/>
          <w:color w:val="auto"/>
        </w:rPr>
        <w:t>is to be held, that the election of Directors will take place thereat, and as far as practicable, the other business to be conducted at the meeting.</w:t>
      </w:r>
    </w:p>
    <w:p>
      <w:pPr>
        <w:spacing w:after="0" w:line="166" w:lineRule="exact"/>
        <w:rPr>
          <w:sz w:val="20"/>
          <w:szCs w:val="20"/>
          <w:color w:val="auto"/>
        </w:rPr>
      </w:pPr>
    </w:p>
    <w:p>
      <w:pPr>
        <w:ind w:left="1292" w:right="8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color w:val="auto"/>
        </w:rPr>
        <w:t>At least 5 days’ notice of a special general meeting shall be given to each Member entitled to attend and vote thereat, stating the date, time, place and the general nature of the business to be considered at the meeting.</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color w:val="auto"/>
        </w:rPr>
        <w:t>The Board may fix any date as the record date for determining the Members entitled to receive notice of and to vote at any general meeting.</w:t>
      </w:r>
    </w:p>
    <w:p>
      <w:pPr>
        <w:spacing w:after="0" w:line="225" w:lineRule="exact"/>
        <w:rPr>
          <w:sz w:val="20"/>
          <w:szCs w:val="20"/>
          <w:color w:val="auto"/>
        </w:rPr>
      </w:pPr>
    </w:p>
    <w:p>
      <w:pPr>
        <w:ind w:left="1292" w:right="140" w:hanging="647"/>
        <w:spacing w:after="0" w:line="302" w:lineRule="auto"/>
        <w:tabs>
          <w:tab w:leader="none" w:pos="1272"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A general meeting shall, notwithstanding that it is called on shorter notice than that specified in these Bye-laws, be deemed to have been properly called if it is so agreed by (i) all the Members entitled to attend and vote thereat in the case of an annual general meeting; and (ii) by a majority in number of the Members having the right to attend and vote at the meeting, being a majority together holding not less than 95% in nominal value of the shares giving a right to attend and vote thereat in the case of a special general meeting.</w:t>
      </w:r>
    </w:p>
    <w:p>
      <w:pPr>
        <w:spacing w:after="0" w:line="154" w:lineRule="exact"/>
        <w:rPr>
          <w:sz w:val="20"/>
          <w:szCs w:val="20"/>
          <w:color w:val="auto"/>
        </w:rPr>
      </w:pPr>
    </w:p>
    <w:p>
      <w:pPr>
        <w:ind w:left="1292" w:right="8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The accidental omission to give notice of a general meeting to, or the non-receipt of a notice of a general meeting by, any person entitled to receive notice shall not invalidate the proceedings at that meeting.</w:t>
      </w:r>
    </w:p>
    <w:p>
      <w:pPr>
        <w:spacing w:after="0" w:line="170" w:lineRule="exact"/>
        <w:rPr>
          <w:sz w:val="20"/>
          <w:szCs w:val="20"/>
          <w:color w:val="auto"/>
        </w:rPr>
      </w:pPr>
    </w:p>
    <w:p>
      <w:pPr>
        <w:ind w:left="652" w:hanging="652"/>
        <w:spacing w:after="0"/>
        <w:tabs>
          <w:tab w:leader="none" w:pos="6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Giving Notice and Access</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A notice may be given by the Company to a Member:</w:t>
      </w:r>
    </w:p>
    <w:p>
      <w:pPr>
        <w:spacing w:after="0" w:line="229" w:lineRule="exact"/>
        <w:rPr>
          <w:rFonts w:ascii="Arial" w:cs="Arial" w:eastAsia="Arial" w:hAnsi="Arial"/>
          <w:sz w:val="18"/>
          <w:szCs w:val="18"/>
          <w:b w:val="1"/>
          <w:bCs w:val="1"/>
          <w:color w:val="auto"/>
        </w:rPr>
      </w:pPr>
    </w:p>
    <w:p>
      <w:pPr>
        <w:ind w:left="1932" w:hanging="635"/>
        <w:spacing w:after="0"/>
        <w:tabs>
          <w:tab w:leader="none" w:pos="1932" w:val="left"/>
        </w:tabs>
        <w:numPr>
          <w:ilvl w:val="1"/>
          <w:numId w:val="82"/>
        </w:numPr>
        <w:rPr>
          <w:rFonts w:ascii="Arial" w:cs="Arial" w:eastAsia="Arial" w:hAnsi="Arial"/>
          <w:sz w:val="16"/>
          <w:szCs w:val="16"/>
          <w:color w:val="auto"/>
        </w:rPr>
      </w:pPr>
      <w:r>
        <w:rPr>
          <w:rFonts w:ascii="Arial" w:cs="Arial" w:eastAsia="Arial" w:hAnsi="Arial"/>
          <w:sz w:val="16"/>
          <w:szCs w:val="16"/>
          <w:color w:val="auto"/>
        </w:rPr>
        <w:t>by delivering it to such Member in person, in which case the notice shall be deemed to have been served upon such delivery; or</w:t>
      </w:r>
    </w:p>
    <w:p>
      <w:pPr>
        <w:spacing w:after="0" w:line="248" w:lineRule="exact"/>
        <w:rPr>
          <w:rFonts w:ascii="Arial" w:cs="Arial" w:eastAsia="Arial" w:hAnsi="Arial"/>
          <w:sz w:val="16"/>
          <w:szCs w:val="16"/>
          <w:color w:val="auto"/>
        </w:rPr>
      </w:pPr>
    </w:p>
    <w:p>
      <w:pPr>
        <w:ind w:left="1952" w:right="20" w:hanging="655"/>
        <w:spacing w:after="0" w:line="277" w:lineRule="auto"/>
        <w:tabs>
          <w:tab w:leader="none" w:pos="1959" w:val="left"/>
        </w:tabs>
        <w:numPr>
          <w:ilvl w:val="1"/>
          <w:numId w:val="82"/>
        </w:numPr>
        <w:rPr>
          <w:rFonts w:ascii="Arial" w:cs="Arial" w:eastAsia="Arial" w:hAnsi="Arial"/>
          <w:sz w:val="18"/>
          <w:szCs w:val="18"/>
          <w:color w:val="auto"/>
        </w:rPr>
      </w:pPr>
      <w:r>
        <w:rPr>
          <w:rFonts w:ascii="Arial" w:cs="Arial" w:eastAsia="Arial" w:hAnsi="Arial"/>
          <w:sz w:val="18"/>
          <w:szCs w:val="18"/>
          <w:color w:val="auto"/>
        </w:rPr>
        <w:t>by sending it by post to such Member’s address in the Register of Members, in which case the notice shall be deemed to have been served seven days after the date on which it is deposited, with postage prepaid, in the mail; or</w:t>
      </w:r>
    </w:p>
    <w:p>
      <w:pPr>
        <w:spacing w:after="0" w:line="170" w:lineRule="exact"/>
        <w:rPr>
          <w:rFonts w:ascii="Arial" w:cs="Arial" w:eastAsia="Arial" w:hAnsi="Arial"/>
          <w:sz w:val="18"/>
          <w:szCs w:val="18"/>
          <w:color w:val="auto"/>
        </w:rPr>
      </w:pPr>
    </w:p>
    <w:p>
      <w:pPr>
        <w:ind w:left="1952" w:right="220" w:hanging="655"/>
        <w:spacing w:after="0" w:line="308" w:lineRule="auto"/>
        <w:tabs>
          <w:tab w:leader="none" w:pos="1963" w:val="left"/>
        </w:tabs>
        <w:numPr>
          <w:ilvl w:val="1"/>
          <w:numId w:val="82"/>
        </w:numPr>
        <w:rPr>
          <w:rFonts w:ascii="Arial" w:cs="Arial" w:eastAsia="Arial" w:hAnsi="Arial"/>
          <w:sz w:val="17"/>
          <w:szCs w:val="17"/>
          <w:color w:val="auto"/>
        </w:rPr>
      </w:pPr>
      <w:r>
        <w:rPr>
          <w:rFonts w:ascii="Arial" w:cs="Arial" w:eastAsia="Arial" w:hAnsi="Arial"/>
          <w:sz w:val="17"/>
          <w:szCs w:val="17"/>
          <w:color w:val="auto"/>
        </w:rPr>
        <w:t>by sending it by courier to such Member’s address in the Register of members, in which case the notice shall be deemed to have been served two days after the date on which it is deposited, with courier fees paid, with the courier service; or</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37" w:right="259" w:bottom="491" w:gutter="0" w:footer="0" w:header="0"/>
        </w:sectPr>
      </w:pPr>
    </w:p>
    <w:bookmarkStart w:id="169" w:name="page170"/>
    <w:bookmarkEnd w:id="169"/>
    <w:p>
      <w:pPr>
        <w:spacing w:after="0" w:line="79" w:lineRule="exact"/>
        <w:rPr>
          <w:sz w:val="20"/>
          <w:szCs w:val="20"/>
          <w:color w:val="auto"/>
        </w:rPr>
      </w:pPr>
    </w:p>
    <w:p>
      <w:pPr>
        <w:ind w:left="1952" w:right="240" w:hanging="655"/>
        <w:spacing w:after="0" w:line="264" w:lineRule="auto"/>
        <w:tabs>
          <w:tab w:leader="none" w:pos="19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transmitting it by electronic means (including facsimile and electronic mail, but not telephone) in accordance with such directions as may be given by such Member to the Company for such purpose, in which case the notice shall be deemed to have been served at the time that it would in the ordinary course be transmitted; or</w:t>
      </w:r>
    </w:p>
    <w:p>
      <w:pPr>
        <w:spacing w:after="0" w:line="181" w:lineRule="exact"/>
        <w:rPr>
          <w:rFonts w:ascii="Arial" w:cs="Arial" w:eastAsia="Arial" w:hAnsi="Arial"/>
          <w:sz w:val="18"/>
          <w:szCs w:val="18"/>
          <w:color w:val="auto"/>
        </w:rPr>
      </w:pPr>
    </w:p>
    <w:p>
      <w:pPr>
        <w:ind w:left="1952" w:right="140" w:hanging="655"/>
        <w:spacing w:after="0" w:line="264" w:lineRule="auto"/>
        <w:tabs>
          <w:tab w:leader="none" w:pos="19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delivering it in accordance with the provisions of the Act pertaining to delivery of electronic records by publication on a website, in which case the notice shall be deemed to have been served at the time when the requirements of the Act in that regard have been met; or</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accordance with Bye-law 23.4.</w:t>
      </w:r>
    </w:p>
    <w:p>
      <w:pPr>
        <w:spacing w:after="0" w:line="221" w:lineRule="exact"/>
        <w:rPr>
          <w:sz w:val="20"/>
          <w:szCs w:val="20"/>
          <w:color w:val="auto"/>
        </w:rPr>
      </w:pPr>
    </w:p>
    <w:p>
      <w:pPr>
        <w:ind w:left="1292" w:right="20" w:hanging="647"/>
        <w:spacing w:after="0" w:line="342" w:lineRule="auto"/>
        <w:tabs>
          <w:tab w:leader="none" w:pos="1272"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Any notice required to be given to a Member shall, with respect to any shares held jointly by two or more persons, be given to whichever of such persons is named first in the Register of Members and notice so given shall be sufficient notice to all the holders of such shares.</w:t>
      </w:r>
    </w:p>
    <w:p>
      <w:pPr>
        <w:spacing w:after="0" w:line="124" w:lineRule="exact"/>
        <w:rPr>
          <w:sz w:val="20"/>
          <w:szCs w:val="20"/>
          <w:color w:val="auto"/>
        </w:rPr>
      </w:pPr>
    </w:p>
    <w:p>
      <w:pPr>
        <w:ind w:left="1292" w:hanging="647"/>
        <w:spacing w:after="0" w:line="308" w:lineRule="auto"/>
        <w:tabs>
          <w:tab w:leader="none" w:pos="1272"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In proving service under paragraphs 23.1 (b), (c) and (d), it shall be sufficient to prove that the notice was properly addressed and prepaid, if posted or sent by courier, and the time when it was posted, deposited with the courier, or transmitted by electronic means.</w:t>
      </w:r>
    </w:p>
    <w:p>
      <w:pPr>
        <w:spacing w:after="0" w:line="147" w:lineRule="exact"/>
        <w:rPr>
          <w:sz w:val="20"/>
          <w:szCs w:val="20"/>
          <w:color w:val="auto"/>
        </w:rPr>
      </w:pPr>
    </w:p>
    <w:p>
      <w:pPr>
        <w:ind w:left="1292" w:right="100" w:hanging="647"/>
        <w:spacing w:after="0" w:line="257" w:lineRule="auto"/>
        <w:tabs>
          <w:tab w:leader="none" w:pos="1272"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Where a Member indicates his consent (in a form and manner satisfactory to the Board) to receive information or documents by accessing them on a website rather than by other means, or receipt in this manner is otherwise permitted by the Act, the Board may deliver such information or documents by notifying the Member of their availability and including therein the address of the website, the place on the website where the information or document may be found, and instructions as to how the information or document may be accessed on the website.</w:t>
      </w:r>
    </w:p>
    <w:p>
      <w:pPr>
        <w:spacing w:after="0" w:line="188" w:lineRule="exact"/>
        <w:rPr>
          <w:sz w:val="20"/>
          <w:szCs w:val="20"/>
          <w:color w:val="auto"/>
        </w:rPr>
      </w:pPr>
    </w:p>
    <w:p>
      <w:pPr>
        <w:ind w:left="1292" w:right="120" w:hanging="647"/>
        <w:spacing w:after="0" w:line="308" w:lineRule="auto"/>
        <w:tabs>
          <w:tab w:leader="none" w:pos="1272"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color w:val="auto"/>
        </w:rPr>
        <w:t>In the case of information or documents delivered in accordance with Bye-law 23.4, service shall be deemed to have occurred when (i) the Member is notified in accordance with that Bye-law; and (ii) the information or document is published on the website.</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right="7300" w:hanging="652"/>
        <w:spacing w:after="0" w:line="503" w:lineRule="auto"/>
        <w:tabs>
          <w:tab w:leader="none" w:pos="647"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Nominations and Member Business 24.1 </w:t>
      </w:r>
      <w:r>
        <w:rPr>
          <w:rFonts w:ascii="Arial" w:cs="Arial" w:eastAsia="Arial" w:hAnsi="Arial"/>
          <w:sz w:val="18"/>
          <w:szCs w:val="18"/>
          <w:color w:val="auto"/>
        </w:rPr>
        <w:t>Annual General Meetings</w:t>
      </w:r>
    </w:p>
    <w:p>
      <w:pPr>
        <w:ind w:left="1952" w:right="60" w:hanging="655"/>
        <w:spacing w:after="0" w:line="279" w:lineRule="auto"/>
        <w:tabs>
          <w:tab w:leader="none" w:pos="1949" w:val="left"/>
        </w:tabs>
        <w:numPr>
          <w:ilvl w:val="1"/>
          <w:numId w:val="84"/>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or the proposal of other business to be transacted by the Members may be made at an annual general meeting only (A) pursuant to the Company’s notice of meeting (or any supplement thereto), (B) by or at the direction of the Board or (C) subject to any applicable law, by Members of record at the time of giving of notice as provided for in this Bye-law 24.1 and who comply with the notice procedures set forth in this Bye-law 24.1;</w:t>
      </w:r>
    </w:p>
    <w:p>
      <w:pPr>
        <w:spacing w:after="0" w:line="171" w:lineRule="exact"/>
        <w:rPr>
          <w:rFonts w:ascii="Arial" w:cs="Arial" w:eastAsia="Arial" w:hAnsi="Arial"/>
          <w:sz w:val="17"/>
          <w:szCs w:val="17"/>
          <w:color w:val="auto"/>
        </w:rPr>
      </w:pPr>
    </w:p>
    <w:p>
      <w:pPr>
        <w:ind w:left="1952" w:right="60" w:hanging="655"/>
        <w:spacing w:after="0" w:line="287" w:lineRule="auto"/>
        <w:tabs>
          <w:tab w:leader="none" w:pos="1959"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general meeting by a Member pursuant to clause (C) of Bye-law 24.1(a), the Member must have given timely notice thereof in writing to the Secretary and any such proposed business must constitute a proper matter for Member action. To be timely, a Member’s notice shall be delivered to or mailed and received by the Secretary at the registered office of the Company not less than 90 days nor more than 120 days prior to the first anniversary of the preceding year’s annual general meeting; provided, that in the event that the date of the annual general meeting is advanced more than 30 days prior to such anniversary date or delayed more than 30 days after such anniversary date then to be timely such notice must be received at the registered office of the Company no earlier than 120 days prior to such annual general meeting and no later than the later of 70 days prior to the date of the general meeting or the 10th day following the day on which public announcement of the date of the general meeting was first made by the Company. In no event shall the public announcement of an adjournment or postponement of an annual general meeting commence a new time period (or extend any time period) for the giving of a Member’s notice as described above. For purposes of Bye-laws 24.1(b) and 24.2, “public announcement” shall mean disclosure in a press release reported by the Dow Jones News Service, the</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52" w:right="80"/>
        <w:spacing w:after="0" w:line="264" w:lineRule="auto"/>
        <w:rPr>
          <w:sz w:val="20"/>
          <w:szCs w:val="20"/>
          <w:color w:val="auto"/>
        </w:rPr>
      </w:pPr>
      <w:r>
        <w:rPr>
          <w:rFonts w:ascii="Arial" w:cs="Arial" w:eastAsia="Arial" w:hAnsi="Arial"/>
          <w:sz w:val="18"/>
          <w:szCs w:val="18"/>
          <w:color w:val="auto"/>
        </w:rPr>
        <w:t>Associated Press, PR Newswire, Businesswire, Bloomberg or any comparable news service in the United States or in a document publicly filed by the Company with the Securities and Exchange Commission pursuant to Section 13, 14 or 15(d) of the Securities Exchange Act of 1934;</w:t>
      </w:r>
    </w:p>
    <w:p>
      <w:pPr>
        <w:spacing w:after="0" w:line="181" w:lineRule="exact"/>
        <w:rPr>
          <w:sz w:val="20"/>
          <w:szCs w:val="20"/>
          <w:color w:val="auto"/>
        </w:rPr>
      </w:pPr>
    </w:p>
    <w:p>
      <w:pPr>
        <w:ind w:left="1952" w:right="40" w:hanging="655"/>
        <w:spacing w:after="0" w:line="290" w:lineRule="auto"/>
        <w:tabs>
          <w:tab w:leader="none" w:pos="1963"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Member’s notice to the Secretary shall set forth (A) as to each person whom the Member proposes to nominate for election or reelection as a director all information relating to such person that is required to be disclosed in solicitations of proxies for election of directors, or is otherwise required, in each case pursuant to Section 14(a) of the Securities Exchange Act of 1934 (including such person’s written consent to being named in the proxy statement as a nominee and to serving as a director if elected), (B) as to any other business that the Member proposes to bring before the general meeting, a brief description of the business desired to be brought before the general meeting, the text of the proposal or business, the reasons for conducting such business at the general meeting and any material interest in such business of such Member and the beneficial owner, if any, on whose behalf the proposal is made, and (C) as to the Member giving the notice and the beneficial owner, if any, on whose behalf the proposal is made:</w:t>
      </w:r>
    </w:p>
    <w:p>
      <w:pPr>
        <w:spacing w:after="0" w:line="166" w:lineRule="exact"/>
        <w:rPr>
          <w:rFonts w:ascii="Arial" w:cs="Arial" w:eastAsia="Arial" w:hAnsi="Arial"/>
          <w:sz w:val="16"/>
          <w:szCs w:val="16"/>
          <w:color w:val="auto"/>
        </w:rPr>
      </w:pPr>
    </w:p>
    <w:p>
      <w:pPr>
        <w:ind w:left="2612" w:hanging="667"/>
        <w:spacing w:after="0"/>
        <w:tabs>
          <w:tab w:leader="none" w:pos="2612"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name and address of such Member (as they appear in the Register of Members) and any such beneficial owner;</w:t>
      </w:r>
    </w:p>
    <w:p>
      <w:pPr>
        <w:spacing w:after="0" w:line="236" w:lineRule="exact"/>
        <w:rPr>
          <w:rFonts w:ascii="Arial" w:cs="Arial" w:eastAsia="Arial" w:hAnsi="Arial"/>
          <w:sz w:val="17"/>
          <w:szCs w:val="17"/>
          <w:color w:val="auto"/>
        </w:rPr>
      </w:pPr>
    </w:p>
    <w:p>
      <w:pPr>
        <w:ind w:left="2592" w:right="420" w:hanging="647"/>
        <w:spacing w:after="0" w:line="277" w:lineRule="auto"/>
        <w:tabs>
          <w:tab w:leader="none" w:pos="262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class or series and number of shares of the Company which are held of record or are beneficially owned by such Member and by any such beneficial owner;</w:t>
      </w:r>
    </w:p>
    <w:p>
      <w:pPr>
        <w:spacing w:after="0" w:line="170" w:lineRule="exact"/>
        <w:rPr>
          <w:rFonts w:ascii="Arial" w:cs="Arial" w:eastAsia="Arial" w:hAnsi="Arial"/>
          <w:sz w:val="18"/>
          <w:szCs w:val="18"/>
          <w:color w:val="auto"/>
        </w:rPr>
      </w:pPr>
    </w:p>
    <w:p>
      <w:pPr>
        <w:ind w:left="2592" w:right="140" w:hanging="647"/>
        <w:spacing w:after="0" w:line="264" w:lineRule="auto"/>
        <w:tabs>
          <w:tab w:leader="none" w:pos="263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or among such Member and any such beneficial owner, any of their respective affiliates or associates, and any other person or persons (including their names) in connection with the proposal of such nomination or other business;</w:t>
      </w:r>
    </w:p>
    <w:p>
      <w:pPr>
        <w:sectPr>
          <w:pgSz w:w="11900" w:h="16918" w:orient="portrait"/>
          <w:cols w:equalWidth="0" w:num="1">
            <w:col w:w="11392"/>
          </w:cols>
          <w:pgMar w:left="248" w:top="125" w:right="259" w:bottom="0" w:gutter="0" w:footer="0" w:header="0"/>
        </w:sectPr>
      </w:pPr>
    </w:p>
    <w:bookmarkStart w:id="170" w:name="page171"/>
    <w:bookmarkEnd w:id="170"/>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right="40" w:hanging="647"/>
        <w:spacing w:after="0" w:line="255" w:lineRule="auto"/>
        <w:tabs>
          <w:tab w:leader="none" w:pos="19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(including, regardless of the form of settlement, any derivative, long or short positions, profit interests, forwards, futures, swaps, options, warrants, convertible securities, share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Member or any such beneficial owner or any such nominee with respect to the Company’s securities (a “Derivative Instrument”);</w:t>
      </w:r>
    </w:p>
    <w:p>
      <w:pPr>
        <w:spacing w:after="0" w:line="189" w:lineRule="exact"/>
        <w:rPr>
          <w:rFonts w:ascii="Arial" w:cs="Arial" w:eastAsia="Arial" w:hAnsi="Arial"/>
          <w:sz w:val="18"/>
          <w:szCs w:val="18"/>
          <w:color w:val="auto"/>
        </w:rPr>
      </w:pPr>
    </w:p>
    <w:p>
      <w:pPr>
        <w:ind w:left="1940" w:hanging="647"/>
        <w:spacing w:after="0" w:line="257" w:lineRule="auto"/>
        <w:tabs>
          <w:tab w:leader="none" w:pos="19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extent not disclosed pursuant to clause (iv) above, the principal amount of any indebtedness of the Company or any of its subsidiaries beneficially owned by such Member or by any such beneficial owner, together with the title of the instrument under which such indebtedness was issued and a description of any Derivative Instrument entered into by or on behalf of such Member or such beneficial owner relating to the value or payment of any indebtedness of the Company or any such subsidiary;</w:t>
      </w:r>
    </w:p>
    <w:p>
      <w:pPr>
        <w:spacing w:after="0" w:line="188" w:lineRule="exact"/>
        <w:rPr>
          <w:rFonts w:ascii="Arial" w:cs="Arial" w:eastAsia="Arial" w:hAnsi="Arial"/>
          <w:sz w:val="18"/>
          <w:szCs w:val="18"/>
          <w:color w:val="auto"/>
        </w:rPr>
      </w:pPr>
    </w:p>
    <w:p>
      <w:pPr>
        <w:jc w:val="both"/>
        <w:ind w:left="1940" w:right="120" w:hanging="647"/>
        <w:spacing w:after="0" w:line="264" w:lineRule="auto"/>
        <w:tabs>
          <w:tab w:leader="none" w:pos="19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representation that the Member is a holder of record of shares of the Company entitled to vote at such general meeting and intends to appear in person or by proxy at the general meeting to bring such nomination or other business before the general meeting; and</w:t>
      </w:r>
    </w:p>
    <w:p>
      <w:pPr>
        <w:spacing w:after="0" w:line="181" w:lineRule="exact"/>
        <w:rPr>
          <w:rFonts w:ascii="Arial" w:cs="Arial" w:eastAsia="Arial" w:hAnsi="Arial"/>
          <w:sz w:val="18"/>
          <w:szCs w:val="18"/>
          <w:color w:val="auto"/>
        </w:rPr>
      </w:pPr>
    </w:p>
    <w:p>
      <w:pPr>
        <w:ind w:left="1940" w:right="20" w:hanging="647"/>
        <w:spacing w:after="0" w:line="264" w:lineRule="auto"/>
        <w:tabs>
          <w:tab w:leader="none" w:pos="19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representation as to whether such Member or any such beneficial owner intends or is part of a group that intends to (i) deliver a proxy statement and/or form of proxy to holders of at least the percentage of the voting power of the Company’s outstanding shares required to approve or</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right="60"/>
        <w:spacing w:after="0" w:line="277" w:lineRule="auto"/>
        <w:rPr>
          <w:sz w:val="20"/>
          <w:szCs w:val="20"/>
          <w:color w:val="auto"/>
        </w:rPr>
      </w:pPr>
      <w:r>
        <w:rPr>
          <w:rFonts w:ascii="Arial" w:cs="Arial" w:eastAsia="Arial" w:hAnsi="Arial"/>
          <w:sz w:val="18"/>
          <w:szCs w:val="18"/>
          <w:color w:val="auto"/>
        </w:rPr>
        <w:t>adopt the proposal or to elect each such nominee and/or (ii) otherwise to solicit proxies from Members in support of such proposal or nomination;</w:t>
      </w:r>
    </w:p>
    <w:p>
      <w:pPr>
        <w:spacing w:after="0" w:line="170" w:lineRule="exact"/>
        <w:rPr>
          <w:sz w:val="20"/>
          <w:szCs w:val="20"/>
          <w:color w:val="auto"/>
        </w:rPr>
      </w:pPr>
    </w:p>
    <w:p>
      <w:pPr>
        <w:ind w:left="1300" w:right="80" w:hanging="655"/>
        <w:spacing w:after="0" w:line="264" w:lineRule="auto"/>
        <w:tabs>
          <w:tab w:leader="none" w:pos="1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requested by the Company, the information required under clauses (ii), (iii), (iv) and (v) of Bye-law 24.1(c) shall be supplemented by such Member and any such beneficial owner not later than 10 days after the record date for notice of the general meeting to disclose such information as of such record date;</w:t>
      </w:r>
    </w:p>
    <w:p>
      <w:pPr>
        <w:spacing w:after="0" w:line="181" w:lineRule="exact"/>
        <w:rPr>
          <w:rFonts w:ascii="Arial" w:cs="Arial" w:eastAsia="Arial" w:hAnsi="Arial"/>
          <w:sz w:val="18"/>
          <w:szCs w:val="18"/>
          <w:color w:val="auto"/>
        </w:rPr>
      </w:pPr>
    </w:p>
    <w:p>
      <w:pPr>
        <w:ind w:left="1300" w:right="280" w:hanging="655"/>
        <w:spacing w:after="0" w:line="257" w:lineRule="auto"/>
        <w:tabs>
          <w:tab w:leader="none" w:pos="13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the notice requirements set forth herein with respect to the proposal of any business pursuant to this Bye-law 24.1 other than a nomination shall be deemed satisfied by a Member if such Member has submitted a proposal to the Company in compliance with Rule 14a-8 promulgated under the Securities and Exchange Act of 1934 and such Member’s proposal has been included in a proxy statement that has been prepared by the Company to solicit proxies for the general meeting.</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Special General Meetings</w:t>
      </w:r>
    </w:p>
    <w:p>
      <w:pPr>
        <w:spacing w:after="0" w:line="229" w:lineRule="exact"/>
        <w:rPr>
          <w:sz w:val="20"/>
          <w:szCs w:val="20"/>
          <w:color w:val="auto"/>
        </w:rPr>
      </w:pPr>
    </w:p>
    <w:p>
      <w:pPr>
        <w:ind w:left="1300" w:right="500" w:hanging="655"/>
        <w:spacing w:after="0" w:line="277" w:lineRule="auto"/>
        <w:tabs>
          <w:tab w:leader="none" w:pos="12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general meeting as shall have been brought before the general meeting in accordance with the Company’s notice of meeting pursuant to Bye-laws 22 and 23.</w:t>
      </w:r>
    </w:p>
    <w:p>
      <w:pPr>
        <w:spacing w:after="0" w:line="170" w:lineRule="exact"/>
        <w:rPr>
          <w:rFonts w:ascii="Arial" w:cs="Arial" w:eastAsia="Arial" w:hAnsi="Arial"/>
          <w:sz w:val="18"/>
          <w:szCs w:val="18"/>
          <w:color w:val="auto"/>
        </w:rPr>
      </w:pPr>
    </w:p>
    <w:p>
      <w:pPr>
        <w:ind w:left="1300" w:right="40" w:hanging="655"/>
        <w:spacing w:after="0" w:line="257" w:lineRule="auto"/>
        <w:tabs>
          <w:tab w:leader="none" w:pos="1307"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at a special general meeting may be made (i) by or at the direction of the Board or (ii) provided that the Board has determined that Members may nominate persons for election to the Board at such general meeting, by any Member of the Company who is a Member of record at the time of giving of notice provided for in this Bye-law 24.2(b), who shall be entitled to vote at the general meeting and who complies with the notice procedures set forth in this Bye-law 24.</w:t>
      </w:r>
    </w:p>
    <w:p>
      <w:pPr>
        <w:spacing w:after="0" w:line="188" w:lineRule="exact"/>
        <w:rPr>
          <w:rFonts w:ascii="Arial" w:cs="Arial" w:eastAsia="Arial" w:hAnsi="Arial"/>
          <w:sz w:val="18"/>
          <w:szCs w:val="18"/>
          <w:color w:val="auto"/>
        </w:rPr>
      </w:pPr>
    </w:p>
    <w:p>
      <w:pPr>
        <w:ind w:left="1300" w:right="20" w:hanging="655"/>
        <w:spacing w:after="0" w:line="264"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nominations to be properly brought before a special general meeting by a Member pursuant to Bye-law 24.2(b)(ii), the Member must have given timely notice thereof in writing to the Secretary. To be timely, a Member’s notice shall be delivered to or mailed and received at the registered office of the Company</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64" w:lineRule="auto"/>
        <w:rPr>
          <w:sz w:val="20"/>
          <w:szCs w:val="20"/>
          <w:color w:val="auto"/>
        </w:rPr>
      </w:pPr>
      <w:r>
        <w:rPr>
          <w:rFonts w:ascii="Arial" w:cs="Arial" w:eastAsia="Arial" w:hAnsi="Arial"/>
          <w:sz w:val="18"/>
          <w:szCs w:val="18"/>
          <w:color w:val="auto"/>
        </w:rPr>
        <w:t>(A) not earlier than 120 days prior to the date of the special general meeting nor (B) later than the later of 90 days prior to the date of the special general meeting or the 10th day following the day on which public announcement of the date of the special general meeting was first made.</w:t>
      </w:r>
    </w:p>
    <w:p>
      <w:pPr>
        <w:spacing w:after="0" w:line="181" w:lineRule="exact"/>
        <w:rPr>
          <w:sz w:val="20"/>
          <w:szCs w:val="20"/>
          <w:color w:val="auto"/>
        </w:rPr>
      </w:pPr>
    </w:p>
    <w:p>
      <w:pPr>
        <w:ind w:left="1300" w:right="440" w:hanging="655"/>
        <w:spacing w:after="0" w:line="277" w:lineRule="auto"/>
        <w:tabs>
          <w:tab w:leader="none" w:pos="13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Member’s notice to the Secretary, including any notice of requisition pursuant to Bye-law 21, shall comply with the notice requirements of Bye-law 24.1(c) and (d).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5"/>
          <w:szCs w:val="15"/>
          <w:color w:val="auto"/>
        </w:rPr>
        <w:t>General</w:t>
      </w:r>
    </w:p>
    <w:p>
      <w:pPr>
        <w:spacing w:after="0" w:line="229" w:lineRule="exact"/>
        <w:rPr>
          <w:sz w:val="20"/>
          <w:szCs w:val="20"/>
          <w:color w:val="auto"/>
        </w:rPr>
      </w:pPr>
    </w:p>
    <w:p>
      <w:pPr>
        <w:ind w:left="1300" w:right="640" w:hanging="655"/>
        <w:spacing w:after="0" w:line="342" w:lineRule="auto"/>
        <w:tabs>
          <w:tab w:leader="none" w:pos="12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At the request of the Board, any person nominated by the Board for election as a director shall furnish to the Secretary the information that is required to be set forth in a Member’s notice of nomination pursuant to Bye-law 24.1(c).</w:t>
      </w:r>
    </w:p>
    <w:p>
      <w:pPr>
        <w:sectPr>
          <w:pgSz w:w="11900" w:h="16838" w:orient="portrait"/>
          <w:cols w:equalWidth="0" w:num="1">
            <w:col w:w="10720"/>
          </w:cols>
          <w:pgMar w:left="900" w:top="341" w:right="279" w:bottom="0" w:gutter="0" w:footer="0" w:header="0"/>
        </w:sectPr>
      </w:pPr>
    </w:p>
    <w:bookmarkStart w:id="171" w:name="page172"/>
    <w:bookmarkEnd w:id="171"/>
    <w:p>
      <w:pPr>
        <w:ind w:left="1952" w:right="220" w:hanging="655"/>
        <w:spacing w:after="0" w:line="277" w:lineRule="auto"/>
        <w:tabs>
          <w:tab w:leader="none" w:pos="19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person shall be eligible to be nominated by a Member to serve as a director of the Company unless nominated in accordance with the procedures set forth in this Bye-law 24.</w:t>
      </w:r>
    </w:p>
    <w:p>
      <w:pPr>
        <w:spacing w:after="0" w:line="170" w:lineRule="exact"/>
        <w:rPr>
          <w:rFonts w:ascii="Arial" w:cs="Arial" w:eastAsia="Arial" w:hAnsi="Arial"/>
          <w:sz w:val="18"/>
          <w:szCs w:val="18"/>
          <w:color w:val="auto"/>
        </w:rPr>
      </w:pPr>
    </w:p>
    <w:p>
      <w:pPr>
        <w:ind w:left="1952" w:hanging="655"/>
        <w:spacing w:after="0" w:line="259" w:lineRule="auto"/>
        <w:tabs>
          <w:tab w:leader="none" w:pos="19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chairman of the general meeting shall, if the facts warrant, determine and declare to the general meeting that a nomination was not made in accordance with the procedures prescribed by these Bye-laws or that business was not properly brought before the general meeting, and if he should so determine and declare, the defective nomination shall be disregarded or such business shall not be transacted, as the case may be.</w:t>
      </w:r>
    </w:p>
    <w:p>
      <w:pPr>
        <w:spacing w:after="0" w:line="186" w:lineRule="exact"/>
        <w:rPr>
          <w:rFonts w:ascii="Arial" w:cs="Arial" w:eastAsia="Arial" w:hAnsi="Arial"/>
          <w:sz w:val="18"/>
          <w:szCs w:val="18"/>
          <w:color w:val="auto"/>
        </w:rPr>
      </w:pPr>
    </w:p>
    <w:p>
      <w:pPr>
        <w:ind w:left="1952" w:right="140" w:hanging="655"/>
        <w:spacing w:after="0" w:line="297" w:lineRule="auto"/>
        <w:tabs>
          <w:tab w:leader="none" w:pos="1959"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Bye-law 24, unless otherwise required by the Act, if the Member (or a qualified representative of the Member) does not appear at the annual or special general meeting to present a nomination or other proposed business, such nomination shall be disregarded or such proposed business shall not be transacted, as the case may be, notwithstanding that proxies in respect of such vote may have been received by the Company. For purposes of this Bye-law 24.3, to be considered a qualified representative of the Member, a person must be a duly authorized officer, manager or partner of such</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100"/>
        <w:spacing w:after="0" w:line="264" w:lineRule="auto"/>
        <w:rPr>
          <w:sz w:val="20"/>
          <w:szCs w:val="20"/>
          <w:color w:val="auto"/>
        </w:rPr>
      </w:pPr>
      <w:r>
        <w:rPr>
          <w:rFonts w:ascii="Arial" w:cs="Arial" w:eastAsia="Arial" w:hAnsi="Arial"/>
          <w:sz w:val="18"/>
          <w:szCs w:val="18"/>
          <w:color w:val="auto"/>
        </w:rPr>
        <w:t>Member or must be authorized by a writing executed by such Member or an electronic transmission delivered by such Member to act for such Member as proxy at the general meeting and such person must produce such writing or electronic transmission, or a reliable reproduction of the writing or electronic transmission, at the general meeting.</w:t>
      </w:r>
    </w:p>
    <w:p>
      <w:pPr>
        <w:spacing w:after="0" w:line="177" w:lineRule="exact"/>
        <w:rPr>
          <w:sz w:val="20"/>
          <w:szCs w:val="20"/>
          <w:color w:val="auto"/>
        </w:rPr>
      </w:pPr>
    </w:p>
    <w:p>
      <w:pPr>
        <w:ind w:left="1292" w:hanging="647"/>
        <w:spacing w:after="0" w:line="255" w:lineRule="auto"/>
        <w:tabs>
          <w:tab w:leader="none" w:pos="1272"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color w:val="auto"/>
        </w:rPr>
        <w:t>Without limiting the foregoing provisions of this Bye-law 24, a Member shall also comply with all applicable requirements of the Securities Exchange Act of 1934 and the rules and regulations thereunder with respect to the matters set forth in this Bye-law 24; provided, that any references in these Bye-laws to the Securities Exchange Act of 1934 or the rules and regulations promulgated thereunder are not intended to and shall not limit any requirements applicable to nominations or proposals as to any other business to be considered pursuant to this Bye-law, and compliance with Bye-law 24.1 or 24.2 shall be the exclusive means for a Member to make nominations or submit other business (other than as provided in Bye-law 24.1(e)).</w:t>
      </w:r>
    </w:p>
    <w:p>
      <w:pPr>
        <w:spacing w:after="0" w:line="193" w:lineRule="exact"/>
        <w:rPr>
          <w:sz w:val="20"/>
          <w:szCs w:val="20"/>
          <w:color w:val="auto"/>
        </w:rPr>
      </w:pPr>
    </w:p>
    <w:p>
      <w:pPr>
        <w:ind w:left="1292" w:right="68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8"/>
          <w:szCs w:val="18"/>
          <w:color w:val="auto"/>
        </w:rPr>
        <w:t>Notwithstanding anything in this Bye-law 24 or otherwise in these Bye-laws to the contrary, this Bye-law 24 shall not apply to any nomination of any individual pursuant to the Shareholders Agreement.</w:t>
      </w:r>
    </w:p>
    <w:p>
      <w:pPr>
        <w:spacing w:after="0" w:line="170" w:lineRule="exact"/>
        <w:rPr>
          <w:sz w:val="20"/>
          <w:szCs w:val="20"/>
          <w:color w:val="auto"/>
        </w:rPr>
      </w:pPr>
    </w:p>
    <w:p>
      <w:pPr>
        <w:ind w:left="652" w:hanging="652"/>
        <w:spacing w:after="0"/>
        <w:tabs>
          <w:tab w:leader="none" w:pos="6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Postponement or Cancellation of General Meeting</w:t>
      </w:r>
    </w:p>
    <w:p>
      <w:pPr>
        <w:spacing w:after="0" w:line="229" w:lineRule="exact"/>
        <w:rPr>
          <w:rFonts w:ascii="Arial" w:cs="Arial" w:eastAsia="Arial" w:hAnsi="Arial"/>
          <w:sz w:val="18"/>
          <w:szCs w:val="18"/>
          <w:b w:val="1"/>
          <w:bCs w:val="1"/>
          <w:color w:val="auto"/>
        </w:rPr>
      </w:pPr>
    </w:p>
    <w:p>
      <w:pPr>
        <w:ind w:left="65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Secretary may, and on instruction from the Chairman or the Chief Executive Officer shall, postpone or cancel any general meeting called in accordance with these Bye-laws (other than a meeting requisitioned under these Bye-laws) provided that notice of postponement or cancellation is given to each Member before the time for such meeting. Fresh notice of the date, time and place for the postponed or cancelled meeting shall be given to the Members in accordance with these Bye-laws.</w:t>
      </w:r>
    </w:p>
    <w:p>
      <w:pPr>
        <w:spacing w:after="0" w:line="182" w:lineRule="exact"/>
        <w:rPr>
          <w:rFonts w:ascii="Arial" w:cs="Arial" w:eastAsia="Arial" w:hAnsi="Arial"/>
          <w:sz w:val="18"/>
          <w:szCs w:val="18"/>
          <w:b w:val="1"/>
          <w:bCs w:val="1"/>
          <w:color w:val="auto"/>
        </w:rPr>
      </w:pPr>
    </w:p>
    <w:p>
      <w:pPr>
        <w:ind w:left="652" w:hanging="652"/>
        <w:spacing w:after="0"/>
        <w:tabs>
          <w:tab w:leader="none" w:pos="6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Participation and Security at General Meetings</w:t>
      </w:r>
    </w:p>
    <w:p>
      <w:pPr>
        <w:spacing w:after="0" w:line="225" w:lineRule="exact"/>
        <w:rPr>
          <w:rFonts w:ascii="Arial" w:cs="Arial" w:eastAsia="Arial" w:hAnsi="Arial"/>
          <w:sz w:val="18"/>
          <w:szCs w:val="18"/>
          <w:b w:val="1"/>
          <w:bCs w:val="1"/>
          <w:color w:val="auto"/>
        </w:rPr>
      </w:pPr>
    </w:p>
    <w:p>
      <w:pPr>
        <w:ind w:left="1292" w:right="24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26.1 </w:t>
      </w:r>
      <w:r>
        <w:rPr>
          <w:rFonts w:ascii="Arial" w:cs="Arial" w:eastAsia="Arial" w:hAnsi="Arial"/>
          <w:sz w:val="18"/>
          <w:szCs w:val="18"/>
          <w:color w:val="auto"/>
        </w:rPr>
        <w:t>Members may participate in any general meeting by such telephonic, electronic or other communications facilities or means as permit all</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participating in the meeting to</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80"/>
        <w:spacing w:after="0" w:line="277" w:lineRule="auto"/>
        <w:rPr>
          <w:sz w:val="20"/>
          <w:szCs w:val="20"/>
          <w:color w:val="auto"/>
        </w:rPr>
      </w:pPr>
      <w:r>
        <w:rPr>
          <w:rFonts w:ascii="Arial" w:cs="Arial" w:eastAsia="Arial" w:hAnsi="Arial"/>
          <w:sz w:val="18"/>
          <w:szCs w:val="18"/>
          <w:color w:val="auto"/>
        </w:rPr>
        <w:t>communicate with each other simultaneously and instantaneously, and participation in such a meeting shall constitute presence in person at such meeting.</w:t>
      </w:r>
    </w:p>
    <w:p>
      <w:pPr>
        <w:spacing w:after="0" w:line="166" w:lineRule="exact"/>
        <w:rPr>
          <w:sz w:val="20"/>
          <w:szCs w:val="20"/>
          <w:color w:val="auto"/>
        </w:rPr>
      </w:pPr>
    </w:p>
    <w:p>
      <w:pPr>
        <w:ind w:left="1292" w:right="40" w:hanging="647"/>
        <w:spacing w:after="0" w:line="276" w:lineRule="auto"/>
        <w:tabs>
          <w:tab w:leader="none" w:pos="1272"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color w:val="auto"/>
        </w:rPr>
        <w:t>The Board may, and at any general meeting, the chairman of such meeting may make any arrangement and impose any requirement or restriction it or he considers appropriate to ensure the security of a general meeting including, without limitation, requirements for evidence of identity to be produced by those attending the meeting, the searching of their personal property and the restriction of items that may be taken into the meeting place. The Board and, at any general meeting, the chairman of such meeting are entitled to refuse entry to a person who refuses to comply with any such arrangements, requirements or restrictions.</w:t>
      </w:r>
    </w:p>
    <w:p>
      <w:pPr>
        <w:spacing w:after="0" w:line="173" w:lineRule="exact"/>
        <w:rPr>
          <w:sz w:val="20"/>
          <w:szCs w:val="20"/>
          <w:color w:val="auto"/>
        </w:rPr>
      </w:pPr>
    </w:p>
    <w:p>
      <w:pPr>
        <w:ind w:left="652" w:hanging="652"/>
        <w:spacing w:after="0"/>
        <w:tabs>
          <w:tab w:leader="none" w:pos="65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General Meetings</w:t>
      </w:r>
    </w:p>
    <w:p>
      <w:pPr>
        <w:spacing w:after="0" w:line="225" w:lineRule="exact"/>
        <w:rPr>
          <w:rFonts w:ascii="Arial" w:cs="Arial" w:eastAsia="Arial" w:hAnsi="Arial"/>
          <w:sz w:val="18"/>
          <w:szCs w:val="18"/>
          <w:b w:val="1"/>
          <w:bCs w:val="1"/>
          <w:color w:val="auto"/>
        </w:rPr>
      </w:pPr>
    </w:p>
    <w:p>
      <w:pPr>
        <w:ind w:left="1292" w:right="8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27.1 </w:t>
      </w:r>
      <w:r>
        <w:rPr>
          <w:rFonts w:ascii="Arial" w:cs="Arial" w:eastAsia="Arial" w:hAnsi="Arial"/>
          <w:sz w:val="18"/>
          <w:szCs w:val="18"/>
          <w:color w:val="auto"/>
        </w:rPr>
        <w:t>At any general meeting two or more persons present throughout and representing in person or by proxy in excess of 50% of the total issued</w:t>
      </w:r>
      <w:r>
        <w:rPr>
          <w:rFonts w:ascii="Arial" w:cs="Arial" w:eastAsia="Arial" w:hAnsi="Arial"/>
          <w:sz w:val="18"/>
          <w:szCs w:val="18"/>
          <w:b w:val="1"/>
          <w:bCs w:val="1"/>
          <w:color w:val="auto"/>
        </w:rPr>
        <w:t xml:space="preserve"> </w:t>
      </w:r>
      <w:r>
        <w:rPr>
          <w:rFonts w:ascii="Arial" w:cs="Arial" w:eastAsia="Arial" w:hAnsi="Arial"/>
          <w:sz w:val="18"/>
          <w:szCs w:val="18"/>
          <w:color w:val="auto"/>
        </w:rPr>
        <w:t>voting shares in the Company shall form a quorum for the transaction of business.</w:t>
      </w:r>
    </w:p>
    <w:p>
      <w:pPr>
        <w:spacing w:after="0" w:line="161" w:lineRule="exact"/>
        <w:rPr>
          <w:rFonts w:ascii="Arial" w:cs="Arial" w:eastAsia="Arial" w:hAnsi="Arial"/>
          <w:sz w:val="18"/>
          <w:szCs w:val="18"/>
          <w:b w:val="1"/>
          <w:bCs w:val="1"/>
          <w:color w:val="auto"/>
        </w:rPr>
      </w:pPr>
    </w:p>
    <w:p>
      <w:pPr>
        <w:jc w:val="both"/>
        <w:ind w:left="1292" w:right="40" w:hanging="648"/>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27.2 </w:t>
      </w:r>
      <w:r>
        <w:rPr>
          <w:rFonts w:ascii="Arial" w:cs="Arial" w:eastAsia="Arial" w:hAnsi="Arial"/>
          <w:sz w:val="16"/>
          <w:szCs w:val="16"/>
          <w:color w:val="auto"/>
        </w:rPr>
        <w:t>If within half an hour from the time appointed for the meeting a quorum is not present, then, in the case of a meeting convened on a</w:t>
      </w:r>
      <w:r>
        <w:rPr>
          <w:rFonts w:ascii="Arial" w:cs="Arial" w:eastAsia="Arial" w:hAnsi="Arial"/>
          <w:sz w:val="16"/>
          <w:szCs w:val="16"/>
          <w:b w:val="1"/>
          <w:bCs w:val="1"/>
          <w:color w:val="auto"/>
        </w:rPr>
        <w:t xml:space="preserve"> </w:t>
      </w:r>
      <w:r>
        <w:rPr>
          <w:rFonts w:ascii="Arial" w:cs="Arial" w:eastAsia="Arial" w:hAnsi="Arial"/>
          <w:sz w:val="16"/>
          <w:szCs w:val="16"/>
          <w:color w:val="auto"/>
        </w:rPr>
        <w:t>requisition, the meeting shall be deemed cancelled and, in any other case, the meeting shall stand adjourned to the same day one week later, at the same time and place or to such other day, time or place as the Secretary may determine. Unless the meeting is adjourned to a specific date, place and time announced at the meeting being adjourned, fresh notice of the date, place and time for the resumption of the adjourned meeting shall be given to each Member entitled to attend and vote thereat in accordance with these Bye-laws.</w:t>
      </w:r>
    </w:p>
    <w:p>
      <w:pPr>
        <w:spacing w:after="0" w:line="154" w:lineRule="exact"/>
        <w:rPr>
          <w:rFonts w:ascii="Arial" w:cs="Arial" w:eastAsia="Arial" w:hAnsi="Arial"/>
          <w:sz w:val="18"/>
          <w:szCs w:val="18"/>
          <w:b w:val="1"/>
          <w:bCs w:val="1"/>
          <w:color w:val="auto"/>
        </w:rPr>
      </w:pPr>
    </w:p>
    <w:p>
      <w:pPr>
        <w:ind w:left="652" w:hanging="652"/>
        <w:spacing w:after="0"/>
        <w:tabs>
          <w:tab w:leader="none" w:pos="65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Chairman to Preside at General Meetings</w:t>
      </w:r>
    </w:p>
    <w:p>
      <w:pPr>
        <w:spacing w:after="0" w:line="229" w:lineRule="exact"/>
        <w:rPr>
          <w:rFonts w:ascii="Arial" w:cs="Arial" w:eastAsia="Arial" w:hAnsi="Arial"/>
          <w:sz w:val="18"/>
          <w:szCs w:val="18"/>
          <w:b w:val="1"/>
          <w:bCs w:val="1"/>
          <w:color w:val="auto"/>
        </w:rPr>
      </w:pPr>
    </w:p>
    <w:p>
      <w:pPr>
        <w:ind w:left="65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Unless otherwise agreed by a majority of those attending and entitled to vote thereat, the Chairman, if there be one, and if not the Chief Executive Officer, if there be one, shall act as chairman at all general meetings at which such person is present. In their absence, a chairman shall be appointed or elected by those present at the meeting and entitled to vote.</w:t>
      </w:r>
    </w:p>
    <w:p>
      <w:pPr>
        <w:sectPr>
          <w:pgSz w:w="11900" w:h="16838" w:orient="portrait"/>
          <w:cols w:equalWidth="0" w:num="1">
            <w:col w:w="11392"/>
          </w:cols>
          <w:pgMar w:left="248" w:top="125" w:right="259" w:bottom="0" w:gutter="0" w:footer="0" w:header="0"/>
        </w:sectPr>
      </w:pP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0" w:gutter="0" w:footer="0" w:header="0"/>
          <w:type w:val="continuous"/>
        </w:sectPr>
      </w:pPr>
    </w:p>
    <w:bookmarkStart w:id="172" w:name="page173"/>
    <w:bookmarkEnd w:id="172"/>
    <w:p>
      <w:pPr>
        <w:ind w:left="652" w:hanging="652"/>
        <w:spacing w:after="0"/>
        <w:tabs>
          <w:tab w:leader="none" w:pos="65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Voting on Resolutions</w:t>
      </w:r>
    </w:p>
    <w:p>
      <w:pPr>
        <w:spacing w:after="0" w:line="225" w:lineRule="exact"/>
        <w:rPr>
          <w:rFonts w:ascii="Arial" w:cs="Arial" w:eastAsia="Arial" w:hAnsi="Arial"/>
          <w:sz w:val="18"/>
          <w:szCs w:val="18"/>
          <w:b w:val="1"/>
          <w:bCs w:val="1"/>
          <w:color w:val="auto"/>
        </w:rPr>
      </w:pPr>
    </w:p>
    <w:p>
      <w:pPr>
        <w:ind w:left="1292" w:right="8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29.1 </w:t>
      </w:r>
      <w:r>
        <w:rPr>
          <w:rFonts w:ascii="Arial" w:cs="Arial" w:eastAsia="Arial" w:hAnsi="Arial"/>
          <w:sz w:val="18"/>
          <w:szCs w:val="18"/>
          <w:color w:val="auto"/>
        </w:rPr>
        <w:t>Subject to the Act and these Bye-laws, any question proposed for the consideration of the Members at any general meeting shall be decided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affirmative votes of a majority of the votes cast in accordance with these Bye-laws and in the case of an equality of votes the resolution shall fail.</w:t>
      </w:r>
    </w:p>
    <w:p>
      <w:pPr>
        <w:spacing w:after="0" w:line="176" w:lineRule="exact"/>
        <w:rPr>
          <w:rFonts w:ascii="Arial" w:cs="Arial" w:eastAsia="Arial" w:hAnsi="Arial"/>
          <w:sz w:val="18"/>
          <w:szCs w:val="18"/>
          <w:b w:val="1"/>
          <w:bCs w:val="1"/>
          <w:color w:val="auto"/>
        </w:rPr>
      </w:pPr>
    </w:p>
    <w:p>
      <w:pPr>
        <w:ind w:left="1292" w:right="80" w:hanging="648"/>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29.2 </w:t>
      </w:r>
      <w:r>
        <w:rPr>
          <w:rFonts w:ascii="Arial" w:cs="Arial" w:eastAsia="Arial" w:hAnsi="Arial"/>
          <w:sz w:val="17"/>
          <w:szCs w:val="17"/>
          <w:color w:val="auto"/>
        </w:rPr>
        <w:t>At any general meeting a resolution put to the vote of the meeting shall, in the first instance, be voted upon by a show of hands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these Bye-laws and any rights or restrictions for the time being lawfully attached to any class of shares, every Member present in person and every person holding a valid proxy at such meeting shall be entitled to one vote for each voting share (subject to any adjustments or eliminations of voting power of any shares pursuant to Bye-laws 33 and 34) of which such person is the holder or for which such person holds a proxy and such votes shall be counted in the manner set out in Bye-law 30.4.</w:t>
      </w:r>
    </w:p>
    <w:p>
      <w:pPr>
        <w:spacing w:after="0" w:line="168" w:lineRule="exact"/>
        <w:rPr>
          <w:rFonts w:ascii="Arial" w:cs="Arial" w:eastAsia="Arial" w:hAnsi="Arial"/>
          <w:sz w:val="18"/>
          <w:szCs w:val="18"/>
          <w:b w:val="1"/>
          <w:bCs w:val="1"/>
          <w:color w:val="auto"/>
        </w:rPr>
      </w:pPr>
    </w:p>
    <w:p>
      <w:pPr>
        <w:ind w:left="1292" w:right="500" w:hanging="648"/>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29.3 </w:t>
      </w:r>
      <w:r>
        <w:rPr>
          <w:rFonts w:ascii="Arial" w:cs="Arial" w:eastAsia="Arial" w:hAnsi="Arial"/>
          <w:sz w:val="17"/>
          <w:szCs w:val="17"/>
          <w:color w:val="auto"/>
        </w:rPr>
        <w:t>In the event that a Member participates in a general meeting by telephone, electronic or other communications facilities or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meeting shall direct the manner in which such Member may cast his vote on a show of hands.</w:t>
      </w:r>
    </w:p>
    <w:p>
      <w:pPr>
        <w:spacing w:after="0" w:line="138" w:lineRule="exact"/>
        <w:rPr>
          <w:rFonts w:ascii="Arial" w:cs="Arial" w:eastAsia="Arial" w:hAnsi="Arial"/>
          <w:sz w:val="18"/>
          <w:szCs w:val="18"/>
          <w:b w:val="1"/>
          <w:bCs w:val="1"/>
          <w:color w:val="auto"/>
        </w:rPr>
      </w:pPr>
    </w:p>
    <w:p>
      <w:pPr>
        <w:ind w:left="1292" w:right="18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29.4 </w:t>
      </w:r>
      <w:r>
        <w:rPr>
          <w:rFonts w:ascii="Arial" w:cs="Arial" w:eastAsia="Arial" w:hAnsi="Arial"/>
          <w:sz w:val="18"/>
          <w:szCs w:val="18"/>
          <w:color w:val="auto"/>
        </w:rPr>
        <w:t>At any general meeting if an amendment is proposed to any resolution under consideration and the chairman of the meeting rules 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the proposed amendment is out of order, the proceedings on the substantive resolution shall not be invalidated by any error in such ruling.</w:t>
      </w:r>
    </w:p>
    <w:p>
      <w:pPr>
        <w:spacing w:after="0" w:line="176" w:lineRule="exact"/>
        <w:rPr>
          <w:sz w:val="20"/>
          <w:szCs w:val="20"/>
          <w:color w:val="auto"/>
        </w:rPr>
      </w:pPr>
    </w:p>
    <w:p>
      <w:pPr>
        <w:ind w:left="1292" w:right="12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8"/>
          <w:szCs w:val="18"/>
          <w:color w:val="auto"/>
        </w:rPr>
        <w:t>At any general meeting a declaration by the chairman of the meeting that a question proposed for consideration has been carried, or carried unanimously, or by a particular majority, or lost, and an entry to that effect in a book containing the minutes of the proceedings of the Company shall, subject to these Bye-laws, be conclusive evidence of that fact.</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Demand a Vote on a Poll</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30.1    </w:t>
      </w:r>
      <w:r>
        <w:rPr>
          <w:rFonts w:ascii="Arial" w:cs="Arial" w:eastAsia="Arial" w:hAnsi="Arial"/>
          <w:sz w:val="18"/>
          <w:szCs w:val="18"/>
          <w:color w:val="auto"/>
        </w:rPr>
        <w:t>Notwithstanding the foregoing, a poll may be demanded by any of the following persons:</w:t>
      </w:r>
    </w:p>
    <w:p>
      <w:pPr>
        <w:spacing w:after="0" w:line="229" w:lineRule="exact"/>
        <w:rPr>
          <w:rFonts w:ascii="Arial" w:cs="Arial" w:eastAsia="Arial" w:hAnsi="Arial"/>
          <w:sz w:val="18"/>
          <w:szCs w:val="18"/>
          <w:b w:val="1"/>
          <w:bCs w:val="1"/>
          <w:color w:val="auto"/>
        </w:rPr>
      </w:pPr>
    </w:p>
    <w:p>
      <w:pPr>
        <w:ind w:left="1932" w:hanging="635"/>
        <w:spacing w:after="0"/>
        <w:tabs>
          <w:tab w:leader="none" w:pos="19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chairman of such meeting; or</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least three Members present in person or represented by proxy; or</w:t>
      </w:r>
    </w:p>
    <w:p>
      <w:pPr>
        <w:spacing w:after="0" w:line="225" w:lineRule="exact"/>
        <w:rPr>
          <w:rFonts w:ascii="Arial" w:cs="Arial" w:eastAsia="Arial" w:hAnsi="Arial"/>
          <w:sz w:val="18"/>
          <w:szCs w:val="18"/>
          <w:color w:val="auto"/>
        </w:rPr>
      </w:pPr>
    </w:p>
    <w:p>
      <w:pPr>
        <w:ind w:left="1952" w:right="140" w:hanging="655"/>
        <w:spacing w:after="0" w:line="277" w:lineRule="auto"/>
        <w:tabs>
          <w:tab w:leader="none" w:pos="1963"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Member or Members present in person or represented by proxy and holding between them not less than one-tenth of the total voting rights of all the Members having the right to vote at such meeting; or</w:t>
      </w:r>
    </w:p>
    <w:p>
      <w:pPr>
        <w:spacing w:after="0" w:line="170" w:lineRule="exact"/>
        <w:rPr>
          <w:rFonts w:ascii="Arial" w:cs="Arial" w:eastAsia="Arial" w:hAnsi="Arial"/>
          <w:sz w:val="18"/>
          <w:szCs w:val="18"/>
          <w:color w:val="auto"/>
        </w:rPr>
      </w:pPr>
    </w:p>
    <w:p>
      <w:pPr>
        <w:ind w:left="1952" w:right="140" w:hanging="655"/>
        <w:spacing w:after="0" w:line="264" w:lineRule="auto"/>
        <w:tabs>
          <w:tab w:leader="none" w:pos="195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Member or Members present in person or represented by proxy holding shares in the Company conferring the right to vote at such meeting, being shares on which an aggregate sum has been paid up equal to not less than one-tenth of the total amount paid up on all such shares conferring such right.</w:t>
      </w:r>
    </w:p>
    <w:p>
      <w:pPr>
        <w:spacing w:after="0" w:line="177" w:lineRule="exact"/>
        <w:rPr>
          <w:sz w:val="20"/>
          <w:szCs w:val="20"/>
          <w:color w:val="auto"/>
        </w:rPr>
      </w:pPr>
    </w:p>
    <w:p>
      <w:pPr>
        <w:ind w:left="1292" w:right="100" w:hanging="647"/>
        <w:spacing w:after="0" w:line="254" w:lineRule="auto"/>
        <w:tabs>
          <w:tab w:leader="none" w:pos="1272"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8"/>
          <w:szCs w:val="18"/>
          <w:color w:val="auto"/>
        </w:rPr>
        <w:t>Where a poll is demanded, subject to any rights or restrictions for the time being lawfully attached to any class of shares, every person present at such meeting shall have one vote for each share of which such person is the holder or for which such person holds a proxy (subject to any adjustments or eliminations of voting power of any shares pursuant to Bye-laws 33 and 34) and such vote shall be counted by ballot as described herein, or in the case of a general meeting at which one or more Members are present by telephone, electronic or other communications facilities or means, in such manner as the chairman of the meeting may direct and the result of such poll shall be deemed to be the resolution of the meeting at which the poll was demanded and shall replace any previous resolution upon the same matter which has been the subject of a show of hands. A person entitled to more than one vote need not use all his votes or cast all the votes he uses in the same way.</w:t>
      </w:r>
    </w:p>
    <w:p>
      <w:pPr>
        <w:spacing w:after="0" w:line="192" w:lineRule="exact"/>
        <w:rPr>
          <w:sz w:val="20"/>
          <w:szCs w:val="20"/>
          <w:color w:val="auto"/>
        </w:rPr>
      </w:pPr>
    </w:p>
    <w:p>
      <w:pPr>
        <w:ind w:left="1292" w:right="140" w:hanging="647"/>
        <w:spacing w:after="0" w:line="259" w:lineRule="auto"/>
        <w:tabs>
          <w:tab w:leader="none" w:pos="1272"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8"/>
          <w:szCs w:val="18"/>
          <w:color w:val="auto"/>
        </w:rPr>
        <w:t>A poll demanded for the purpose of electing a chairman of the meeting or on a question of adjournment shall be taken forthwith. A poll demanded on any other question shall be taken at such time and in such manner during such meeting as the chairman (or acting chairman) of the meeting may direct. Any business other than that upon which a poll has been demanded may be conducted pending the taking of the poll.</w:t>
      </w:r>
    </w:p>
    <w:p>
      <w:pPr>
        <w:spacing w:after="0" w:line="1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hanging="647"/>
        <w:spacing w:after="0" w:line="255" w:lineRule="auto"/>
        <w:tabs>
          <w:tab w:leader="none" w:pos="1272"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8"/>
          <w:szCs w:val="18"/>
          <w:color w:val="auto"/>
        </w:rPr>
        <w:t>Where a vote is taken by poll, each person physically present and entitled to vote shall be furnished with a ballot paper on which such person shall record his vote in such manner as shall be determined at the meeting having regard to the nature of the question on which the vote is taken. Each ballot paper shall be signed or initialled or otherwise marked so as to identify the voter and the registered holder in the case of a proxy. Each person present by telephone, electronic or other communications facilities or means shall cast his vote in such manner as the chairman shall direct. At the conclusion of the poll, the ballot papers and votes cast in accordance with such directions shall be examined and counted by a committee of not less than two Members or proxy holders appointed by the chairman for the purpose. The result of the poll shall be declared by the chairman.</w:t>
      </w:r>
    </w:p>
    <w:p>
      <w:pPr>
        <w:spacing w:after="0" w:line="189"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Joint Holders of Shares</w:t>
      </w:r>
    </w:p>
    <w:p>
      <w:pPr>
        <w:spacing w:after="0" w:line="229" w:lineRule="exact"/>
        <w:rPr>
          <w:rFonts w:ascii="Arial" w:cs="Arial" w:eastAsia="Arial" w:hAnsi="Arial"/>
          <w:sz w:val="18"/>
          <w:szCs w:val="18"/>
          <w:b w:val="1"/>
          <w:bCs w:val="1"/>
          <w:color w:val="auto"/>
        </w:rPr>
      </w:pPr>
    </w:p>
    <w:p>
      <w:pPr>
        <w:ind w:left="652"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19" w:lineRule="exact"/>
        <w:rPr>
          <w:rFonts w:ascii="Arial" w:cs="Arial" w:eastAsia="Arial" w:hAnsi="Arial"/>
          <w:sz w:val="18"/>
          <w:szCs w:val="18"/>
          <w:b w:val="1"/>
          <w:bCs w:val="1"/>
          <w:color w:val="auto"/>
        </w:rPr>
      </w:pPr>
    </w:p>
    <w:p>
      <w:pPr>
        <w:ind w:left="652" w:hanging="652"/>
        <w:spacing w:after="0"/>
        <w:tabs>
          <w:tab w:leader="none" w:pos="65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 — General</w:t>
      </w:r>
    </w:p>
    <w:p>
      <w:pPr>
        <w:sectPr>
          <w:pgSz w:w="11900" w:h="16838" w:orient="portrait"/>
          <w:cols w:equalWidth="0" w:num="1">
            <w:col w:w="11412"/>
          </w:cols>
          <w:pgMar w:left="248" w:top="338" w:right="239" w:bottom="0" w:gutter="0" w:footer="0" w:header="0"/>
        </w:sectPr>
      </w:pPr>
    </w:p>
    <w:bookmarkStart w:id="173" w:name="page174"/>
    <w:bookmarkEnd w:id="173"/>
    <w:p>
      <w:pPr>
        <w:ind w:left="652" w:right="20"/>
        <w:spacing w:after="0" w:line="279" w:lineRule="auto"/>
        <w:rPr>
          <w:sz w:val="20"/>
          <w:szCs w:val="20"/>
          <w:color w:val="auto"/>
        </w:rPr>
      </w:pPr>
      <w:r>
        <w:rPr>
          <w:rFonts w:ascii="Arial" w:cs="Arial" w:eastAsia="Arial" w:hAnsi="Arial"/>
          <w:sz w:val="17"/>
          <w:szCs w:val="17"/>
          <w:color w:val="auto"/>
        </w:rPr>
        <w:t>Subject to the provisions of Bye-laws 33 and 34 below, and subject to any rights and restrictions for the time being attached to any class or classes or series of shares, every Member shall have one vote for each share carrying the right to vote on the matter in question of which he is the holder. Notwithstanding any other provisions of these Bye-laws, all determinations in these Bye-laws that are made by or subject to a vote or approval of Members shall be based upon the voting power of such Members’ shares as determined pursuant to Bye-laws 33 and 34.</w:t>
      </w:r>
    </w:p>
    <w:p>
      <w:pPr>
        <w:spacing w:after="0" w:line="167" w:lineRule="exact"/>
        <w:rPr>
          <w:sz w:val="20"/>
          <w:szCs w:val="20"/>
          <w:color w:val="auto"/>
        </w:rPr>
      </w:pPr>
    </w:p>
    <w:p>
      <w:pPr>
        <w:ind w:left="652" w:hanging="652"/>
        <w:spacing w:after="0"/>
        <w:tabs>
          <w:tab w:leader="none" w:pos="65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Voting Power</w:t>
      </w:r>
    </w:p>
    <w:p>
      <w:pPr>
        <w:spacing w:after="0" w:line="225" w:lineRule="exact"/>
        <w:rPr>
          <w:rFonts w:ascii="Arial" w:cs="Arial" w:eastAsia="Arial" w:hAnsi="Arial"/>
          <w:sz w:val="18"/>
          <w:szCs w:val="18"/>
          <w:b w:val="1"/>
          <w:bCs w:val="1"/>
          <w:color w:val="auto"/>
        </w:rPr>
      </w:pPr>
    </w:p>
    <w:p>
      <w:pPr>
        <w:ind w:left="1292" w:right="12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33.1 </w:t>
      </w:r>
      <w:r>
        <w:rPr>
          <w:rFonts w:ascii="Arial" w:cs="Arial" w:eastAsia="Arial" w:hAnsi="Arial"/>
          <w:sz w:val="18"/>
          <w:szCs w:val="18"/>
          <w:color w:val="auto"/>
        </w:rPr>
        <w:t>Notwithstanding Bye-law 32, the voting power of all shares is hereby adjusted (and shall be automatically adjusted in the future)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necessary so that there is no 9.5% U.S. Member. The Board shall implement the foregoing in the manner provided herein, provided however, that the foregoing provision and the remainder of this Bye-law 33</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180"/>
        <w:spacing w:after="0" w:line="308" w:lineRule="auto"/>
        <w:rPr>
          <w:sz w:val="20"/>
          <w:szCs w:val="20"/>
          <w:color w:val="auto"/>
        </w:rPr>
      </w:pPr>
      <w:r>
        <w:rPr>
          <w:rFonts w:ascii="Arial" w:cs="Arial" w:eastAsia="Arial" w:hAnsi="Arial"/>
          <w:sz w:val="17"/>
          <w:szCs w:val="17"/>
          <w:color w:val="auto"/>
        </w:rPr>
        <w:t>shall not apply in the event that one Member owns greater than seventy-five percent (75%) of the voting power of the issued shares of the Company determined without applying the voting power adjustments or eliminations under Bye-laws 33 and 34.</w:t>
      </w:r>
    </w:p>
    <w:p>
      <w:pPr>
        <w:spacing w:after="0" w:line="143" w:lineRule="exact"/>
        <w:rPr>
          <w:sz w:val="20"/>
          <w:szCs w:val="20"/>
          <w:color w:val="auto"/>
        </w:rPr>
      </w:pPr>
    </w:p>
    <w:p>
      <w:pPr>
        <w:ind w:left="1292" w:right="10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The Board shall from time to time, including prior to any time at which a vote of Members is taken, take all reasonable steps necessary to ascertain, including those specified in Bye-law 37, through communications with Members or otherwise, whether there exists, or will exist at the time any vote of Members is taken, a Tentative 9.5% U.S. Member.</w:t>
      </w:r>
    </w:p>
    <w:p>
      <w:pPr>
        <w:spacing w:after="0" w:line="181" w:lineRule="exact"/>
        <w:rPr>
          <w:sz w:val="20"/>
          <w:szCs w:val="20"/>
          <w:color w:val="auto"/>
        </w:rPr>
      </w:pPr>
    </w:p>
    <w:p>
      <w:pPr>
        <w:ind w:left="1292" w:right="40" w:hanging="647"/>
        <w:spacing w:after="0" w:line="268" w:lineRule="auto"/>
        <w:tabs>
          <w:tab w:leader="none" w:pos="1272"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color w:val="auto"/>
        </w:rPr>
        <w:t>In the event that a Tentative 9.5% U.S. Member exists, the aggregate votes conferred by shares held by a Member and treated as Controlled Shares of that Tentative 9.5% U.S. Member shall be reduced to the extent necessary such that the Controlled Shares of the Tentative 9.5% U.S. Member will constitute less than nine and one-half percent (9.5%) of the voting power of all issued and outstanding shares. In applying the previous sentence where shares held by more than one Member are treated as Controlled Shares of such Tentative 9.5% U.S. Member, the reduction in votes shall apply to such Members in descending order according to their respective Attribution Percentages, provided that, in the event of a tie, the reduction shall apply pro rata to such Members based on the voting power of the shares held by each such Member. The votes of Members owning no shares treated as Controlled Shares of any Tentative 9.5% U.S. Member shall, in the aggregate, be increased by the same number of votes subject to reduction as described above, provided, however, that no shares shall be conferred votes to the extent that doing so will cause any person to be treated as a 9.5% U.S. Member. Such increase shall be apportioned to all such Members in proportion to their voting power at that time, provided, that such increase shall be limited to the extent necessary to avoid causing any person to be a 9.5% U.S. Member. The adjustments of voting power described in this Bye-law shall apply repeatedly until there is no 9.5% U.S. Member. The Board may deviate from any of the principles described in this Bye-law and determine that shares held by a Member shall carry different voting rights as it reasonably determines, based on the advice of counsel, to be appropriate (1) to avoid the existence</w:t>
      </w:r>
    </w:p>
    <w:p>
      <w:pPr>
        <w:spacing w:after="0" w:line="1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line="259" w:lineRule="auto"/>
        <w:rPr>
          <w:sz w:val="20"/>
          <w:szCs w:val="20"/>
          <w:color w:val="auto"/>
        </w:rPr>
      </w:pPr>
      <w:r>
        <w:rPr>
          <w:rFonts w:ascii="Arial" w:cs="Arial" w:eastAsia="Arial" w:hAnsi="Arial"/>
          <w:sz w:val="18"/>
          <w:szCs w:val="18"/>
          <w:color w:val="auto"/>
        </w:rPr>
        <w:t>of any 9.5% U.S. Member or (2) to avoid adverse tax, legal or regulatory consequences to the Company, any subsidiary of the Company, or any direct or indirect holder of shares or its affiliates; provided, however, that the Board will use reasonable efforts to afford equal treatment to similarly situated Members to the extent possible under the circumstances. For the avoidance of doubt, in applying the provisions of Bye-laws 33 and 34, a share may carry a fraction of a vote.</w:t>
      </w:r>
    </w:p>
    <w:p>
      <w:pPr>
        <w:spacing w:after="0" w:line="183" w:lineRule="exact"/>
        <w:rPr>
          <w:sz w:val="20"/>
          <w:szCs w:val="20"/>
          <w:color w:val="auto"/>
        </w:rPr>
      </w:pPr>
    </w:p>
    <w:p>
      <w:pPr>
        <w:ind w:left="652" w:hanging="652"/>
        <w:spacing w:after="0"/>
        <w:tabs>
          <w:tab w:leader="none" w:pos="65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Other Adjustments of Voting Power</w:t>
      </w:r>
    </w:p>
    <w:p>
      <w:pPr>
        <w:spacing w:after="0" w:line="229" w:lineRule="exact"/>
        <w:rPr>
          <w:rFonts w:ascii="Arial" w:cs="Arial" w:eastAsia="Arial" w:hAnsi="Arial"/>
          <w:sz w:val="18"/>
          <w:szCs w:val="18"/>
          <w:b w:val="1"/>
          <w:bCs w:val="1"/>
          <w:color w:val="auto"/>
        </w:rPr>
      </w:pPr>
    </w:p>
    <w:p>
      <w:pPr>
        <w:ind w:left="652"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to the provisions of Bye-law 33, any shares shall not carry any right to vote to the extent that the Board determines that it is necessary that such shares should not carry the right to vote in order to avoid adverse tax, legal or regulatory consequences to the Company, any subsidiary of the Company, or any other direct or indirect holder of shares or its affiliates, provided that no adjustment pursuant to this sentence shall cause any person to become a 9.5% U.S. Member; and provided, further, that the Board will use reasonable efforts to afford equal treatment to similarly situated Members to the extent possible under the circumstances.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rFonts w:ascii="Arial" w:cs="Arial" w:eastAsia="Arial" w:hAnsi="Arial"/>
          <w:sz w:val="18"/>
          <w:szCs w:val="18"/>
          <w:b w:val="1"/>
          <w:bCs w:val="1"/>
          <w:color w:val="auto"/>
        </w:rPr>
      </w:pPr>
    </w:p>
    <w:p>
      <w:pPr>
        <w:ind w:left="6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Prior to the meeting at which Members shall vote on any matter (or prior to any vote in the case of notification to Members specified in item (3) of this Bye-law 35), the Board may, in its sole discretion, (1) retain the services of an internationally recognized accounting firm or organization with comparable professional capabilities in order to assist the Company in applying the principles of Bye-laws 33 and 34, (2) obtain from such firm or organization a statement describing the information obtained and procedures followed and setting forth the determinations made with respect to Bye-laws 33 and 34, and (3) notify in writing or orally each Member of the voting power conferred by its shares determined in accordance with Bye-laws 33 and 34. For the avoidance of doubt, any failure by the Board to take any of the actions described in this Bye-law 35 shall not invalidate any votes cast or the proceedings at the meeting.</w:t>
      </w:r>
    </w:p>
    <w:p>
      <w:pPr>
        <w:spacing w:after="0" w:line="1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Board Determination Binding</w:t>
      </w:r>
    </w:p>
    <w:p>
      <w:pPr>
        <w:spacing w:after="0" w:line="229" w:lineRule="exact"/>
        <w:rPr>
          <w:rFonts w:ascii="Arial" w:cs="Arial" w:eastAsia="Arial" w:hAnsi="Arial"/>
          <w:sz w:val="18"/>
          <w:szCs w:val="18"/>
          <w:b w:val="1"/>
          <w:bCs w:val="1"/>
          <w:color w:val="auto"/>
        </w:rPr>
      </w:pPr>
    </w:p>
    <w:p>
      <w:pPr>
        <w:ind w:left="652"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Any determination by the Board as to any adjustments or eliminations of voting power of any shares made pursuant to Bye-laws 33 and 34 shall be final and binding and any vote taken based on such determination shall not be capable of being challenged solely on the basis of such determination.</w:t>
      </w:r>
    </w:p>
    <w:p>
      <w:pPr>
        <w:spacing w:after="0" w:line="119" w:lineRule="exact"/>
        <w:rPr>
          <w:rFonts w:ascii="Arial" w:cs="Arial" w:eastAsia="Arial" w:hAnsi="Arial"/>
          <w:sz w:val="18"/>
          <w:szCs w:val="18"/>
          <w:b w:val="1"/>
          <w:bCs w:val="1"/>
          <w:color w:val="auto"/>
        </w:rPr>
      </w:pPr>
    </w:p>
    <w:p>
      <w:pPr>
        <w:ind w:left="652" w:hanging="652"/>
        <w:spacing w:after="0"/>
        <w:tabs>
          <w:tab w:leader="none" w:pos="65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 to Provide Information and Notice</w:t>
      </w:r>
    </w:p>
    <w:p>
      <w:pPr>
        <w:sectPr>
          <w:pgSz w:w="11900" w:h="16838" w:orient="portrait"/>
          <w:cols w:equalWidth="0" w:num="1">
            <w:col w:w="11392"/>
          </w:cols>
          <w:pgMar w:left="248" w:top="125" w:right="259" w:bottom="0" w:gutter="0" w:footer="0" w:header="0"/>
        </w:sectPr>
      </w:pPr>
    </w:p>
    <w:bookmarkStart w:id="174" w:name="page175"/>
    <w:bookmarkEnd w:id="174"/>
    <w:p>
      <w:pPr>
        <w:spacing w:after="0" w:line="109" w:lineRule="exact"/>
        <w:rPr>
          <w:sz w:val="20"/>
          <w:szCs w:val="20"/>
          <w:color w:val="auto"/>
        </w:rPr>
      </w:pPr>
    </w:p>
    <w:p>
      <w:pPr>
        <w:ind w:left="1292" w:right="20" w:hanging="647"/>
        <w:spacing w:after="0" w:line="276" w:lineRule="auto"/>
        <w:tabs>
          <w:tab w:leader="none" w:pos="1272"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7"/>
          <w:szCs w:val="17"/>
          <w:color w:val="auto"/>
        </w:rPr>
        <w:t>The Board shall have the authority to request from any direct or indirect holder of shares, and such holder of shares shall provide, such information as the Board may reasonably request for the purpose of determining whether any holder’s voting rights are to be adjusted. If such holder fails to respond to such a request, or submits incomplete or inaccurate information in response to such a request, the Board may determine in its sole discretion that such holder’s shares shall carry no voting rights in which case such holder shall not exercise any voting rights in respect of such shares until otherwise determined by the Board.</w:t>
      </w:r>
    </w:p>
    <w:p>
      <w:pPr>
        <w:spacing w:after="0" w:line="173" w:lineRule="exact"/>
        <w:rPr>
          <w:sz w:val="20"/>
          <w:szCs w:val="20"/>
          <w:color w:val="auto"/>
        </w:rPr>
      </w:pPr>
    </w:p>
    <w:p>
      <w:pPr>
        <w:ind w:left="1292" w:hanging="647"/>
        <w:spacing w:after="0" w:line="286" w:lineRule="auto"/>
        <w:tabs>
          <w:tab w:leader="none" w:pos="1272"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color w:val="auto"/>
        </w:rPr>
        <w:t>Any direct or indirect holder of shares shall give notice to the Company within ten days following the date that such holder acquires actual knowledge that it is the direct or indirect holder of Controlled Shares of nine and one-half percent (9.5%) or more of the voting power of all issued shares of the Company (without giving effect to voting power adjustments or eliminations under Bye-law 33.</w:t>
      </w:r>
    </w:p>
    <w:p>
      <w:pPr>
        <w:spacing w:after="0" w:line="166" w:lineRule="exact"/>
        <w:rPr>
          <w:sz w:val="20"/>
          <w:szCs w:val="20"/>
          <w:color w:val="auto"/>
        </w:rPr>
      </w:pPr>
    </w:p>
    <w:p>
      <w:pPr>
        <w:ind w:left="1292" w:right="2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8"/>
          <w:szCs w:val="18"/>
          <w:color w:val="auto"/>
        </w:rPr>
        <w:t>Notwithstanding the foregoing, no Member shall be liable to any other Member or the Company for any losses or damages resulting from such Member’s failure to respond to, or submission of incomplete or inaccurate information in response to, a request under Bye-law 37.1 or from such Member’s failure to give notice under Bye-law 37.2.</w:t>
      </w:r>
    </w:p>
    <w:p>
      <w:pPr>
        <w:spacing w:after="0" w:line="181" w:lineRule="exact"/>
        <w:rPr>
          <w:sz w:val="20"/>
          <w:szCs w:val="20"/>
          <w:color w:val="auto"/>
        </w:rPr>
      </w:pPr>
    </w:p>
    <w:p>
      <w:pPr>
        <w:jc w:val="both"/>
        <w:ind w:left="1292" w:right="40" w:hanging="647"/>
        <w:spacing w:after="0" w:line="279" w:lineRule="auto"/>
        <w:tabs>
          <w:tab w:leader="none" w:pos="1272"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7"/>
          <w:szCs w:val="17"/>
          <w:color w:val="auto"/>
        </w:rPr>
        <w:t>Any information provided by any Member to the Company pursuant to this Bye-law 37 or for purposes of making the analysis required by Bye-laws 33 and 34, shall be deemed “confidential information” (the “Confidential Information”) and shall be used by the Company solely for the purposes contemplated by such Bye-law (except as may be required otherwise by applicable law or regulation). The Company shall hold such Confidential Information in strict confidence and shall not disclose any Confidential</w:t>
      </w:r>
    </w:p>
    <w:p>
      <w:pPr>
        <w:spacing w:after="0" w:line="17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right="20"/>
        <w:spacing w:after="0" w:line="312" w:lineRule="auto"/>
        <w:rPr>
          <w:sz w:val="20"/>
          <w:szCs w:val="20"/>
          <w:color w:val="auto"/>
        </w:rPr>
      </w:pPr>
      <w:r>
        <w:rPr>
          <w:rFonts w:ascii="Arial" w:cs="Arial" w:eastAsia="Arial" w:hAnsi="Arial"/>
          <w:sz w:val="16"/>
          <w:szCs w:val="16"/>
          <w:color w:val="auto"/>
        </w:rPr>
        <w:t>Information that it receives without the consent of the Member, except (i) to the U.S. Internal Revenue Service (the “Service”) if and to the extent the Confidential Information is required by the Service, (ii) to any outside legal counsel or accounting firm engaged by the Company to make determinations regarding the relevant Bye-law or (iii) as otherwise required by applicable law or regulation or upon consent.</w:t>
      </w:r>
    </w:p>
    <w:p>
      <w:pPr>
        <w:spacing w:after="0" w:line="143" w:lineRule="exact"/>
        <w:rPr>
          <w:sz w:val="20"/>
          <w:szCs w:val="20"/>
          <w:color w:val="auto"/>
        </w:rPr>
      </w:pPr>
    </w:p>
    <w:p>
      <w:pPr>
        <w:ind w:left="1292" w:right="80" w:hanging="647"/>
        <w:spacing w:after="0" w:line="302" w:lineRule="auto"/>
        <w:tabs>
          <w:tab w:leader="none" w:pos="1272"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6"/>
          <w:szCs w:val="16"/>
          <w:color w:val="auto"/>
        </w:rPr>
        <w:t>For the avoidance of doubt, the Company shall be permitted to disclose to the Members and others the relative voting percentages of all Members after application of Bye-law 33. At the written request of a Member, the Confidential Information of such Member shall be destroyed or returned to such Member after the later to occur of (i) such Member no longer being a Member or (ii) the expiration of the applicable statute of limitations with respect to any Confidential Information obtained for purposes of engaging in any tax-related analysis.</w:t>
      </w:r>
    </w:p>
    <w:p>
      <w:pPr>
        <w:spacing w:after="0" w:line="154" w:lineRule="exact"/>
        <w:rPr>
          <w:sz w:val="20"/>
          <w:szCs w:val="20"/>
          <w:color w:val="auto"/>
        </w:rPr>
      </w:pPr>
    </w:p>
    <w:p>
      <w:pPr>
        <w:ind w:left="652" w:hanging="652"/>
        <w:spacing w:after="0"/>
        <w:tabs>
          <w:tab w:leader="none" w:pos="65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Instrument of Proxy</w:t>
      </w:r>
    </w:p>
    <w:p>
      <w:pPr>
        <w:spacing w:after="0" w:line="225" w:lineRule="exact"/>
        <w:rPr>
          <w:rFonts w:ascii="Arial" w:cs="Arial" w:eastAsia="Arial" w:hAnsi="Arial"/>
          <w:sz w:val="18"/>
          <w:szCs w:val="18"/>
          <w:b w:val="1"/>
          <w:bCs w:val="1"/>
          <w:color w:val="auto"/>
        </w:rPr>
      </w:pPr>
    </w:p>
    <w:p>
      <w:pPr>
        <w:ind w:left="1292"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38.1 </w:t>
      </w:r>
      <w:r>
        <w:rPr>
          <w:rFonts w:ascii="Arial" w:cs="Arial" w:eastAsia="Arial" w:hAnsi="Arial"/>
          <w:sz w:val="18"/>
          <w:szCs w:val="18"/>
          <w:color w:val="auto"/>
        </w:rPr>
        <w:t>A Member may appoint a proxy by (a) an instrument appointing a proxy in writing in substantially the following form or such other form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determine from time to time:</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Proxy</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Essent Group Ltd. (the “Company”)</w:t>
      </w:r>
    </w:p>
    <w:p>
      <w:pPr>
        <w:spacing w:after="0" w:line="225" w:lineRule="exact"/>
        <w:rPr>
          <w:sz w:val="20"/>
          <w:szCs w:val="20"/>
          <w:color w:val="auto"/>
        </w:rPr>
      </w:pPr>
    </w:p>
    <w:p>
      <w:pPr>
        <w:ind w:left="1292" w:right="60"/>
        <w:spacing w:after="0" w:line="264" w:lineRule="auto"/>
        <w:rPr>
          <w:sz w:val="20"/>
          <w:szCs w:val="20"/>
          <w:color w:val="auto"/>
        </w:rPr>
      </w:pPr>
      <w:r>
        <w:rPr>
          <w:rFonts w:ascii="Arial" w:cs="Arial" w:eastAsia="Arial" w:hAnsi="Arial"/>
          <w:sz w:val="18"/>
          <w:szCs w:val="18"/>
          <w:color w:val="auto"/>
        </w:rPr>
        <w:t>I/We, [insert names here], being a Member of the Company with [number] shares, HEREBY APPOINT [name] of [address] or failing him, [name] of [address] to be my/our proxy to vote for me/us at the meeting of the Members to be held on the [ ] day of [ ], 20[ ] and at any adjournment thereof. (Any restrictions on voting to be inserted here.)</w:t>
      </w:r>
    </w:p>
    <w:p>
      <w:pPr>
        <w:spacing w:after="0" w:line="181" w:lineRule="exact"/>
        <w:rPr>
          <w:sz w:val="20"/>
          <w:szCs w:val="20"/>
          <w:color w:val="auto"/>
        </w:rPr>
      </w:pPr>
    </w:p>
    <w:p>
      <w:pPr>
        <w:ind w:left="1532"/>
        <w:spacing w:after="0"/>
        <w:rPr>
          <w:sz w:val="20"/>
          <w:szCs w:val="20"/>
          <w:color w:val="auto"/>
        </w:rPr>
      </w:pPr>
      <w:r>
        <w:rPr>
          <w:rFonts w:ascii="Arial" w:cs="Arial" w:eastAsia="Arial" w:hAnsi="Arial"/>
          <w:sz w:val="18"/>
          <w:szCs w:val="18"/>
          <w:color w:val="auto"/>
        </w:rPr>
        <w:t>Signed this [ ] day of [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289560</wp:posOffset>
            </wp:positionV>
            <wp:extent cx="2727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32"/>
        <w:spacing w:after="0"/>
        <w:rPr>
          <w:sz w:val="20"/>
          <w:szCs w:val="20"/>
          <w:color w:val="auto"/>
        </w:rPr>
      </w:pPr>
      <w:r>
        <w:rPr>
          <w:rFonts w:ascii="Arial" w:cs="Arial" w:eastAsia="Arial" w:hAnsi="Arial"/>
          <w:sz w:val="18"/>
          <w:szCs w:val="18"/>
          <w:color w:val="auto"/>
        </w:rPr>
        <w:t>Member(s)</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or (b) such telephonic, electronic or other means as may be approved by the Board from time to time.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right="20" w:hanging="647"/>
        <w:spacing w:after="0" w:line="259" w:lineRule="auto"/>
        <w:tabs>
          <w:tab w:leader="none" w:pos="1272"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8"/>
          <w:szCs w:val="18"/>
          <w:color w:val="auto"/>
        </w:rPr>
        <w:t>The appointment of a proxy must be received by the Company at the registered office or at such other place or in such manner as is specified in the notice convening the meeting or in any instrument of proxy sent out by the Company in relation to the meeting at which the person named in the appointment proposes to vote, and an appointment of proxy which is not received in the manner so permitted shall be invalid.</w:t>
      </w:r>
    </w:p>
    <w:p>
      <w:pPr>
        <w:spacing w:after="0" w:line="187" w:lineRule="exact"/>
        <w:rPr>
          <w:sz w:val="20"/>
          <w:szCs w:val="20"/>
          <w:color w:val="auto"/>
        </w:rPr>
      </w:pPr>
    </w:p>
    <w:p>
      <w:pPr>
        <w:ind w:left="1292" w:right="14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8"/>
          <w:szCs w:val="18"/>
          <w:color w:val="auto"/>
        </w:rPr>
        <w:t>A Member who is the holder of two or more shares may appoint more than one proxy to represent him and vote on his behalf in respect of different shares.</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6"/>
          <w:szCs w:val="16"/>
          <w:color w:val="auto"/>
        </w:rPr>
        <w:t>The decision of the chairman of any general meeting as to the validity of any appointment of a proxy shall be final.</w:t>
      </w:r>
    </w:p>
    <w:p>
      <w:pPr>
        <w:spacing w:after="0" w:line="225" w:lineRule="exact"/>
        <w:rPr>
          <w:sz w:val="20"/>
          <w:szCs w:val="20"/>
          <w:color w:val="auto"/>
        </w:rPr>
      </w:pPr>
    </w:p>
    <w:p>
      <w:pPr>
        <w:ind w:left="652" w:hanging="652"/>
        <w:spacing w:after="0"/>
        <w:tabs>
          <w:tab w:leader="none" w:pos="6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Corporate Member</w:t>
      </w:r>
    </w:p>
    <w:p>
      <w:pPr>
        <w:spacing w:after="0" w:line="225" w:lineRule="exact"/>
        <w:rPr>
          <w:rFonts w:ascii="Arial" w:cs="Arial" w:eastAsia="Arial" w:hAnsi="Arial"/>
          <w:sz w:val="18"/>
          <w:szCs w:val="18"/>
          <w:b w:val="1"/>
          <w:bCs w:val="1"/>
          <w:color w:val="auto"/>
        </w:rPr>
      </w:pPr>
    </w:p>
    <w:p>
      <w:pPr>
        <w:ind w:left="1292" w:right="120" w:hanging="648"/>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39.1 </w:t>
      </w:r>
      <w:r>
        <w:rPr>
          <w:rFonts w:ascii="Arial" w:cs="Arial" w:eastAsia="Arial" w:hAnsi="Arial"/>
          <w:sz w:val="17"/>
          <w:szCs w:val="17"/>
          <w:color w:val="auto"/>
        </w:rPr>
        <w:t>A corporation which is a Member may, by written instrument, authorise such person or persons as it thinks fit to act as its representative at</w:t>
      </w:r>
      <w:r>
        <w:rPr>
          <w:rFonts w:ascii="Arial" w:cs="Arial" w:eastAsia="Arial" w:hAnsi="Arial"/>
          <w:sz w:val="17"/>
          <w:szCs w:val="17"/>
          <w:b w:val="1"/>
          <w:bCs w:val="1"/>
          <w:color w:val="auto"/>
        </w:rPr>
        <w:t xml:space="preserve"> </w:t>
      </w:r>
      <w:r>
        <w:rPr>
          <w:rFonts w:ascii="Arial" w:cs="Arial" w:eastAsia="Arial" w:hAnsi="Arial"/>
          <w:sz w:val="17"/>
          <w:szCs w:val="17"/>
          <w:color w:val="auto"/>
        </w:rPr>
        <w:t>any meeting and any person so authorised shall be entitled to exercise the same powers on behalf of the corporation which such person represents as that corporation could exercise if it were an individual Member, and that Member shall be deemed to be present in person at any such meeting attended by its authorised representative or representatives.</w:t>
      </w:r>
    </w:p>
    <w:p>
      <w:pPr>
        <w:spacing w:after="0" w:line="164" w:lineRule="exact"/>
        <w:rPr>
          <w:rFonts w:ascii="Arial" w:cs="Arial" w:eastAsia="Arial" w:hAnsi="Arial"/>
          <w:sz w:val="18"/>
          <w:szCs w:val="18"/>
          <w:b w:val="1"/>
          <w:bCs w:val="1"/>
          <w:color w:val="auto"/>
        </w:rPr>
      </w:pPr>
    </w:p>
    <w:p>
      <w:pPr>
        <w:ind w:left="1292" w:right="38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39.2 </w:t>
      </w:r>
      <w:r>
        <w:rPr>
          <w:rFonts w:ascii="Arial" w:cs="Arial" w:eastAsia="Arial" w:hAnsi="Arial"/>
          <w:sz w:val="18"/>
          <w:szCs w:val="18"/>
          <w:color w:val="auto"/>
        </w:rPr>
        <w:t>Notwithstanding the foregoing, the chairman of the meeting may accept such assurances as he thinks fit as to the right of any person to</w:t>
      </w:r>
      <w:r>
        <w:rPr>
          <w:rFonts w:ascii="Arial" w:cs="Arial" w:eastAsia="Arial" w:hAnsi="Arial"/>
          <w:sz w:val="18"/>
          <w:szCs w:val="18"/>
          <w:b w:val="1"/>
          <w:bCs w:val="1"/>
          <w:color w:val="auto"/>
        </w:rPr>
        <w:t xml:space="preserve"> </w:t>
      </w:r>
      <w:r>
        <w:rPr>
          <w:rFonts w:ascii="Arial" w:cs="Arial" w:eastAsia="Arial" w:hAnsi="Arial"/>
          <w:sz w:val="18"/>
          <w:szCs w:val="18"/>
          <w:color w:val="auto"/>
        </w:rPr>
        <w:t>attend and vote at general meetings on behalf of a corporation which is a Member.</w:t>
      </w:r>
    </w:p>
    <w:p>
      <w:pPr>
        <w:sectPr>
          <w:pgSz w:w="11900" w:h="16947" w:orient="portrait"/>
          <w:cols w:equalWidth="0" w:num="1">
            <w:col w:w="11372"/>
          </w:cols>
          <w:pgMar w:left="248" w:top="121" w:right="279" w:bottom="0" w:gutter="0" w:footer="0" w:header="0"/>
        </w:sectPr>
      </w:pPr>
    </w:p>
    <w:bookmarkStart w:id="175" w:name="page176"/>
    <w:bookmarkEnd w:id="175"/>
    <w:p>
      <w:pPr>
        <w:spacing w:after="0" w:line="114" w:lineRule="exact"/>
        <w:rPr>
          <w:sz w:val="20"/>
          <w:szCs w:val="20"/>
          <w:color w:val="auto"/>
        </w:rPr>
      </w:pPr>
    </w:p>
    <w:p>
      <w:pPr>
        <w:ind w:left="652" w:hanging="652"/>
        <w:spacing w:after="0"/>
        <w:tabs>
          <w:tab w:leader="none" w:pos="6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 of General Meeting</w:t>
      </w:r>
    </w:p>
    <w:p>
      <w:pPr>
        <w:spacing w:after="0" w:line="225" w:lineRule="exact"/>
        <w:rPr>
          <w:sz w:val="20"/>
          <w:szCs w:val="20"/>
          <w:color w:val="auto"/>
        </w:rPr>
      </w:pPr>
    </w:p>
    <w:p>
      <w:pPr>
        <w:ind w:left="1292"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8"/>
          <w:szCs w:val="18"/>
          <w:color w:val="auto"/>
        </w:rPr>
        <w:t>The chairman of any general meeting at which a quorum is present may with the consent of Members holding a majority of the voting rights of those Members present in person or by proxy (and shall if so directed by Members holding a majority of the voting rights of those Members present in person or by proxy), adjourn the meeting.</w:t>
      </w:r>
    </w:p>
    <w:p>
      <w:pPr>
        <w:spacing w:after="0" w:line="181" w:lineRule="exact"/>
        <w:rPr>
          <w:sz w:val="20"/>
          <w:szCs w:val="20"/>
          <w:color w:val="auto"/>
        </w:rPr>
      </w:pPr>
    </w:p>
    <w:p>
      <w:pPr>
        <w:jc w:val="center"/>
        <w:ind w:left="260"/>
        <w:spacing w:after="0"/>
        <w:tabs>
          <w:tab w:leader="none" w:pos="30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color w:val="auto"/>
        </w:rPr>
        <w:t>In addition, the chairman may adjourn the meeting to another time and place without such consent or direction if it appears to him that:</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180" w:hanging="655"/>
        <w:spacing w:after="0" w:line="277" w:lineRule="auto"/>
        <w:tabs>
          <w:tab w:leader="none" w:pos="19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 is likely to be impracticable to hold or continue that meeting because of the number of Members wishing to attend who are not present; or</w:t>
      </w:r>
    </w:p>
    <w:p>
      <w:pPr>
        <w:spacing w:after="0" w:line="170" w:lineRule="exact"/>
        <w:rPr>
          <w:rFonts w:ascii="Arial" w:cs="Arial" w:eastAsia="Arial" w:hAnsi="Arial"/>
          <w:sz w:val="18"/>
          <w:szCs w:val="18"/>
          <w:color w:val="auto"/>
        </w:rPr>
      </w:pPr>
    </w:p>
    <w:p>
      <w:pPr>
        <w:ind w:left="1952" w:right="20" w:hanging="655"/>
        <w:spacing w:after="0" w:line="277" w:lineRule="auto"/>
        <w:tabs>
          <w:tab w:leader="none" w:pos="19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unruly conduct of persons attending the meeting prevents, or is likely to prevent, the orderly continuation of the business of the meeting; or</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adjournment is otherwise necessary so that the business of the meeting may be properly conducted.</w:t>
      </w:r>
    </w:p>
    <w:p>
      <w:pPr>
        <w:spacing w:after="0" w:line="221" w:lineRule="exact"/>
        <w:rPr>
          <w:sz w:val="20"/>
          <w:szCs w:val="20"/>
          <w:color w:val="auto"/>
        </w:rPr>
      </w:pPr>
    </w:p>
    <w:p>
      <w:pPr>
        <w:jc w:val="both"/>
        <w:ind w:left="1292" w:right="8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8"/>
          <w:szCs w:val="18"/>
          <w:color w:val="auto"/>
        </w:rPr>
        <w:t>Unless the meeting is adjourned to a specific date, place and time announced at the meeting being adjourned, fresh notice of the date, place and time for the resumption of the adjourned meeting shall be given to each Member entitled to attend and vote thereat in accordance with these Bye-laws.</w:t>
      </w:r>
    </w:p>
    <w:p>
      <w:pPr>
        <w:spacing w:after="0" w:line="181" w:lineRule="exact"/>
        <w:rPr>
          <w:sz w:val="20"/>
          <w:szCs w:val="20"/>
          <w:color w:val="auto"/>
        </w:rPr>
      </w:pPr>
    </w:p>
    <w:p>
      <w:pPr>
        <w:ind w:left="652" w:hanging="652"/>
        <w:spacing w:after="0"/>
        <w:tabs>
          <w:tab w:leader="none" w:pos="65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Resolutions</w:t>
      </w:r>
    </w:p>
    <w:p>
      <w:pPr>
        <w:spacing w:after="0" w:line="225" w:lineRule="exact"/>
        <w:rPr>
          <w:rFonts w:ascii="Arial" w:cs="Arial" w:eastAsia="Arial" w:hAnsi="Arial"/>
          <w:sz w:val="18"/>
          <w:szCs w:val="18"/>
          <w:b w:val="1"/>
          <w:bCs w:val="1"/>
          <w:color w:val="auto"/>
        </w:rPr>
      </w:pPr>
    </w:p>
    <w:p>
      <w:pPr>
        <w:ind w:left="1292" w:right="2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41.1 </w:t>
      </w:r>
      <w:r>
        <w:rPr>
          <w:rFonts w:ascii="Arial" w:cs="Arial" w:eastAsia="Arial" w:hAnsi="Arial"/>
          <w:sz w:val="18"/>
          <w:szCs w:val="18"/>
          <w:color w:val="auto"/>
        </w:rPr>
        <w:t>Subject to these Bye-laws anything which may be done by resolution of the Company in general meeting or by resolution of a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class of the Members may, without a meeting be done by written resolution in accordance with this Bye-law.</w:t>
      </w:r>
    </w:p>
    <w:p>
      <w:pPr>
        <w:spacing w:after="0" w:line="161" w:lineRule="exact"/>
        <w:rPr>
          <w:rFonts w:ascii="Arial" w:cs="Arial" w:eastAsia="Arial" w:hAnsi="Arial"/>
          <w:sz w:val="18"/>
          <w:szCs w:val="18"/>
          <w:b w:val="1"/>
          <w:bCs w:val="1"/>
          <w:color w:val="auto"/>
        </w:rPr>
      </w:pPr>
    </w:p>
    <w:p>
      <w:pPr>
        <w:ind w:left="1292" w:right="4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Notice of a written resolution shall be given, and a copy of the resolution shall be circulated to all Members who would be entitled to attend</w:t>
      </w:r>
      <w:r>
        <w:rPr>
          <w:rFonts w:ascii="Arial" w:cs="Arial" w:eastAsia="Arial" w:hAnsi="Arial"/>
          <w:sz w:val="18"/>
          <w:szCs w:val="18"/>
          <w:b w:val="1"/>
          <w:bCs w:val="1"/>
          <w:color w:val="auto"/>
        </w:rPr>
        <w:t xml:space="preserve"> </w:t>
      </w:r>
      <w:r>
        <w:rPr>
          <w:rFonts w:ascii="Arial" w:cs="Arial" w:eastAsia="Arial" w:hAnsi="Arial"/>
          <w:sz w:val="18"/>
          <w:szCs w:val="18"/>
          <w:color w:val="auto"/>
        </w:rPr>
        <w:t>a meeting and vote thereon. The accidental omission to give notice to, or the non-receipt of a notice by, any Member does not invalidate the passing of a resolution.</w:t>
      </w:r>
    </w:p>
    <w:p>
      <w:pPr>
        <w:spacing w:after="0" w:line="176" w:lineRule="exact"/>
        <w:rPr>
          <w:rFonts w:ascii="Arial" w:cs="Arial" w:eastAsia="Arial" w:hAnsi="Arial"/>
          <w:sz w:val="18"/>
          <w:szCs w:val="18"/>
          <w:b w:val="1"/>
          <w:bCs w:val="1"/>
          <w:color w:val="auto"/>
        </w:rPr>
      </w:pPr>
    </w:p>
    <w:p>
      <w:pPr>
        <w:ind w:left="1292" w:right="2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41.3 </w:t>
      </w:r>
      <w:r>
        <w:rPr>
          <w:rFonts w:ascii="Arial" w:cs="Arial" w:eastAsia="Arial" w:hAnsi="Arial"/>
          <w:sz w:val="18"/>
          <w:szCs w:val="18"/>
          <w:color w:val="auto"/>
        </w:rPr>
        <w:t>A written resolution is passed when it is signed by, or in the case of a Member that is a corporation on behalf of, the Members who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that the notice is given represent such majority of votes as would be required if the resolution was voted on at a meeting of Members at which all Members entitled to attend and vote thereat were present and voting.</w:t>
      </w:r>
    </w:p>
    <w:p>
      <w:pPr>
        <w:spacing w:after="0" w:line="17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41.4    </w:t>
      </w:r>
      <w:r>
        <w:rPr>
          <w:rFonts w:ascii="Arial" w:cs="Arial" w:eastAsia="Arial" w:hAnsi="Arial"/>
          <w:sz w:val="18"/>
          <w:szCs w:val="18"/>
          <w:color w:val="auto"/>
        </w:rPr>
        <w:t>A resolution in writing may be signed by any number of counterparts.</w:t>
      </w:r>
    </w:p>
    <w:p>
      <w:pPr>
        <w:spacing w:after="0" w:line="225" w:lineRule="exact"/>
        <w:rPr>
          <w:sz w:val="20"/>
          <w:szCs w:val="20"/>
          <w:color w:val="auto"/>
        </w:rPr>
      </w:pPr>
    </w:p>
    <w:p>
      <w:pPr>
        <w:ind w:left="1292" w:right="20" w:hanging="647"/>
        <w:spacing w:after="0" w:line="308" w:lineRule="auto"/>
        <w:tabs>
          <w:tab w:leader="none" w:pos="1272"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7"/>
          <w:szCs w:val="17"/>
          <w:color w:val="auto"/>
        </w:rPr>
        <w:t>A resolution in writing made in accordance with this Bye-law is as valid as if it had been passed by the Company in general meeting or by a meeting of the relevant class of Members, as the case may be (provided that (i) any such resolution shall be valid only if</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120"/>
        <w:spacing w:after="0" w:line="257" w:lineRule="auto"/>
        <w:rPr>
          <w:sz w:val="20"/>
          <w:szCs w:val="20"/>
          <w:color w:val="auto"/>
        </w:rPr>
      </w:pPr>
      <w:r>
        <w:rPr>
          <w:rFonts w:ascii="Arial" w:cs="Arial" w:eastAsia="Arial" w:hAnsi="Arial"/>
          <w:sz w:val="18"/>
          <w:szCs w:val="18"/>
          <w:color w:val="auto"/>
        </w:rPr>
        <w:t>the signature of the last Member to sign is affixed outside the United States (unless the Board dispenses with this requirement), and (ii) the Board may declare such resolution to be invalid if the Board determines that the use of a resolution in writing would result in a non-de minimis adverse tax, regulatory or legal consequence to the Company, any subsidiary of the Company, or any direct or indirect holder of shares or its affiliates), and any reference in any Bye-law to a meeting at which a resolution is passed or to Members voting in favour of a resolution shall be construed accordingly.</w:t>
      </w:r>
    </w:p>
    <w:p>
      <w:pPr>
        <w:spacing w:after="0" w:line="184"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color w:val="auto"/>
        </w:rPr>
        <w:t>A resolution in writing made in accordance with this Bye-law shall constitute minutes for the purposes of the Act.</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color w:val="auto"/>
        </w:rPr>
        <w:t>This Bye-law shall not apply to:</w:t>
      </w:r>
    </w:p>
    <w:p>
      <w:pPr>
        <w:spacing w:after="0" w:line="229" w:lineRule="exact"/>
        <w:rPr>
          <w:sz w:val="20"/>
          <w:szCs w:val="20"/>
          <w:color w:val="auto"/>
        </w:rPr>
      </w:pPr>
    </w:p>
    <w:p>
      <w:pPr>
        <w:ind w:left="1932" w:hanging="635"/>
        <w:spacing w:after="0"/>
        <w:tabs>
          <w:tab w:leader="none" w:pos="193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resolution passed to remove an Auditor from office before the expiration of his term of office; or</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resolution passed for the purpose of removing a Director before the expiration of his term of office.</w:t>
      </w:r>
    </w:p>
    <w:p>
      <w:pPr>
        <w:spacing w:after="0" w:line="221" w:lineRule="exact"/>
        <w:rPr>
          <w:sz w:val="20"/>
          <w:szCs w:val="20"/>
          <w:color w:val="auto"/>
        </w:rPr>
      </w:pPr>
    </w:p>
    <w:p>
      <w:pPr>
        <w:ind w:left="1292" w:right="60" w:hanging="647"/>
        <w:spacing w:after="0" w:line="259" w:lineRule="auto"/>
        <w:tabs>
          <w:tab w:leader="none" w:pos="1272"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8"/>
          <w:szCs w:val="18"/>
          <w:color w:val="auto"/>
        </w:rPr>
        <w:t>For the purposes of this Bye-law, the effective date of the resolution is the date when the resolution is signed by, or in the case of a Member that is a corporation whether or not a company within the meaning of the Act, on behalf of, the last Member whose signature results in the necessary voting majority being achieved and any reference in any Bye-law to the date of passing of a resolution is, in relation to a resolution made in accordance with this Bye-law, a reference to such date.</w:t>
      </w:r>
    </w:p>
    <w:p>
      <w:pPr>
        <w:spacing w:after="0" w:line="187" w:lineRule="exact"/>
        <w:rPr>
          <w:sz w:val="20"/>
          <w:szCs w:val="20"/>
          <w:color w:val="auto"/>
        </w:rPr>
      </w:pPr>
    </w:p>
    <w:p>
      <w:pPr>
        <w:ind w:left="652" w:hanging="652"/>
        <w:spacing w:after="0"/>
        <w:tabs>
          <w:tab w:leader="none" w:pos="652"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Attendance at General Meetings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Directors shall be entitled to receive notice of, attend and be heard at any general meeting.</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CERTAIN SUBSIDIARIES</w:t>
      </w:r>
    </w:p>
    <w:p>
      <w:pPr>
        <w:spacing w:after="0" w:line="225" w:lineRule="exact"/>
        <w:rPr>
          <w:sz w:val="20"/>
          <w:szCs w:val="20"/>
          <w:color w:val="auto"/>
        </w:rPr>
      </w:pPr>
    </w:p>
    <w:p>
      <w:pPr>
        <w:ind w:left="652" w:hanging="652"/>
        <w:spacing w:after="0"/>
        <w:tabs>
          <w:tab w:leader="none" w:pos="65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Voting of Subsidiary Shares</w:t>
      </w:r>
    </w:p>
    <w:p>
      <w:pPr>
        <w:spacing w:after="0" w:line="229" w:lineRule="exact"/>
        <w:rPr>
          <w:rFonts w:ascii="Arial" w:cs="Arial" w:eastAsia="Arial" w:hAnsi="Arial"/>
          <w:sz w:val="18"/>
          <w:szCs w:val="18"/>
          <w:b w:val="1"/>
          <w:bCs w:val="1"/>
          <w:color w:val="auto"/>
        </w:rPr>
      </w:pPr>
    </w:p>
    <w:p>
      <w:pPr>
        <w:ind w:left="652"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Notwithstanding any other provision of these Bye-laws to the contrary, if the Company is required or entitled to vote at a general meeting of any direct non-U.S. subsidiary of the Company, the Board shall refer the subject matter of the vote to the Members of the Company</w:t>
      </w:r>
    </w:p>
    <w:p>
      <w:pPr>
        <w:sectPr>
          <w:pgSz w:w="11900" w:h="16953" w:orient="portrait"/>
          <w:cols w:equalWidth="0" w:num="1">
            <w:col w:w="11392"/>
          </w:cols>
          <w:pgMar w:left="248" w:top="337" w:right="259" w:bottom="0" w:gutter="0" w:footer="0" w:header="0"/>
        </w:sectPr>
      </w:pPr>
    </w:p>
    <w:bookmarkStart w:id="176" w:name="page177"/>
    <w:bookmarkEnd w:id="176"/>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52" w:right="120"/>
        <w:spacing w:after="0" w:line="297" w:lineRule="auto"/>
        <w:rPr>
          <w:sz w:val="20"/>
          <w:szCs w:val="20"/>
          <w:color w:val="auto"/>
        </w:rPr>
      </w:pPr>
      <w:r>
        <w:rPr>
          <w:rFonts w:ascii="Arial" w:cs="Arial" w:eastAsia="Arial" w:hAnsi="Arial"/>
          <w:sz w:val="16"/>
          <w:szCs w:val="16"/>
          <w:color w:val="auto"/>
        </w:rPr>
        <w:t>on a poll (subject to Bye-laws 33 and 34) and seek authority from the Members for the Company’s corporate representative or proxy to vote in favour of the resolution proposed by the subsidiary. The Board shall cause the Company’s corporate representative or proxy to vote the Company’s shares in the subsidiary pro rata to the votes received at the general meeting of the Company, with votes for or against the directing resolution being taken, respectively, as an instruction for the Company’s corporate representative or proxy to vote the appropriate proportion of its shares for and the appropriate proportion of its shares against the resolution proposed by the subsidiary. The Board shall have authority to resolve any ambiguity.</w:t>
      </w:r>
    </w:p>
    <w:p>
      <w:pPr>
        <w:spacing w:after="0" w:line="154" w:lineRule="exact"/>
        <w:rPr>
          <w:sz w:val="20"/>
          <w:szCs w:val="20"/>
          <w:color w:val="auto"/>
        </w:rPr>
      </w:pPr>
    </w:p>
    <w:p>
      <w:pPr>
        <w:ind w:left="652" w:hanging="652"/>
        <w:spacing w:after="0"/>
        <w:tabs>
          <w:tab w:leader="none" w:pos="65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Bye-law or Articles of Association of Certain Subsidiaries</w:t>
      </w:r>
    </w:p>
    <w:p>
      <w:pPr>
        <w:spacing w:after="0" w:line="229" w:lineRule="exact"/>
        <w:rPr>
          <w:rFonts w:ascii="Arial" w:cs="Arial" w:eastAsia="Arial" w:hAnsi="Arial"/>
          <w:sz w:val="18"/>
          <w:szCs w:val="18"/>
          <w:b w:val="1"/>
          <w:bCs w:val="1"/>
          <w:color w:val="auto"/>
        </w:rPr>
      </w:pPr>
    </w:p>
    <w:p>
      <w:pPr>
        <w:ind w:left="652"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Board in its discretion shall require that the Bye-law or Articles of Association or similar organizational documents of each subsidiary of the Company, organized under the laws of a jurisdiction outside the United States of America, other than any non-U.S. subsidiary that is a direct or indirect subsidiary of a U.S. Person, shall contain provisions substantially similar to Bye-law 43 and 44. The Company shall enter into agreements, as and when determined by the Board, with each such subsidiary, only if and to the extent reasonably necessary and permitted under applicable law, to effectuate or implement this Bye-law.</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DIRECTORS AND OFFICERS</w:t>
      </w:r>
    </w:p>
    <w:p>
      <w:pPr>
        <w:spacing w:after="0" w:line="225" w:lineRule="exact"/>
        <w:rPr>
          <w:sz w:val="20"/>
          <w:szCs w:val="20"/>
          <w:color w:val="auto"/>
        </w:rPr>
      </w:pPr>
    </w:p>
    <w:p>
      <w:pPr>
        <w:ind w:left="652" w:hanging="652"/>
        <w:spacing w:after="0"/>
        <w:tabs>
          <w:tab w:leader="none" w:pos="65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225" w:lineRule="exact"/>
        <w:rPr>
          <w:rFonts w:ascii="Arial" w:cs="Arial" w:eastAsia="Arial" w:hAnsi="Arial"/>
          <w:sz w:val="18"/>
          <w:szCs w:val="18"/>
          <w:b w:val="1"/>
          <w:bCs w:val="1"/>
          <w:color w:val="auto"/>
        </w:rPr>
      </w:pPr>
    </w:p>
    <w:p>
      <w:pPr>
        <w:ind w:left="1292" w:right="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45.1 </w:t>
      </w:r>
      <w:r>
        <w:rPr>
          <w:rFonts w:ascii="Arial" w:cs="Arial" w:eastAsia="Arial" w:hAnsi="Arial"/>
          <w:sz w:val="18"/>
          <w:szCs w:val="18"/>
          <w:color w:val="auto"/>
        </w:rPr>
        <w:t>The Board shall consist of such number of Directors being not less than two (2) Directors and such number in excess as the Board may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determine.</w:t>
      </w:r>
    </w:p>
    <w:p>
      <w:pPr>
        <w:spacing w:after="0" w:line="161" w:lineRule="exact"/>
        <w:rPr>
          <w:rFonts w:ascii="Arial" w:cs="Arial" w:eastAsia="Arial" w:hAnsi="Arial"/>
          <w:sz w:val="18"/>
          <w:szCs w:val="18"/>
          <w:b w:val="1"/>
          <w:bCs w:val="1"/>
          <w:color w:val="auto"/>
        </w:rPr>
      </w:pPr>
    </w:p>
    <w:p>
      <w:pPr>
        <w:ind w:left="1292" w:right="24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45.2 </w:t>
      </w:r>
      <w:r>
        <w:rPr>
          <w:rFonts w:ascii="Arial" w:cs="Arial" w:eastAsia="Arial" w:hAnsi="Arial"/>
          <w:sz w:val="18"/>
          <w:szCs w:val="18"/>
          <w:color w:val="auto"/>
        </w:rPr>
        <w:t>Only persons who are proposed or nominated in accordance with Bye-law 24 or pursuant to the Shareholders Agreement shall be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election as Directors.</w:t>
      </w:r>
    </w:p>
    <w:p>
      <w:pPr>
        <w:spacing w:after="0" w:line="162" w:lineRule="exact"/>
        <w:rPr>
          <w:sz w:val="20"/>
          <w:szCs w:val="20"/>
          <w:color w:val="auto"/>
        </w:rPr>
      </w:pPr>
    </w:p>
    <w:p>
      <w:pPr>
        <w:jc w:val="both"/>
        <w:ind w:left="1292" w:right="6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45.3</w:t>
      </w:r>
      <w:r>
        <w:rPr>
          <w:sz w:val="20"/>
          <w:szCs w:val="20"/>
          <w:color w:val="auto"/>
        </w:rPr>
        <w:tab/>
      </w:r>
      <w:r>
        <w:rPr>
          <w:rFonts w:ascii="Arial" w:cs="Arial" w:eastAsia="Arial" w:hAnsi="Arial"/>
          <w:sz w:val="18"/>
          <w:szCs w:val="18"/>
          <w:color w:val="auto"/>
        </w:rPr>
        <w:t>Where the number of persons validly proposed for re-election or election as a Director is greater than the number of Directors to be elected, the persons receiving the most votes (up to the number of Directors to be elected) shall be elected as Directors, and an absolute majority of the votes cast shall not be a prerequisite to the election of such Directors.</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right="16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45.4</w:t>
      </w:r>
      <w:r>
        <w:rPr>
          <w:sz w:val="20"/>
          <w:szCs w:val="20"/>
          <w:color w:val="auto"/>
        </w:rPr>
        <w:tab/>
      </w:r>
      <w:r>
        <w:rPr>
          <w:rFonts w:ascii="Arial" w:cs="Arial" w:eastAsia="Arial" w:hAnsi="Arial"/>
          <w:sz w:val="18"/>
          <w:szCs w:val="18"/>
          <w:color w:val="auto"/>
        </w:rPr>
        <w:t>At any general meeting the Members may authorise the Board to fill any vacancy in their number left unfilled at a general meeting, except as set forth in the Shareholders Agreement.</w:t>
      </w:r>
    </w:p>
    <w:p>
      <w:pPr>
        <w:spacing w:after="0" w:line="170" w:lineRule="exact"/>
        <w:rPr>
          <w:sz w:val="20"/>
          <w:szCs w:val="20"/>
          <w:color w:val="auto"/>
        </w:rPr>
      </w:pPr>
    </w:p>
    <w:p>
      <w:pPr>
        <w:ind w:left="652" w:hanging="652"/>
        <w:spacing w:after="0"/>
        <w:tabs>
          <w:tab w:leader="none" w:pos="6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Classes of Directors</w:t>
      </w:r>
    </w:p>
    <w:p>
      <w:pPr>
        <w:spacing w:after="0" w:line="229"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Directors shall be divided into three classes designated Class I, Class II, and Class III. Each class of Directors shall consist, as nearly as possible, of one third of the total number of Directors constituting the entire Board.</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Term of Office of Directors</w:t>
      </w:r>
    </w:p>
    <w:p>
      <w:pPr>
        <w:spacing w:after="0" w:line="229" w:lineRule="exact"/>
        <w:rPr>
          <w:rFonts w:ascii="Arial" w:cs="Arial" w:eastAsia="Arial" w:hAnsi="Arial"/>
          <w:sz w:val="18"/>
          <w:szCs w:val="18"/>
          <w:b w:val="1"/>
          <w:bCs w:val="1"/>
          <w:color w:val="auto"/>
        </w:rPr>
      </w:pPr>
    </w:p>
    <w:p>
      <w:pPr>
        <w:ind w:left="652" w:right="1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At the first general meeting which is held after the date of adoption of these Bye-laws for the purpose of electing Directors, the Class I Directors shall be elected for a one year term of office, the Class II Directors shall be elected for a two year term of office and the Class III Directors shall be elected for a three year term of office. At each succeeding annual general meeting, successors to the class of Directors whose term expires at that annual general meeting shall be elected for a three year term. If the number of Directors is changed, any increase or decrease shall be apportioned among the classes so as to maintain the number of Directors in each class as nearly equal as possible, and any Director of any class elected to fill a vacancy shall hold office for a term that shall coincide with the remaining term of the other Directors of that class, but in no case shall a decrease in the number of Directors shorten the term of any Director then in office. A Director shall hold office until the annual general meeting for the year in which his term expires, subject to his office being vacated pursuant to Bye-law 49.</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225" w:lineRule="exact"/>
        <w:rPr>
          <w:rFonts w:ascii="Arial" w:cs="Arial" w:eastAsia="Arial" w:hAnsi="Arial"/>
          <w:sz w:val="18"/>
          <w:szCs w:val="18"/>
          <w:b w:val="1"/>
          <w:bCs w:val="1"/>
          <w:color w:val="auto"/>
        </w:rPr>
      </w:pPr>
    </w:p>
    <w:p>
      <w:pPr>
        <w:ind w:left="1292" w:right="2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48.1 </w:t>
      </w:r>
      <w:r>
        <w:rPr>
          <w:rFonts w:ascii="Arial" w:cs="Arial" w:eastAsia="Arial" w:hAnsi="Arial"/>
          <w:sz w:val="18"/>
          <w:szCs w:val="18"/>
          <w:color w:val="auto"/>
        </w:rPr>
        <w:t>At any general meeting, the Members may elect a person or persons to act as a Director in the alternative to any one or more Directors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authorise the Board to appoint such Alternate Directors.</w:t>
      </w:r>
    </w:p>
    <w:p>
      <w:pPr>
        <w:spacing w:after="0" w:line="162" w:lineRule="exact"/>
        <w:rPr>
          <w:sz w:val="20"/>
          <w:szCs w:val="20"/>
          <w:color w:val="auto"/>
        </w:rPr>
      </w:pPr>
    </w:p>
    <w:p>
      <w:pPr>
        <w:ind w:left="1292" w:right="300" w:hanging="647"/>
        <w:spacing w:after="0" w:line="342" w:lineRule="auto"/>
        <w:tabs>
          <w:tab w:leader="none" w:pos="1272" w:val="left"/>
        </w:tabs>
        <w:rPr>
          <w:sz w:val="20"/>
          <w:szCs w:val="20"/>
          <w:color w:val="auto"/>
        </w:rPr>
      </w:pPr>
      <w:r>
        <w:rPr>
          <w:rFonts w:ascii="Arial" w:cs="Arial" w:eastAsia="Arial" w:hAnsi="Arial"/>
          <w:sz w:val="18"/>
          <w:szCs w:val="18"/>
          <w:b w:val="1"/>
          <w:bCs w:val="1"/>
          <w:color w:val="auto"/>
        </w:rPr>
        <w:t>48.2</w:t>
      </w:r>
      <w:r>
        <w:rPr>
          <w:sz w:val="20"/>
          <w:szCs w:val="20"/>
          <w:color w:val="auto"/>
        </w:rPr>
        <w:tab/>
      </w:r>
      <w:r>
        <w:rPr>
          <w:rFonts w:ascii="Arial" w:cs="Arial" w:eastAsia="Arial" w:hAnsi="Arial"/>
          <w:sz w:val="16"/>
          <w:szCs w:val="16"/>
          <w:color w:val="auto"/>
        </w:rPr>
        <w:t>Unless the Members otherwise resolve, any Director may appoint a person or persons to act as a Director in the alternative to himself by notice deposited with the Secretary. Any person so elected or appointed shall have all the rights and powers of the Director</w:t>
      </w:r>
    </w:p>
    <w:p>
      <w:pPr>
        <w:spacing w:after="0" w:line="12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700"/>
        <w:spacing w:after="0" w:line="277" w:lineRule="auto"/>
        <w:rPr>
          <w:sz w:val="20"/>
          <w:szCs w:val="20"/>
          <w:color w:val="auto"/>
        </w:rPr>
      </w:pPr>
      <w:r>
        <w:rPr>
          <w:rFonts w:ascii="Arial" w:cs="Arial" w:eastAsia="Arial" w:hAnsi="Arial"/>
          <w:sz w:val="18"/>
          <w:szCs w:val="18"/>
          <w:color w:val="auto"/>
        </w:rPr>
        <w:t>or Directors for whom such person is appointed in the alternative provided that such person shall not be counted more than once in determining whether or not a quorum is present.</w:t>
      </w:r>
    </w:p>
    <w:p>
      <w:pPr>
        <w:spacing w:after="0" w:line="166" w:lineRule="exact"/>
        <w:rPr>
          <w:sz w:val="20"/>
          <w:szCs w:val="20"/>
          <w:color w:val="auto"/>
        </w:rPr>
      </w:pPr>
    </w:p>
    <w:p>
      <w:pPr>
        <w:ind w:left="1292" w:right="16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48.3</w:t>
      </w:r>
      <w:r>
        <w:rPr>
          <w:sz w:val="20"/>
          <w:szCs w:val="20"/>
          <w:color w:val="auto"/>
        </w:rPr>
        <w:tab/>
      </w:r>
      <w:r>
        <w:rPr>
          <w:rFonts w:ascii="Arial" w:cs="Arial" w:eastAsia="Arial" w:hAnsi="Arial"/>
          <w:sz w:val="18"/>
          <w:szCs w:val="18"/>
          <w:color w:val="auto"/>
        </w:rPr>
        <w:t>An Alternate Director shall be entitled to receive notice of all meetings of the Board and to attend and vote at any such meeting at which a Director for whom such Alternate Director was appointed in the alternative is not personally present and generally to perform at such meeting all the functions of such Director for whom such Alternate Director was appointed.</w:t>
      </w:r>
    </w:p>
    <w:p>
      <w:pPr>
        <w:sectPr>
          <w:pgSz w:w="11900" w:h="16838" w:orient="portrait"/>
          <w:cols w:equalWidth="0" w:num="1">
            <w:col w:w="11412"/>
          </w:cols>
          <w:pgMar w:left="248" w:top="341" w:right="239" w:bottom="168" w:gutter="0" w:footer="0" w:header="0"/>
        </w:sectPr>
      </w:pPr>
    </w:p>
    <w:bookmarkStart w:id="177" w:name="page178"/>
    <w:bookmarkEnd w:id="177"/>
    <w:p>
      <w:pPr>
        <w:ind w:left="1292" w:right="8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48.4</w:t>
      </w:r>
      <w:r>
        <w:rPr>
          <w:sz w:val="20"/>
          <w:szCs w:val="20"/>
          <w:color w:val="auto"/>
        </w:rPr>
        <w:tab/>
      </w:r>
      <w:r>
        <w:rPr>
          <w:rFonts w:ascii="Arial" w:cs="Arial" w:eastAsia="Arial" w:hAnsi="Arial"/>
          <w:sz w:val="18"/>
          <w:szCs w:val="18"/>
          <w:color w:val="auto"/>
        </w:rPr>
        <w:t>An Alternate Director shall cease to be such if the Director for whom he was appointed to act as a Director in the alternative ceases for any reason to be a Director, but he may be re-appointed by the Board as an alternate to the person appointed to fill the vacancy in accordance with these Bye-laws.</w:t>
      </w:r>
    </w:p>
    <w:p>
      <w:pPr>
        <w:spacing w:after="0" w:line="181" w:lineRule="exact"/>
        <w:rPr>
          <w:sz w:val="20"/>
          <w:szCs w:val="20"/>
          <w:color w:val="auto"/>
        </w:rPr>
      </w:pPr>
    </w:p>
    <w:p>
      <w:pPr>
        <w:ind w:left="652" w:hanging="652"/>
        <w:spacing w:after="0"/>
        <w:tabs>
          <w:tab w:leader="none" w:pos="65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225" w:lineRule="exact"/>
        <w:rPr>
          <w:rFonts w:ascii="Arial" w:cs="Arial" w:eastAsia="Arial" w:hAnsi="Arial"/>
          <w:sz w:val="18"/>
          <w:szCs w:val="18"/>
          <w:b w:val="1"/>
          <w:bCs w:val="1"/>
          <w:color w:val="auto"/>
        </w:rPr>
      </w:pPr>
    </w:p>
    <w:p>
      <w:pPr>
        <w:ind w:left="1292" w:right="200" w:hanging="648"/>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49.1 </w:t>
      </w:r>
      <w:r>
        <w:rPr>
          <w:rFonts w:ascii="Arial" w:cs="Arial" w:eastAsia="Arial" w:hAnsi="Arial"/>
          <w:sz w:val="17"/>
          <w:szCs w:val="17"/>
          <w:color w:val="auto"/>
        </w:rPr>
        <w:t>Subject to any provision to the contrary in these Bye-laws, the Members holding a majority of the issued and outstanding shares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at any special general meeting convened and held in accordance with these Bye-laws, by the affirmative vote of all such Members, remove a Director, only with cause, provided that the notice of any such meeting convened for the purpose of removing a Director shall contain a statement of the intention so to do and be served on such Director not less than 14 days before the meeting and at such meeting the Director shall be entitled to be heard on the motion for such Director’s removal.</w:t>
      </w:r>
    </w:p>
    <w:p>
      <w:pPr>
        <w:spacing w:after="0" w:line="168" w:lineRule="exact"/>
        <w:rPr>
          <w:rFonts w:ascii="Arial" w:cs="Arial" w:eastAsia="Arial" w:hAnsi="Arial"/>
          <w:sz w:val="18"/>
          <w:szCs w:val="18"/>
          <w:b w:val="1"/>
          <w:bCs w:val="1"/>
          <w:color w:val="auto"/>
        </w:rPr>
      </w:pPr>
    </w:p>
    <w:p>
      <w:pPr>
        <w:ind w:left="1292" w:right="2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49.2 </w:t>
      </w:r>
      <w:r>
        <w:rPr>
          <w:rFonts w:ascii="Arial" w:cs="Arial" w:eastAsia="Arial" w:hAnsi="Arial"/>
          <w:sz w:val="18"/>
          <w:szCs w:val="18"/>
          <w:color w:val="auto"/>
        </w:rPr>
        <w:t>Subject to the Shareholders Agreement, if a Director is removed from the Board under the provisions of this Bye-law the Members may fill</w:t>
      </w:r>
      <w:r>
        <w:rPr>
          <w:rFonts w:ascii="Arial" w:cs="Arial" w:eastAsia="Arial" w:hAnsi="Arial"/>
          <w:sz w:val="18"/>
          <w:szCs w:val="18"/>
          <w:b w:val="1"/>
          <w:bCs w:val="1"/>
          <w:color w:val="auto"/>
        </w:rPr>
        <w:t xml:space="preserve"> </w:t>
      </w:r>
      <w:r>
        <w:rPr>
          <w:rFonts w:ascii="Arial" w:cs="Arial" w:eastAsia="Arial" w:hAnsi="Arial"/>
          <w:sz w:val="18"/>
          <w:szCs w:val="18"/>
          <w:color w:val="auto"/>
        </w:rPr>
        <w:t>the vacancy at the meeting at which such Director is removed and a Director so appointed shall hold office in the same class of Directors as the removed Director held until the next annual general meeting or until such Director’s office is otherwise vacated. In the absence of such election or appointment, the Board may fill the vacancy.</w:t>
      </w:r>
    </w:p>
    <w:p>
      <w:pPr>
        <w:spacing w:after="0" w:line="18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hanging="647"/>
        <w:spacing w:after="0" w:line="308" w:lineRule="auto"/>
        <w:tabs>
          <w:tab w:leader="none" w:pos="1272" w:val="left"/>
        </w:tabs>
        <w:rPr>
          <w:sz w:val="20"/>
          <w:szCs w:val="20"/>
          <w:color w:val="auto"/>
        </w:rPr>
      </w:pPr>
      <w:r>
        <w:rPr>
          <w:rFonts w:ascii="Arial" w:cs="Arial" w:eastAsia="Arial" w:hAnsi="Arial"/>
          <w:sz w:val="18"/>
          <w:szCs w:val="18"/>
          <w:b w:val="1"/>
          <w:bCs w:val="1"/>
          <w:color w:val="auto"/>
        </w:rPr>
        <w:t>49.3</w:t>
      </w:r>
      <w:r>
        <w:rPr>
          <w:sz w:val="20"/>
          <w:szCs w:val="20"/>
          <w:color w:val="auto"/>
        </w:rPr>
        <w:tab/>
      </w:r>
      <w:r>
        <w:rPr>
          <w:rFonts w:ascii="Arial" w:cs="Arial" w:eastAsia="Arial" w:hAnsi="Arial"/>
          <w:sz w:val="17"/>
          <w:szCs w:val="17"/>
          <w:color w:val="auto"/>
        </w:rPr>
        <w:t>For the purpose of Bye-law 49.1, “cause” shall mean a conviction for a criminal offence involving dishonesty or engaging in conduct which brings the Director or the Company into disrepute and which results in material financial detriment to the Company.</w:t>
      </w:r>
    </w:p>
    <w:p>
      <w:pPr>
        <w:spacing w:after="0" w:line="147"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Vacancy in the Office of Director</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50.1    </w:t>
      </w:r>
      <w:r>
        <w:rPr>
          <w:rFonts w:ascii="Arial" w:cs="Arial" w:eastAsia="Arial" w:hAnsi="Arial"/>
          <w:sz w:val="18"/>
          <w:szCs w:val="18"/>
          <w:color w:val="auto"/>
        </w:rPr>
        <w:t>The office of Director shall be vacated if the Director:</w:t>
      </w:r>
    </w:p>
    <w:p>
      <w:pPr>
        <w:spacing w:after="0" w:line="229" w:lineRule="exact"/>
        <w:rPr>
          <w:rFonts w:ascii="Arial" w:cs="Arial" w:eastAsia="Arial" w:hAnsi="Arial"/>
          <w:sz w:val="18"/>
          <w:szCs w:val="18"/>
          <w:b w:val="1"/>
          <w:bCs w:val="1"/>
          <w:color w:val="auto"/>
        </w:rPr>
      </w:pPr>
    </w:p>
    <w:p>
      <w:pPr>
        <w:ind w:left="1932" w:hanging="635"/>
        <w:spacing w:after="0"/>
        <w:tabs>
          <w:tab w:leader="none" w:pos="19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removed from office pursuant to these Bye-laws or is prohibited from being a Director by law;</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or becomes bankrupt, or makes any arrangement or composition with his creditors generally;</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or becomes of unsound mind or dies; or</w:t>
      </w:r>
    </w:p>
    <w:p>
      <w:pPr>
        <w:spacing w:after="0" w:line="225" w:lineRule="exact"/>
        <w:rPr>
          <w:sz w:val="20"/>
          <w:szCs w:val="20"/>
          <w:color w:val="auto"/>
        </w:rPr>
      </w:pPr>
    </w:p>
    <w:p>
      <w:pPr>
        <w:ind w:left="1932" w:hanging="635"/>
        <w:spacing w:after="0"/>
        <w:tabs>
          <w:tab w:leader="none" w:pos="19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resigns his office by notice to the Company.</w:t>
      </w:r>
    </w:p>
    <w:p>
      <w:pPr>
        <w:spacing w:after="0" w:line="221" w:lineRule="exact"/>
        <w:rPr>
          <w:sz w:val="20"/>
          <w:szCs w:val="20"/>
          <w:color w:val="auto"/>
        </w:rPr>
      </w:pPr>
    </w:p>
    <w:p>
      <w:pPr>
        <w:ind w:left="1292" w:right="260" w:hanging="647"/>
        <w:spacing w:after="0" w:line="286" w:lineRule="auto"/>
        <w:tabs>
          <w:tab w:leader="none" w:pos="1272"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7"/>
          <w:szCs w:val="17"/>
          <w:color w:val="auto"/>
        </w:rPr>
        <w:t>Subject to the Shareholders Agreement, the Members in general meeting or the Board shall have the power to appoint any person as a Director to fill a vacancy on the Board occurring as a result of the death, disability, disqualification or resignation of any Director or as a result of an increase in the size of the Board and to appoint an Alternate Director to any Director so appointed.</w:t>
      </w:r>
    </w:p>
    <w:p>
      <w:pPr>
        <w:spacing w:after="0" w:line="166" w:lineRule="exact"/>
        <w:rPr>
          <w:sz w:val="20"/>
          <w:szCs w:val="20"/>
          <w:color w:val="auto"/>
        </w:rPr>
      </w:pPr>
    </w:p>
    <w:p>
      <w:pPr>
        <w:ind w:left="652" w:hanging="652"/>
        <w:spacing w:after="0"/>
        <w:tabs>
          <w:tab w:leader="none" w:pos="6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229" w:lineRule="exact"/>
        <w:rPr>
          <w:rFonts w:ascii="Arial" w:cs="Arial" w:eastAsia="Arial" w:hAnsi="Arial"/>
          <w:sz w:val="18"/>
          <w:szCs w:val="18"/>
          <w:b w:val="1"/>
          <w:bCs w:val="1"/>
          <w:color w:val="auto"/>
        </w:rPr>
      </w:pPr>
    </w:p>
    <w:p>
      <w:pPr>
        <w:ind w:left="652"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remuneration (if any) of the Directors shall be determined by the Board or a committee thereof and shall be deemed to accrue from day to day. The Directors may also be paid all travel, hotel and other expenses properly incurred by them in attending and returning from the meetings of the Board, any committee appointed by the Board, general meetings, or in connection with the business of the Company or their duties as Directors generally.</w:t>
      </w:r>
    </w:p>
    <w:p>
      <w:pPr>
        <w:spacing w:after="0" w:line="182" w:lineRule="exact"/>
        <w:rPr>
          <w:rFonts w:ascii="Arial" w:cs="Arial" w:eastAsia="Arial" w:hAnsi="Arial"/>
          <w:sz w:val="18"/>
          <w:szCs w:val="18"/>
          <w:b w:val="1"/>
          <w:bCs w:val="1"/>
          <w:color w:val="auto"/>
        </w:rPr>
      </w:pPr>
    </w:p>
    <w:p>
      <w:pPr>
        <w:ind w:left="652" w:hanging="652"/>
        <w:spacing w:after="0"/>
        <w:tabs>
          <w:tab w:leader="none" w:pos="65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Defect in Appointment</w:t>
      </w:r>
    </w:p>
    <w:p>
      <w:pPr>
        <w:spacing w:after="0" w:line="229" w:lineRule="exact"/>
        <w:rPr>
          <w:rFonts w:ascii="Arial" w:cs="Arial" w:eastAsia="Arial" w:hAnsi="Arial"/>
          <w:sz w:val="18"/>
          <w:szCs w:val="18"/>
          <w:b w:val="1"/>
          <w:bCs w:val="1"/>
          <w:color w:val="auto"/>
        </w:rPr>
      </w:pPr>
    </w:p>
    <w:p>
      <w:pPr>
        <w:ind w:left="652" w:right="1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All acts done in good faith by the Board, any Director, a member of a committee appointed by the Board, any person to whom the Board may have delegated any of its powers shall, or any person acting as a Director shall, notwithstanding that it be afterwards discovered that there</w:t>
      </w:r>
    </w:p>
    <w:p>
      <w:pPr>
        <w:spacing w:after="0" w:line="14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00"/>
        <w:spacing w:after="0" w:line="277" w:lineRule="auto"/>
        <w:rPr>
          <w:sz w:val="20"/>
          <w:szCs w:val="20"/>
          <w:color w:val="auto"/>
        </w:rPr>
      </w:pPr>
      <w:r>
        <w:rPr>
          <w:rFonts w:ascii="Arial" w:cs="Arial" w:eastAsia="Arial" w:hAnsi="Arial"/>
          <w:sz w:val="18"/>
          <w:szCs w:val="18"/>
          <w:color w:val="auto"/>
        </w:rPr>
        <w:t>was some defect in the appointment of any Director or person acting as aforesaid, or that he was, or any of them were, disqualified, be as valid as if every such person had been duly appointed and was qualified to be a Director or act in the relevant capacity.</w:t>
      </w:r>
    </w:p>
    <w:p>
      <w:pPr>
        <w:spacing w:after="0" w:line="166" w:lineRule="exact"/>
        <w:rPr>
          <w:sz w:val="20"/>
          <w:szCs w:val="20"/>
          <w:color w:val="auto"/>
        </w:rPr>
      </w:pPr>
    </w:p>
    <w:p>
      <w:pPr>
        <w:ind w:left="652" w:hanging="652"/>
        <w:spacing w:after="0"/>
        <w:tabs>
          <w:tab w:leader="none" w:pos="65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to Manage Business</w:t>
      </w:r>
    </w:p>
    <w:p>
      <w:pPr>
        <w:spacing w:after="0" w:line="229" w:lineRule="exact"/>
        <w:rPr>
          <w:rFonts w:ascii="Arial" w:cs="Arial" w:eastAsia="Arial" w:hAnsi="Arial"/>
          <w:sz w:val="18"/>
          <w:szCs w:val="18"/>
          <w:b w:val="1"/>
          <w:bCs w:val="1"/>
          <w:color w:val="auto"/>
        </w:rPr>
      </w:pPr>
    </w:p>
    <w:p>
      <w:pPr>
        <w:ind w:left="652"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business of the Company shall be managed and conducted by the Board. In managing the business of the Company, the Board may exercise all such powers of the Company as are not, by the Act or by these Bye-laws, required to be exercised by the Company in general meeting.</w:t>
      </w:r>
    </w:p>
    <w:p>
      <w:pPr>
        <w:spacing w:after="0" w:line="119" w:lineRule="exact"/>
        <w:rPr>
          <w:rFonts w:ascii="Arial" w:cs="Arial" w:eastAsia="Arial" w:hAnsi="Arial"/>
          <w:sz w:val="18"/>
          <w:szCs w:val="18"/>
          <w:b w:val="1"/>
          <w:bCs w:val="1"/>
          <w:color w:val="auto"/>
        </w:rPr>
      </w:pPr>
    </w:p>
    <w:p>
      <w:pPr>
        <w:ind w:left="652" w:right="8200" w:hanging="652"/>
        <w:spacing w:after="0" w:line="503" w:lineRule="auto"/>
        <w:tabs>
          <w:tab w:leader="none" w:pos="647"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the Board of Directors </w:t>
      </w:r>
      <w:r>
        <w:rPr>
          <w:rFonts w:ascii="Arial" w:cs="Arial" w:eastAsia="Arial" w:hAnsi="Arial"/>
          <w:sz w:val="18"/>
          <w:szCs w:val="18"/>
          <w:color w:val="auto"/>
        </w:rPr>
        <w:t>The Board may:</w:t>
      </w:r>
    </w:p>
    <w:p>
      <w:pPr>
        <w:ind w:left="1952" w:right="40" w:hanging="655"/>
        <w:spacing w:after="0" w:line="277" w:lineRule="auto"/>
        <w:tabs>
          <w:tab w:leader="none" w:pos="194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appoint, suspend, or remove any manager, secretary, clerk, agent or employee of the Company and may fix their remuneration and determine their duties;</w:t>
      </w:r>
    </w:p>
    <w:p>
      <w:pPr>
        <w:spacing w:after="0" w:line="170" w:lineRule="exact"/>
        <w:rPr>
          <w:rFonts w:ascii="Arial" w:cs="Arial" w:eastAsia="Arial" w:hAnsi="Arial"/>
          <w:sz w:val="18"/>
          <w:szCs w:val="18"/>
          <w:color w:val="auto"/>
        </w:rPr>
      </w:pPr>
    </w:p>
    <w:p>
      <w:pPr>
        <w:ind w:left="1952" w:right="280" w:hanging="655"/>
        <w:spacing w:after="0" w:line="286" w:lineRule="auto"/>
        <w:tabs>
          <w:tab w:leader="none" w:pos="1959"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exercise all the powers of the Company to borrow money and to mortgage or charge or otherwise grant a security interest in its undertaking, property and uncalled capital, or any part thereof, and may issue debentures, debenture stock and other securities whether outright or as security for any debt, liability or obligation of the Company or any third party;</w:t>
      </w:r>
    </w:p>
    <w:p>
      <w:pPr>
        <w:sectPr>
          <w:pgSz w:w="11900" w:h="16838" w:orient="portrait"/>
          <w:cols w:equalWidth="0" w:num="1">
            <w:col w:w="11372"/>
          </w:cols>
          <w:pgMar w:left="248" w:top="121" w:right="279" w:bottom="0" w:gutter="0" w:footer="0" w:header="0"/>
        </w:sectPr>
      </w:pPr>
    </w:p>
    <w:bookmarkStart w:id="178" w:name="page179"/>
    <w:bookmarkEnd w:id="178"/>
    <w:p>
      <w:pPr>
        <w:spacing w:after="0" w:line="141" w:lineRule="exact"/>
        <w:rPr>
          <w:sz w:val="20"/>
          <w:szCs w:val="20"/>
          <w:color w:val="auto"/>
        </w:rPr>
      </w:pPr>
    </w:p>
    <w:p>
      <w:pPr>
        <w:ind w:left="1952" w:right="180" w:hanging="655"/>
        <w:spacing w:after="0" w:line="308" w:lineRule="auto"/>
        <w:tabs>
          <w:tab w:leader="none" w:pos="196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appoint one or more Directors to the office of managing director or chief executive officer of the Company, who shall, subject to the control of the Board, supervise and administer all of the general business and affairs of the Company;</w:t>
      </w:r>
    </w:p>
    <w:p>
      <w:pPr>
        <w:spacing w:after="0" w:line="146" w:lineRule="exact"/>
        <w:rPr>
          <w:rFonts w:ascii="Arial" w:cs="Arial" w:eastAsia="Arial" w:hAnsi="Arial"/>
          <w:sz w:val="17"/>
          <w:szCs w:val="17"/>
          <w:color w:val="auto"/>
        </w:rPr>
      </w:pPr>
    </w:p>
    <w:p>
      <w:pPr>
        <w:ind w:left="1952" w:right="140" w:hanging="655"/>
        <w:spacing w:after="0" w:line="277" w:lineRule="auto"/>
        <w:tabs>
          <w:tab w:leader="none" w:pos="195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appoint a person to act as manager of the Company’s day-to-day business and may entrust to and confer upon such manager such powers and duties as it deems appropriate for the transaction or conduct of such business;</w:t>
      </w:r>
    </w:p>
    <w:p>
      <w:pPr>
        <w:spacing w:after="0" w:line="170" w:lineRule="exact"/>
        <w:rPr>
          <w:rFonts w:ascii="Arial" w:cs="Arial" w:eastAsia="Arial" w:hAnsi="Arial"/>
          <w:sz w:val="18"/>
          <w:szCs w:val="18"/>
          <w:color w:val="auto"/>
        </w:rPr>
      </w:pPr>
    </w:p>
    <w:p>
      <w:pPr>
        <w:ind w:left="1952" w:right="60" w:hanging="655"/>
        <w:spacing w:after="0" w:line="259" w:lineRule="auto"/>
        <w:tabs>
          <w:tab w:leader="none" w:pos="19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80"/>
        <w:spacing w:after="0" w:line="264" w:lineRule="auto"/>
        <w:rPr>
          <w:sz w:val="20"/>
          <w:szCs w:val="20"/>
          <w:color w:val="auto"/>
        </w:rPr>
      </w:pPr>
      <w:r>
        <w:rPr>
          <w:rFonts w:ascii="Arial" w:cs="Arial" w:eastAsia="Arial" w:hAnsi="Arial"/>
          <w:sz w:val="18"/>
          <w:szCs w:val="18"/>
          <w:color w:val="auto"/>
        </w:rPr>
        <w:t>may contain such provisions for the protection and convenience of persons dealing with any such attorney as the Board may think fit and may also authorise any such attorney to sub-delegate all or any of the powers, authorities and discretions so vested in the attorney;</w:t>
      </w:r>
    </w:p>
    <w:p>
      <w:pPr>
        <w:spacing w:after="0" w:line="181" w:lineRule="exact"/>
        <w:rPr>
          <w:sz w:val="20"/>
          <w:szCs w:val="20"/>
          <w:color w:val="auto"/>
        </w:rPr>
      </w:pPr>
    </w:p>
    <w:p>
      <w:pPr>
        <w:ind w:left="1952" w:right="300" w:hanging="655"/>
        <w:spacing w:after="0" w:line="277" w:lineRule="auto"/>
        <w:tabs>
          <w:tab w:leader="none" w:pos="195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procure that the Company pays all expenses incurred in promoting and incorporating the Company and listing the shares of the Company;</w:t>
      </w:r>
    </w:p>
    <w:p>
      <w:pPr>
        <w:spacing w:after="0" w:line="170" w:lineRule="exact"/>
        <w:rPr>
          <w:rFonts w:ascii="Arial" w:cs="Arial" w:eastAsia="Arial" w:hAnsi="Arial"/>
          <w:sz w:val="18"/>
          <w:szCs w:val="18"/>
          <w:color w:val="auto"/>
        </w:rPr>
      </w:pPr>
    </w:p>
    <w:p>
      <w:pPr>
        <w:ind w:left="1952" w:right="120" w:hanging="655"/>
        <w:spacing w:after="0" w:line="257" w:lineRule="auto"/>
        <w:tabs>
          <w:tab w:leader="none" w:pos="197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delegate any of its powers (including the power to sub-delegate) to a committee of one or more persons appointed by the Board which may consist partly or entirely of non-Directors, provided that every such committee shall conform to such directions as the Board shall impose on them and provided further that the meetings and proceedings of any such committee shall be governed by these Bye-laws regulating the meetings and proceedings of the Board, so far as the same are applicable and are not superseded by directions imposed by the Board;</w:t>
      </w:r>
    </w:p>
    <w:p>
      <w:pPr>
        <w:spacing w:after="0" w:line="188" w:lineRule="exact"/>
        <w:rPr>
          <w:rFonts w:ascii="Arial" w:cs="Arial" w:eastAsia="Arial" w:hAnsi="Arial"/>
          <w:sz w:val="18"/>
          <w:szCs w:val="18"/>
          <w:color w:val="auto"/>
        </w:rPr>
      </w:pPr>
    </w:p>
    <w:p>
      <w:pPr>
        <w:ind w:left="1952" w:hanging="655"/>
        <w:spacing w:after="0" w:line="277" w:lineRule="auto"/>
        <w:tabs>
          <w:tab w:leader="none" w:pos="195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delegate any of its powers (including the power to sub-delegate) to any person on such terms and in such manner as the Board may see fit;</w:t>
      </w:r>
    </w:p>
    <w:p>
      <w:pPr>
        <w:spacing w:after="0" w:line="170" w:lineRule="exact"/>
        <w:rPr>
          <w:rFonts w:ascii="Arial" w:cs="Arial" w:eastAsia="Arial" w:hAnsi="Arial"/>
          <w:sz w:val="18"/>
          <w:szCs w:val="18"/>
          <w:color w:val="auto"/>
        </w:rPr>
      </w:pPr>
    </w:p>
    <w:p>
      <w:pPr>
        <w:ind w:left="1972" w:hanging="675"/>
        <w:spacing w:after="0"/>
        <w:tabs>
          <w:tab w:leader="none" w:pos="197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present any petition and make any application in connection with the liquidation or reorganisation of the Company;</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connection with the issue of any share, pay such commission and brokerage as may be permitted by law; and</w:t>
      </w:r>
    </w:p>
    <w:p>
      <w:pPr>
        <w:spacing w:after="0" w:line="225" w:lineRule="exact"/>
        <w:rPr>
          <w:rFonts w:ascii="Arial" w:cs="Arial" w:eastAsia="Arial" w:hAnsi="Arial"/>
          <w:sz w:val="18"/>
          <w:szCs w:val="18"/>
          <w:color w:val="auto"/>
        </w:rPr>
      </w:pPr>
    </w:p>
    <w:p>
      <w:pPr>
        <w:ind w:left="1952" w:right="780" w:hanging="655"/>
        <w:spacing w:after="0" w:line="308" w:lineRule="auto"/>
        <w:tabs>
          <w:tab w:leader="none" w:pos="195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authorise any company, firm, person or body of persons to act on behalf of the Company for any specific purpose and in connection therewith to execute any deed, agreement, document or instrument on behalf of the Company.</w:t>
      </w:r>
    </w:p>
    <w:p>
      <w:pPr>
        <w:spacing w:after="0" w:line="142" w:lineRule="exact"/>
        <w:rPr>
          <w:rFonts w:ascii="Arial" w:cs="Arial" w:eastAsia="Arial" w:hAnsi="Arial"/>
          <w:sz w:val="17"/>
          <w:szCs w:val="17"/>
          <w:color w:val="auto"/>
        </w:rPr>
      </w:pPr>
    </w:p>
    <w:p>
      <w:pPr>
        <w:ind w:left="652" w:hanging="652"/>
        <w:spacing w:after="0"/>
        <w:tabs>
          <w:tab w:leader="none" w:pos="6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Directors and Officers</w:t>
      </w:r>
    </w:p>
    <w:p>
      <w:pPr>
        <w:spacing w:after="0" w:line="229" w:lineRule="exact"/>
        <w:rPr>
          <w:sz w:val="20"/>
          <w:szCs w:val="20"/>
          <w:color w:val="auto"/>
        </w:rPr>
      </w:pPr>
    </w:p>
    <w:p>
      <w:pPr>
        <w:ind w:left="652" w:right="240"/>
        <w:spacing w:after="0" w:line="277" w:lineRule="auto"/>
        <w:rPr>
          <w:sz w:val="20"/>
          <w:szCs w:val="20"/>
          <w:color w:val="auto"/>
        </w:rPr>
      </w:pPr>
      <w:r>
        <w:rPr>
          <w:rFonts w:ascii="Arial" w:cs="Arial" w:eastAsia="Arial" w:hAnsi="Arial"/>
          <w:sz w:val="18"/>
          <w:szCs w:val="18"/>
          <w:color w:val="auto"/>
        </w:rPr>
        <w:t>The Board shall cause to be kept in one or more books at the registered office of the Company a Register of Directors and Officers and shall enter therein the particulars required by the Act.</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Officers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The Board may appoint such officers (who may or may not be Directors) as the Board may determine for such terms as the Board deems fit.</w:t>
      </w:r>
    </w:p>
    <w:p>
      <w:pPr>
        <w:spacing w:after="0" w:line="232" w:lineRule="exact"/>
        <w:rPr>
          <w:rFonts w:ascii="Arial" w:cs="Arial" w:eastAsia="Arial" w:hAnsi="Arial"/>
          <w:sz w:val="18"/>
          <w:szCs w:val="18"/>
          <w:b w:val="1"/>
          <w:bCs w:val="1"/>
          <w:color w:val="auto"/>
        </w:rPr>
      </w:pPr>
    </w:p>
    <w:p>
      <w:pPr>
        <w:ind w:left="652" w:hanging="652"/>
        <w:spacing w:after="0"/>
        <w:tabs>
          <w:tab w:leader="none" w:pos="6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Secretary</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Secretary shall be appointed by the Board from time to time for such terms as the Board deems fit.</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Officers</w:t>
      </w:r>
    </w:p>
    <w:p>
      <w:pPr>
        <w:spacing w:after="0" w:line="229" w:lineRule="exact"/>
        <w:rPr>
          <w:rFonts w:ascii="Arial" w:cs="Arial" w:eastAsia="Arial" w:hAnsi="Arial"/>
          <w:sz w:val="18"/>
          <w:szCs w:val="18"/>
          <w:b w:val="1"/>
          <w:bCs w:val="1"/>
          <w:color w:val="auto"/>
        </w:rPr>
      </w:pPr>
    </w:p>
    <w:p>
      <w:pPr>
        <w:ind w:left="65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Officers shall have such powers and perform such duties in the management, business and affairs of the Company as may be delegated to them by the Board from time to time.</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Officers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Officers shall receive such remuneration as the Board may determine.</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5" w:lineRule="exact"/>
        <w:rPr>
          <w:rFonts w:ascii="Arial" w:cs="Arial" w:eastAsia="Arial" w:hAnsi="Arial"/>
          <w:sz w:val="18"/>
          <w:szCs w:val="18"/>
          <w:b w:val="1"/>
          <w:bCs w:val="1"/>
          <w:color w:val="auto"/>
        </w:rPr>
      </w:pPr>
    </w:p>
    <w:p>
      <w:pPr>
        <w:ind w:left="1292" w:right="440" w:hanging="648"/>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60.1 </w:t>
      </w:r>
      <w:r>
        <w:rPr>
          <w:rFonts w:ascii="Arial" w:cs="Arial" w:eastAsia="Arial" w:hAnsi="Arial"/>
          <w:sz w:val="18"/>
          <w:szCs w:val="18"/>
          <w:color w:val="auto"/>
        </w:rPr>
        <w:t>Any Director, or any Director’s firm, partner or any company with whom any Director is associated, may act in any capacity for,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or render services to the Company and such Director or such Director’s firm, partner or company shall be entitled to remuneration as if such Director were not a Director. Nothing herein contained shall authorise a Director or Director’s firm, partner or company to act as Auditor to the Company.</w:t>
      </w:r>
    </w:p>
    <w:p>
      <w:pPr>
        <w:spacing w:after="0" w:line="180" w:lineRule="exact"/>
        <w:rPr>
          <w:rFonts w:ascii="Arial" w:cs="Arial" w:eastAsia="Arial" w:hAnsi="Arial"/>
          <w:sz w:val="18"/>
          <w:szCs w:val="18"/>
          <w:b w:val="1"/>
          <w:bCs w:val="1"/>
          <w:color w:val="auto"/>
        </w:rPr>
      </w:pPr>
    </w:p>
    <w:p>
      <w:pPr>
        <w:ind w:left="1292" w:right="46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60.2 </w:t>
      </w:r>
      <w:r>
        <w:rPr>
          <w:rFonts w:ascii="Arial" w:cs="Arial" w:eastAsia="Arial" w:hAnsi="Arial"/>
          <w:sz w:val="18"/>
          <w:szCs w:val="18"/>
          <w:color w:val="auto"/>
        </w:rPr>
        <w:t>A Director who is directly or indirectly interested in a contract or proposed contract or arrangement with the Company (an “Interested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shall declare the nature of such interest as required by the Act.</w:t>
      </w:r>
    </w:p>
    <w:p>
      <w:pPr>
        <w:spacing w:after="0" w:line="161" w:lineRule="exact"/>
        <w:rPr>
          <w:rFonts w:ascii="Arial" w:cs="Arial" w:eastAsia="Arial" w:hAnsi="Arial"/>
          <w:sz w:val="18"/>
          <w:szCs w:val="18"/>
          <w:b w:val="1"/>
          <w:bCs w:val="1"/>
          <w:color w:val="auto"/>
        </w:rPr>
      </w:pPr>
    </w:p>
    <w:p>
      <w:pPr>
        <w:ind w:left="1292" w:right="280" w:hanging="648"/>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60.3 </w:t>
      </w:r>
      <w:r>
        <w:rPr>
          <w:rFonts w:ascii="Arial" w:cs="Arial" w:eastAsia="Arial" w:hAnsi="Arial"/>
          <w:sz w:val="16"/>
          <w:szCs w:val="16"/>
          <w:color w:val="auto"/>
        </w:rPr>
        <w:t>Following a declaration being made pursuant to this Bye-law, an Interested Director shall not vote in respect of a contract or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or arrangement in which such Interested Director is interested, shall not be counted in the quorum for such meeting and shall be</w:t>
      </w:r>
    </w:p>
    <w:p>
      <w:pPr>
        <w:sectPr>
          <w:pgSz w:w="11900" w:h="16979" w:orient="portrait"/>
          <w:cols w:equalWidth="0" w:num="1">
            <w:col w:w="11392"/>
          </w:cols>
          <w:pgMar w:left="248" w:top="125" w:right="259" w:bottom="0" w:gutter="0" w:footer="0" w:header="0"/>
        </w:sectPr>
      </w:pPr>
    </w:p>
    <w:bookmarkStart w:id="179" w:name="page180"/>
    <w:bookmarkEnd w:id="179"/>
    <w:p>
      <w:pPr>
        <w:ind w:left="1300" w:right="60"/>
        <w:spacing w:after="0" w:line="277" w:lineRule="auto"/>
        <w:rPr>
          <w:sz w:val="20"/>
          <w:szCs w:val="20"/>
          <w:color w:val="auto"/>
        </w:rPr>
      </w:pPr>
      <w:r>
        <w:rPr>
          <w:rFonts w:ascii="Arial" w:cs="Arial" w:eastAsia="Arial" w:hAnsi="Arial"/>
          <w:sz w:val="18"/>
          <w:szCs w:val="18"/>
          <w:color w:val="auto"/>
        </w:rPr>
        <w:t>required to recuse himself from any discussion. For the avoidance of doubt, no Director shall be considered “interested” with respect to any transaction in which all of the Members participate or are offered to participate.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Exculpation of Directors and Officers</w:t>
      </w:r>
    </w:p>
    <w:p>
      <w:pPr>
        <w:spacing w:after="0" w:line="225" w:lineRule="exact"/>
        <w:rPr>
          <w:rFonts w:ascii="Arial" w:cs="Arial" w:eastAsia="Arial" w:hAnsi="Arial"/>
          <w:sz w:val="18"/>
          <w:szCs w:val="18"/>
          <w:b w:val="1"/>
          <w:bCs w:val="1"/>
          <w:color w:val="auto"/>
        </w:rPr>
      </w:pPr>
    </w:p>
    <w:p>
      <w:pPr>
        <w:ind w:left="1300" w:hanging="648"/>
        <w:spacing w:after="0" w:line="268"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61.1 </w:t>
      </w:r>
      <w:r>
        <w:rPr>
          <w:rFonts w:ascii="Arial" w:cs="Arial" w:eastAsia="Arial" w:hAnsi="Arial"/>
          <w:sz w:val="17"/>
          <w:szCs w:val="17"/>
          <w:color w:val="auto"/>
        </w:rPr>
        <w:t>The Directors, Resident Representative, Secretary and other Officers (such term to include any person appointed to any committee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acting in relation to any of the affairs of the Company or any subsidiary thereof and the liquidator or trustees (if any) acting in relation to any of the affairs of the Company or any subsidiary thereof and every one of them (whether for the time being or formerly), and their heirs, executors and administrators (each of which an “indemnified party”), shall be indemnified and secured harmless out of the assets of the Company from and against all actions, costs, charges, losses, damages and expenses which they or any of them, their heirs, executors or administrators, shall or may incur or sustain by or by reason of any act done, concurred in or omitted in or about the execution of their duty, or supposed duty, or in their respective offices or trusts, and no indemnified party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to the extent prohibited by the Act in relation to the Company which may attach to any of the indemnified parties.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PROVIDED THAT such waiver shall not extend to any matter in respect of any fraud or dishonesty in relation to the Company which may attach to such Director or Officer.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8"/>
          <w:szCs w:val="18"/>
          <w:color w:val="auto"/>
        </w:rPr>
        <w:t>The Company may purchase and maintain insurance for the benefit of any Director or Officer against any liability incurred by him under the Act in his capacity as a Director or Officer or indemnifying such Director or Officer in respect of any loss arising or liability attaching to him by virtue of any rule of law in respect of any negligence, default, breach of duty or breach of trust of which the Director or Officer may be guilty in relation to the Company or any subsidiary thereof.</w:t>
      </w:r>
    </w:p>
    <w:p>
      <w:pPr>
        <w:spacing w:after="0" w:line="187" w:lineRule="exact"/>
        <w:rPr>
          <w:sz w:val="20"/>
          <w:szCs w:val="20"/>
          <w:color w:val="auto"/>
        </w:rPr>
      </w:pPr>
    </w:p>
    <w:p>
      <w:pPr>
        <w:ind w:left="1300" w:right="18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8"/>
          <w:szCs w:val="18"/>
          <w:color w:val="auto"/>
        </w:rPr>
        <w:t>The Company may advance moneys to a Director or Officer for the costs, charges and expenses incurred by the Director or Officer in defending any civil or criminal proceedings against him, on condition that the Director or Officer shall repay the advance if any allegation of fraud or dishonesty in relation to the Company is proved against him.</w:t>
      </w:r>
    </w:p>
    <w:p>
      <w:pPr>
        <w:spacing w:after="0" w:line="181" w:lineRule="exact"/>
        <w:rPr>
          <w:sz w:val="20"/>
          <w:szCs w:val="20"/>
          <w:color w:val="auto"/>
        </w:rPr>
      </w:pPr>
    </w:p>
    <w:p>
      <w:pPr>
        <w:ind w:left="1300" w:right="26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8"/>
          <w:szCs w:val="18"/>
          <w:color w:val="auto"/>
        </w:rPr>
        <w:t>No amendment or repeal of any provision of this Bye-law 61 shall alter, to the detriment of any indemnified party, the right of such indemnified party to the indemnification or advancement of expenses related to a claim based on an act or failure to act which took place prior to such amendments.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5"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Board Meetings</w:t>
      </w:r>
    </w:p>
    <w:p>
      <w:pPr>
        <w:spacing w:after="0" w:line="229" w:lineRule="exact"/>
        <w:rPr>
          <w:rFonts w:ascii="Arial" w:cs="Arial" w:eastAsia="Arial" w:hAnsi="Arial"/>
          <w:sz w:val="18"/>
          <w:szCs w:val="18"/>
          <w:b w:val="1"/>
          <w:bCs w:val="1"/>
          <w:color w:val="auto"/>
        </w:rPr>
      </w:pPr>
    </w:p>
    <w:p>
      <w:pPr>
        <w:ind w:left="6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Board may meet for the transaction of business, adjourn, and otherwise regulate its meetings as it sees fit. A resolution put to the vote at a meeting of the Board shall be carried by the affirmative votes of a majority of the votes cast and in the case of an equality of votes the resolution shall fail.</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Board Meetings</w:t>
      </w:r>
    </w:p>
    <w:p>
      <w:pPr>
        <w:spacing w:after="0" w:line="229" w:lineRule="exact"/>
        <w:rPr>
          <w:rFonts w:ascii="Arial" w:cs="Arial" w:eastAsia="Arial" w:hAnsi="Arial"/>
          <w:sz w:val="18"/>
          <w:szCs w:val="18"/>
          <w:b w:val="1"/>
          <w:bCs w:val="1"/>
          <w:color w:val="auto"/>
        </w:rPr>
      </w:pPr>
    </w:p>
    <w:p>
      <w:pPr>
        <w:ind w:left="6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Chairman or a majority of the Directors then in office may, and the Secretary on the requisition of a Director shall, at any time summon a meeting of the Board. Notice of a meeting of the Board shall be deemed to be duly given to a Director if it is given to such Director verbally (including in person or by telephone) or otherwise communicated or sent to such Director by post, electronic means or other mode of representing words in a visible form at such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Director’s last known address or in accordance with any other instructions given by such Director to the Company for this purpose at least 48 hours prior to such Board meeting, unless each Director attends or gives his prior written consent to the meeting being held on such shorter notice.</w:t>
      </w:r>
    </w:p>
    <w:p>
      <w:pPr>
        <w:spacing w:after="0" w:line="12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Participation in Meetings</w:t>
      </w:r>
    </w:p>
    <w:p>
      <w:pPr>
        <w:spacing w:after="0" w:line="229" w:lineRule="exact"/>
        <w:rPr>
          <w:rFonts w:ascii="Arial" w:cs="Arial" w:eastAsia="Arial" w:hAnsi="Arial"/>
          <w:sz w:val="18"/>
          <w:szCs w:val="18"/>
          <w:b w:val="1"/>
          <w:bCs w:val="1"/>
          <w:color w:val="auto"/>
        </w:rPr>
      </w:pPr>
    </w:p>
    <w:p>
      <w:pPr>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Directors may participate in any meeting by such telephonic, electronic, or other communications facilities or means as permit all persons participating in the meeting to communicate with each other simultaneously and instantaneously, and participation in such a meeting shall constitute presence in person at such meeting.</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Board Meetings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quorum necessary for the transaction of business at a meeting of the Board shall be a majority of the Directors then in office.</w:t>
      </w:r>
    </w:p>
    <w:p>
      <w:pPr>
        <w:sectPr>
          <w:pgSz w:w="11900" w:h="16838" w:orient="portrait"/>
          <w:cols w:equalWidth="0" w:num="1">
            <w:col w:w="11420"/>
          </w:cols>
          <w:pgMar w:left="240" w:top="125" w:right="239" w:bottom="0" w:gutter="0" w:footer="0" w:header="0"/>
        </w:sectPr>
      </w:pPr>
    </w:p>
    <w:bookmarkStart w:id="180" w:name="page181"/>
    <w:bookmarkEnd w:id="180"/>
    <w:p>
      <w:pPr>
        <w:ind w:left="652" w:hanging="652"/>
        <w:spacing w:after="0"/>
        <w:tabs>
          <w:tab w:leader="none" w:pos="6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Board to Continue in the Event of Vacancy</w:t>
      </w:r>
    </w:p>
    <w:p>
      <w:pPr>
        <w:spacing w:after="0" w:line="229" w:lineRule="exact"/>
        <w:rPr>
          <w:rFonts w:ascii="Arial" w:cs="Arial" w:eastAsia="Arial" w:hAnsi="Arial"/>
          <w:sz w:val="18"/>
          <w:szCs w:val="18"/>
          <w:b w:val="1"/>
          <w:bCs w:val="1"/>
          <w:color w:val="auto"/>
        </w:rPr>
      </w:pPr>
    </w:p>
    <w:p>
      <w:pPr>
        <w:ind w:left="652"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Board may act notwithstanding any vacancy in its number but, if and so long as its number is reduced below the number fixed by these Bye-laws as the quorum necessary for the transaction of business at meetings of the Board, the continuing Directors or Director may act for the purpose of (i) summoning a general meeting; or (ii) preserving the assets of the Company.</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Chairman to Preside</w:t>
      </w:r>
    </w:p>
    <w:p>
      <w:pPr>
        <w:spacing w:after="0" w:line="229" w:lineRule="exact"/>
        <w:rPr>
          <w:rFonts w:ascii="Arial" w:cs="Arial" w:eastAsia="Arial" w:hAnsi="Arial"/>
          <w:sz w:val="18"/>
          <w:szCs w:val="18"/>
          <w:b w:val="1"/>
          <w:bCs w:val="1"/>
          <w:color w:val="auto"/>
        </w:rPr>
      </w:pPr>
    </w:p>
    <w:p>
      <w:pPr>
        <w:ind w:left="652"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Unless otherwise agreed by a majority of the Directors attending , the Chairman, if there be one, shall act as chairman at all meetings of the Board at which such person is present. In his absence a chairman shall be appointed or elected by the Directors present at the meeting.</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Resolutions</w:t>
      </w:r>
    </w:p>
    <w:p>
      <w:pPr>
        <w:spacing w:after="0" w:line="229" w:lineRule="exact"/>
        <w:rPr>
          <w:rFonts w:ascii="Arial" w:cs="Arial" w:eastAsia="Arial" w:hAnsi="Arial"/>
          <w:sz w:val="18"/>
          <w:szCs w:val="18"/>
          <w:b w:val="1"/>
          <w:bCs w:val="1"/>
          <w:color w:val="auto"/>
        </w:rPr>
      </w:pPr>
    </w:p>
    <w:p>
      <w:pPr>
        <w:jc w:val="both"/>
        <w:ind w:left="65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resolution signed by all the Directors, which may be in counterparts, shall be as valid as if it had been passed at a meeting of the Board duly called and constituted, such resolution to be effective on the date on which the last Director signs the resolution, provided, that (i) any such resolution shall be valid only if the signature of the last Director to sign is affixed outside the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line="259" w:lineRule="auto"/>
        <w:rPr>
          <w:sz w:val="20"/>
          <w:szCs w:val="20"/>
          <w:color w:val="auto"/>
        </w:rPr>
      </w:pPr>
      <w:r>
        <w:rPr>
          <w:rFonts w:ascii="Arial" w:cs="Arial" w:eastAsia="Arial" w:hAnsi="Arial"/>
          <w:sz w:val="18"/>
          <w:szCs w:val="18"/>
          <w:color w:val="auto"/>
        </w:rPr>
        <w:t>United States (unless the Board dispenses with this requirement), and (ii) the Board may declare such resolution to be invalid if the Board determines that the use of a resolution in writing would result in a non-de minimis adverse tax, regulatory or legal consequence to the Company, any subsidiary of the Company, or any direct or indirect holder of shares or its affiliates. For the purposes of this Bye-law only, “the Directors” shall not include an Alternate Director.</w:t>
      </w:r>
    </w:p>
    <w:p>
      <w:pPr>
        <w:spacing w:after="0" w:line="183" w:lineRule="exact"/>
        <w:rPr>
          <w:sz w:val="20"/>
          <w:szCs w:val="20"/>
          <w:color w:val="auto"/>
        </w:rPr>
      </w:pPr>
    </w:p>
    <w:p>
      <w:pPr>
        <w:ind w:left="652" w:hanging="652"/>
        <w:spacing w:after="0"/>
        <w:tabs>
          <w:tab w:leader="none" w:pos="65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Prior Acts of the Board</w:t>
      </w:r>
    </w:p>
    <w:p>
      <w:pPr>
        <w:spacing w:after="0" w:line="229" w:lineRule="exact"/>
        <w:rPr>
          <w:sz w:val="20"/>
          <w:szCs w:val="20"/>
          <w:color w:val="auto"/>
        </w:rPr>
      </w:pPr>
    </w:p>
    <w:p>
      <w:pPr>
        <w:ind w:left="652" w:right="60"/>
        <w:spacing w:after="0" w:line="277" w:lineRule="auto"/>
        <w:rPr>
          <w:sz w:val="20"/>
          <w:szCs w:val="20"/>
          <w:color w:val="auto"/>
        </w:rPr>
      </w:pPr>
      <w:r>
        <w:rPr>
          <w:rFonts w:ascii="Arial" w:cs="Arial" w:eastAsia="Arial" w:hAnsi="Arial"/>
          <w:sz w:val="18"/>
          <w:szCs w:val="18"/>
          <w:color w:val="auto"/>
        </w:rPr>
        <w:t>No regulation or alteration to these Bye-laws made by the Company in general meeting shall invalidate any prior act of the Board which would have been valid if that regulation or alteration had not been made.</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CORPORATE RECORDS</w:t>
      </w:r>
    </w:p>
    <w:p>
      <w:pPr>
        <w:spacing w:after="0" w:line="225" w:lineRule="exact"/>
        <w:rPr>
          <w:sz w:val="20"/>
          <w:szCs w:val="20"/>
          <w:color w:val="auto"/>
        </w:rPr>
      </w:pPr>
    </w:p>
    <w:p>
      <w:pPr>
        <w:ind w:left="652" w:hanging="652"/>
        <w:spacing w:after="0"/>
        <w:tabs>
          <w:tab w:leader="none" w:pos="65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Board shall cause minutes to be duly entered in books provided for the purpose:</w:t>
      </w:r>
    </w:p>
    <w:p>
      <w:pPr>
        <w:spacing w:after="0" w:line="225" w:lineRule="exact"/>
        <w:rPr>
          <w:rFonts w:ascii="Arial" w:cs="Arial" w:eastAsia="Arial" w:hAnsi="Arial"/>
          <w:sz w:val="18"/>
          <w:szCs w:val="18"/>
          <w:b w:val="1"/>
          <w:bCs w:val="1"/>
          <w:color w:val="auto"/>
        </w:rPr>
      </w:pPr>
    </w:p>
    <w:p>
      <w:pPr>
        <w:ind w:left="1932" w:hanging="635"/>
        <w:spacing w:after="0"/>
        <w:tabs>
          <w:tab w:leader="none" w:pos="19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of all elections and appointments of Officers;</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of the names of the Directors present at each meeting of the Board and of any committee appointed by the Board; and</w:t>
      </w:r>
    </w:p>
    <w:p>
      <w:pPr>
        <w:spacing w:after="0" w:line="225" w:lineRule="exact"/>
        <w:rPr>
          <w:rFonts w:ascii="Arial" w:cs="Arial" w:eastAsia="Arial" w:hAnsi="Arial"/>
          <w:sz w:val="18"/>
          <w:szCs w:val="18"/>
          <w:color w:val="auto"/>
        </w:rPr>
      </w:pPr>
    </w:p>
    <w:p>
      <w:pPr>
        <w:ind w:left="1952" w:right="580" w:hanging="655"/>
        <w:spacing w:after="0" w:line="277" w:lineRule="auto"/>
        <w:tabs>
          <w:tab w:leader="none" w:pos="196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of all resolutions and proceedings of general meetings of the Members, meetings of the Board, and meetings of committees appointed by the Board.</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Place Where Corporate Records Kept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Minutes prepared in accordance with the Act and these Bye-laws shall be kept by the Secretary at the registered office of the Company.</w:t>
      </w:r>
    </w:p>
    <w:p>
      <w:pPr>
        <w:spacing w:after="0" w:line="232" w:lineRule="exact"/>
        <w:rPr>
          <w:rFonts w:ascii="Arial" w:cs="Arial" w:eastAsia="Arial" w:hAnsi="Arial"/>
          <w:sz w:val="18"/>
          <w:szCs w:val="18"/>
          <w:b w:val="1"/>
          <w:bCs w:val="1"/>
          <w:color w:val="auto"/>
        </w:rPr>
      </w:pPr>
    </w:p>
    <w:p>
      <w:pPr>
        <w:ind w:left="652" w:hanging="652"/>
        <w:spacing w:after="0"/>
        <w:tabs>
          <w:tab w:leader="none" w:pos="65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Form and Use of Seal</w:t>
      </w:r>
    </w:p>
    <w:p>
      <w:pPr>
        <w:spacing w:after="0" w:line="225" w:lineRule="exact"/>
        <w:rPr>
          <w:rFonts w:ascii="Arial" w:cs="Arial" w:eastAsia="Arial" w:hAnsi="Arial"/>
          <w:sz w:val="18"/>
          <w:szCs w:val="18"/>
          <w:b w:val="1"/>
          <w:bCs w:val="1"/>
          <w:color w:val="auto"/>
        </w:rPr>
      </w:pPr>
    </w:p>
    <w:p>
      <w:pPr>
        <w:ind w:left="1292" w:right="20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72.1 </w:t>
      </w:r>
      <w:r>
        <w:rPr>
          <w:rFonts w:ascii="Arial" w:cs="Arial" w:eastAsia="Arial" w:hAnsi="Arial"/>
          <w:sz w:val="18"/>
          <w:szCs w:val="18"/>
          <w:color w:val="auto"/>
        </w:rPr>
        <w:t>The Company may adopt a seal in such form as the Board may determine. The Board may adopt one or more duplicate seals for use in or</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Bermuda.</w:t>
      </w:r>
    </w:p>
    <w:p>
      <w:pPr>
        <w:spacing w:after="0" w:line="161" w:lineRule="exact"/>
        <w:rPr>
          <w:rFonts w:ascii="Arial" w:cs="Arial" w:eastAsia="Arial" w:hAnsi="Arial"/>
          <w:sz w:val="18"/>
          <w:szCs w:val="18"/>
          <w:b w:val="1"/>
          <w:bCs w:val="1"/>
          <w:color w:val="auto"/>
        </w:rPr>
      </w:pPr>
    </w:p>
    <w:p>
      <w:pPr>
        <w:ind w:left="1292" w:right="12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72.2 </w:t>
      </w:r>
      <w:r>
        <w:rPr>
          <w:rFonts w:ascii="Arial" w:cs="Arial" w:eastAsia="Arial" w:hAnsi="Arial"/>
          <w:sz w:val="18"/>
          <w:szCs w:val="18"/>
          <w:color w:val="auto"/>
        </w:rPr>
        <w:t>A seal may, but need not be affixed to any deed, instrument, share certificate or document, and if the seal is to be affixed thereto, it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attested by the signature of</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(i) any Director; or (ii) any Officer; or (iii) the Secretary; or (iv) any person authorized by the Board for that purpose.</w:t>
      </w:r>
    </w:p>
    <w:p>
      <w:pPr>
        <w:spacing w:after="0" w:line="221" w:lineRule="exact"/>
        <w:rPr>
          <w:sz w:val="20"/>
          <w:szCs w:val="20"/>
          <w:color w:val="auto"/>
        </w:rPr>
      </w:pPr>
    </w:p>
    <w:p>
      <w:pPr>
        <w:jc w:val="center"/>
        <w:ind w:right="88"/>
        <w:spacing w:after="0"/>
        <w:tabs>
          <w:tab w:leader="none" w:pos="300" w:val="left"/>
        </w:tabs>
        <w:rPr>
          <w:sz w:val="20"/>
          <w:szCs w:val="20"/>
          <w:color w:val="auto"/>
        </w:rPr>
      </w:pPr>
      <w:r>
        <w:rPr>
          <w:rFonts w:ascii="Arial" w:cs="Arial" w:eastAsia="Arial" w:hAnsi="Arial"/>
          <w:sz w:val="18"/>
          <w:szCs w:val="18"/>
          <w:b w:val="1"/>
          <w:bCs w:val="1"/>
          <w:color w:val="auto"/>
        </w:rPr>
        <w:t>72.3</w:t>
      </w:r>
      <w:r>
        <w:rPr>
          <w:sz w:val="20"/>
          <w:szCs w:val="20"/>
          <w:color w:val="auto"/>
        </w:rPr>
        <w:tab/>
      </w:r>
      <w:r>
        <w:rPr>
          <w:rFonts w:ascii="Arial" w:cs="Arial" w:eastAsia="Arial" w:hAnsi="Arial"/>
          <w:sz w:val="16"/>
          <w:szCs w:val="16"/>
          <w:color w:val="auto"/>
        </w:rPr>
        <w:t>A Resident Representative may, but need not, affix the seal of the Company to certify the authenticity of any copies of documents.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ACCOUNTS</w:t>
      </w:r>
    </w:p>
    <w:p>
      <w:pPr>
        <w:spacing w:after="0" w:line="225" w:lineRule="exact"/>
        <w:rPr>
          <w:sz w:val="20"/>
          <w:szCs w:val="20"/>
          <w:color w:val="auto"/>
        </w:rPr>
      </w:pPr>
    </w:p>
    <w:p>
      <w:pPr>
        <w:ind w:left="652" w:hanging="652"/>
        <w:spacing w:after="0"/>
        <w:tabs>
          <w:tab w:leader="none" w:pos="65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73.1    </w:t>
      </w:r>
      <w:r>
        <w:rPr>
          <w:rFonts w:ascii="Arial" w:cs="Arial" w:eastAsia="Arial" w:hAnsi="Arial"/>
          <w:sz w:val="16"/>
          <w:szCs w:val="16"/>
          <w:color w:val="auto"/>
        </w:rPr>
        <w:t>The Board shall cause to be kept proper records of account with respect to all transactions of the Company and in particular with respect to:</w:t>
      </w:r>
    </w:p>
    <w:p>
      <w:pPr>
        <w:spacing w:after="0" w:line="252" w:lineRule="exact"/>
        <w:rPr>
          <w:rFonts w:ascii="Arial" w:cs="Arial" w:eastAsia="Arial" w:hAnsi="Arial"/>
          <w:sz w:val="18"/>
          <w:szCs w:val="18"/>
          <w:b w:val="1"/>
          <w:bCs w:val="1"/>
          <w:color w:val="auto"/>
        </w:rPr>
      </w:pPr>
    </w:p>
    <w:p>
      <w:pPr>
        <w:ind w:left="1932" w:hanging="635"/>
        <w:spacing w:after="0"/>
        <w:tabs>
          <w:tab w:leader="none" w:pos="1932"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sums of money received and expended by the Company and the matters in respect of which the receipt and expenditure relates;</w:t>
      </w:r>
    </w:p>
    <w:p>
      <w:pPr>
        <w:spacing w:after="0" w:line="248" w:lineRule="exact"/>
        <w:rPr>
          <w:rFonts w:ascii="Arial" w:cs="Arial" w:eastAsia="Arial" w:hAnsi="Arial"/>
          <w:sz w:val="16"/>
          <w:szCs w:val="16"/>
          <w:color w:val="auto"/>
        </w:rPr>
      </w:pPr>
    </w:p>
    <w:p>
      <w:pPr>
        <w:ind w:left="1952" w:hanging="655"/>
        <w:spacing w:after="0"/>
        <w:tabs>
          <w:tab w:leader="none" w:pos="195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sales and purchases of goods by the Company; and</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assets and liabilities of the Company.</w:t>
      </w:r>
    </w:p>
    <w:p>
      <w:pPr>
        <w:sectPr>
          <w:pgSz w:w="11900" w:h="16838" w:orient="portrait"/>
          <w:cols w:equalWidth="0" w:num="1">
            <w:col w:w="11412"/>
          </w:cols>
          <w:pgMar w:left="248" w:top="121" w:right="239" w:bottom="0" w:gutter="0" w:footer="0" w:header="0"/>
        </w:sectPr>
      </w:pPr>
    </w:p>
    <w:bookmarkStart w:id="181" w:name="page182"/>
    <w:bookmarkEnd w:id="181"/>
    <w:p>
      <w:pPr>
        <w:spacing w:after="0" w:line="90" w:lineRule="exact"/>
        <w:rPr>
          <w:sz w:val="20"/>
          <w:szCs w:val="20"/>
          <w:color w:val="auto"/>
        </w:rPr>
      </w:pPr>
    </w:p>
    <w:p>
      <w:pPr>
        <w:ind w:left="1292" w:right="16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73.2</w:t>
      </w:r>
      <w:r>
        <w:rPr>
          <w:sz w:val="20"/>
          <w:szCs w:val="20"/>
          <w:color w:val="auto"/>
        </w:rPr>
        <w:tab/>
      </w:r>
      <w:r>
        <w:rPr>
          <w:rFonts w:ascii="Arial" w:cs="Arial" w:eastAsia="Arial" w:hAnsi="Arial"/>
          <w:sz w:val="18"/>
          <w:szCs w:val="18"/>
          <w:color w:val="auto"/>
        </w:rPr>
        <w:t>Such records of account shall be kept at the registered office of the Company, or subject to the Act, at such other place as the Board thinks fit and shall be available for inspection by the Directors during normal business hours.</w:t>
      </w:r>
    </w:p>
    <w:p>
      <w:pPr>
        <w:spacing w:after="0" w:line="170" w:lineRule="exact"/>
        <w:rPr>
          <w:sz w:val="20"/>
          <w:szCs w:val="20"/>
          <w:color w:val="auto"/>
        </w:rPr>
      </w:pPr>
    </w:p>
    <w:p>
      <w:pPr>
        <w:ind w:left="652" w:hanging="652"/>
        <w:spacing w:after="0"/>
        <w:tabs>
          <w:tab w:leader="none" w:pos="65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 End</w:t>
      </w:r>
    </w:p>
    <w:p>
      <w:pPr>
        <w:spacing w:after="0" w:line="229" w:lineRule="exact"/>
        <w:rPr>
          <w:sz w:val="20"/>
          <w:szCs w:val="20"/>
          <w:color w:val="auto"/>
        </w:rPr>
      </w:pPr>
    </w:p>
    <w:p>
      <w:pPr>
        <w:ind w:left="652" w:right="360"/>
        <w:spacing w:after="0" w:line="227" w:lineRule="auto"/>
        <w:rPr>
          <w:sz w:val="20"/>
          <w:szCs w:val="20"/>
          <w:color w:val="auto"/>
        </w:rPr>
      </w:pPr>
      <w:r>
        <w:rPr>
          <w:rFonts w:ascii="Arial" w:cs="Arial" w:eastAsia="Arial" w:hAnsi="Arial"/>
          <w:sz w:val="18"/>
          <w:szCs w:val="18"/>
          <w:color w:val="auto"/>
        </w:rPr>
        <w:t>The financial year end of the Company may be determined by resolution of the Board and failing such resolution shall be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December in each year.</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AUDITS</w:t>
      </w:r>
    </w:p>
    <w:p>
      <w:pPr>
        <w:spacing w:after="0" w:line="225" w:lineRule="exact"/>
        <w:rPr>
          <w:sz w:val="20"/>
          <w:szCs w:val="20"/>
          <w:color w:val="auto"/>
        </w:rPr>
      </w:pPr>
    </w:p>
    <w:p>
      <w:pPr>
        <w:ind w:left="652" w:hanging="652"/>
        <w:spacing w:after="0"/>
        <w:tabs>
          <w:tab w:leader="none" w:pos="65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Annual Audit</w:t>
      </w:r>
    </w:p>
    <w:p>
      <w:pPr>
        <w:spacing w:after="0" w:line="229" w:lineRule="exact"/>
        <w:rPr>
          <w:rFonts w:ascii="Arial" w:cs="Arial" w:eastAsia="Arial" w:hAnsi="Arial"/>
          <w:sz w:val="18"/>
          <w:szCs w:val="18"/>
          <w:b w:val="1"/>
          <w:bCs w:val="1"/>
          <w:color w:val="auto"/>
        </w:rPr>
      </w:pPr>
    </w:p>
    <w:p>
      <w:pPr>
        <w:ind w:left="65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any rights to waive laying of accounts or appointment of an Auditor pursuant to the Act, the accounts of the Company shall be audited at least once in every year.</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w:t>
      </w:r>
    </w:p>
    <w:p>
      <w:pPr>
        <w:spacing w:after="0" w:line="225" w:lineRule="exact"/>
        <w:rPr>
          <w:sz w:val="20"/>
          <w:szCs w:val="20"/>
          <w:color w:val="auto"/>
        </w:rPr>
      </w:pPr>
    </w:p>
    <w:p>
      <w:pPr>
        <w:ind w:left="1292" w:right="50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76.1</w:t>
      </w:r>
      <w:r>
        <w:rPr>
          <w:sz w:val="20"/>
          <w:szCs w:val="20"/>
          <w:color w:val="auto"/>
        </w:rPr>
        <w:tab/>
      </w:r>
      <w:r>
        <w:rPr>
          <w:rFonts w:ascii="Arial" w:cs="Arial" w:eastAsia="Arial" w:hAnsi="Arial"/>
          <w:sz w:val="18"/>
          <w:szCs w:val="18"/>
          <w:color w:val="auto"/>
        </w:rPr>
        <w:t>Subject to the Act, the Members shall appoint an auditor to the Company to hold office for such term as the Members deem fit until a successor is appointed.</w:t>
      </w:r>
    </w:p>
    <w:p>
      <w:pPr>
        <w:spacing w:after="0" w:line="17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92" w:right="200"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76.2</w:t>
      </w:r>
      <w:r>
        <w:rPr>
          <w:sz w:val="20"/>
          <w:szCs w:val="20"/>
          <w:color w:val="auto"/>
        </w:rPr>
        <w:tab/>
      </w:r>
      <w:r>
        <w:rPr>
          <w:rFonts w:ascii="Arial" w:cs="Arial" w:eastAsia="Arial" w:hAnsi="Arial"/>
          <w:sz w:val="18"/>
          <w:szCs w:val="18"/>
          <w:color w:val="auto"/>
        </w:rPr>
        <w:t>The Auditor may be a Member but no Director, Officer or employee of the Company shall, during his continuance in office, be eligible to act as an Auditor of the Company.</w:t>
      </w:r>
    </w:p>
    <w:p>
      <w:pPr>
        <w:spacing w:after="0" w:line="170" w:lineRule="exact"/>
        <w:rPr>
          <w:sz w:val="20"/>
          <w:szCs w:val="20"/>
          <w:color w:val="auto"/>
        </w:rPr>
      </w:pPr>
    </w:p>
    <w:p>
      <w:pPr>
        <w:ind w:left="652" w:hanging="652"/>
        <w:spacing w:after="0"/>
        <w:tabs>
          <w:tab w:leader="none" w:pos="6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Auditor</w:t>
      </w:r>
    </w:p>
    <w:p>
      <w:pPr>
        <w:spacing w:after="0" w:line="229" w:lineRule="exact"/>
        <w:rPr>
          <w:rFonts w:ascii="Arial" w:cs="Arial" w:eastAsia="Arial" w:hAnsi="Arial"/>
          <w:sz w:val="18"/>
          <w:szCs w:val="18"/>
          <w:b w:val="1"/>
          <w:bCs w:val="1"/>
          <w:color w:val="auto"/>
        </w:rPr>
      </w:pPr>
    </w:p>
    <w:p>
      <w:pPr>
        <w:ind w:left="6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remuneration of the Auditor shall be fixed by the Company in general meeting or in such manner as the Members may determine. In the case of an Auditor appointed pursuant to Bye-law 82, the remuneration of the Auditor shall be fixed by the Board.</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Auditor</w:t>
      </w:r>
    </w:p>
    <w:p>
      <w:pPr>
        <w:spacing w:after="0" w:line="225" w:lineRule="exact"/>
        <w:rPr>
          <w:rFonts w:ascii="Arial" w:cs="Arial" w:eastAsia="Arial" w:hAnsi="Arial"/>
          <w:sz w:val="18"/>
          <w:szCs w:val="18"/>
          <w:b w:val="1"/>
          <w:bCs w:val="1"/>
          <w:color w:val="auto"/>
        </w:rPr>
      </w:pPr>
    </w:p>
    <w:p>
      <w:pPr>
        <w:ind w:left="1292" w:right="340" w:hanging="648"/>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78.1 </w:t>
      </w:r>
      <w:r>
        <w:rPr>
          <w:rFonts w:ascii="Arial" w:cs="Arial" w:eastAsia="Arial" w:hAnsi="Arial"/>
          <w:sz w:val="17"/>
          <w:szCs w:val="17"/>
          <w:color w:val="auto"/>
        </w:rPr>
        <w:t>The financial statements provided for by these Bye-laws shall be audited by the Auditor in accordance with generally accepted auditing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The Auditor shall make a written report thereon in accordance with generally accepted auditing standards.</w:t>
      </w:r>
    </w:p>
    <w:p>
      <w:pPr>
        <w:spacing w:after="0" w:line="138" w:lineRule="exact"/>
        <w:rPr>
          <w:rFonts w:ascii="Arial" w:cs="Arial" w:eastAsia="Arial" w:hAnsi="Arial"/>
          <w:sz w:val="18"/>
          <w:szCs w:val="18"/>
          <w:b w:val="1"/>
          <w:bCs w:val="1"/>
          <w:color w:val="auto"/>
        </w:rPr>
      </w:pPr>
    </w:p>
    <w:p>
      <w:pPr>
        <w:ind w:left="1292" w:right="120" w:hanging="648"/>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78.2 </w:t>
      </w:r>
      <w:r>
        <w:rPr>
          <w:rFonts w:ascii="Arial" w:cs="Arial" w:eastAsia="Arial" w:hAnsi="Arial"/>
          <w:sz w:val="18"/>
          <w:szCs w:val="18"/>
          <w:color w:val="auto"/>
        </w:rPr>
        <w:t>The generally accepted auditing standards referred to in this Bye-law may be those of a country or jurisdiction other than Bermuda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generally accepted auditing standards as may be provided for in the Act. If so, the financial statements and the report of the Auditor shall identify the generally accepted auditing standards used.</w:t>
      </w:r>
    </w:p>
    <w:p>
      <w:pPr>
        <w:spacing w:after="0" w:line="176" w:lineRule="exact"/>
        <w:rPr>
          <w:rFonts w:ascii="Arial" w:cs="Arial" w:eastAsia="Arial" w:hAnsi="Arial"/>
          <w:sz w:val="18"/>
          <w:szCs w:val="18"/>
          <w:b w:val="1"/>
          <w:bCs w:val="1"/>
          <w:color w:val="auto"/>
        </w:rPr>
      </w:pPr>
    </w:p>
    <w:p>
      <w:pPr>
        <w:ind w:left="652" w:hanging="652"/>
        <w:spacing w:after="0"/>
        <w:tabs>
          <w:tab w:leader="none" w:pos="6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Records</w:t>
      </w:r>
    </w:p>
    <w:p>
      <w:pPr>
        <w:spacing w:after="0" w:line="229" w:lineRule="exact"/>
        <w:rPr>
          <w:rFonts w:ascii="Arial" w:cs="Arial" w:eastAsia="Arial" w:hAnsi="Arial"/>
          <w:sz w:val="18"/>
          <w:szCs w:val="18"/>
          <w:b w:val="1"/>
          <w:bCs w:val="1"/>
          <w:color w:val="auto"/>
        </w:rPr>
      </w:pPr>
    </w:p>
    <w:p>
      <w:pPr>
        <w:ind w:left="6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Auditor shall at all reasonable times have access to all books kept by the Company and to all accounts and vouchers relating thereto, and the Auditor may call on the Directors or Officers of the Company for any information in their possession relating to the books or affairs of the Company.</w:t>
      </w:r>
    </w:p>
    <w:p>
      <w:pPr>
        <w:spacing w:after="0" w:line="119" w:lineRule="exact"/>
        <w:rPr>
          <w:rFonts w:ascii="Arial" w:cs="Arial" w:eastAsia="Arial" w:hAnsi="Arial"/>
          <w:sz w:val="18"/>
          <w:szCs w:val="18"/>
          <w:b w:val="1"/>
          <w:bCs w:val="1"/>
          <w:color w:val="auto"/>
        </w:rPr>
      </w:pPr>
    </w:p>
    <w:p>
      <w:pPr>
        <w:ind w:left="652" w:hanging="652"/>
        <w:spacing w:after="0"/>
        <w:tabs>
          <w:tab w:leader="none" w:pos="6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jc w:val="both"/>
        <w:ind w:left="652" w:right="20"/>
        <w:spacing w:after="0" w:line="286" w:lineRule="auto"/>
        <w:rPr>
          <w:sz w:val="20"/>
          <w:szCs w:val="20"/>
          <w:color w:val="auto"/>
        </w:rPr>
      </w:pPr>
      <w:r>
        <w:rPr>
          <w:rFonts w:ascii="Arial" w:cs="Arial" w:eastAsia="Arial" w:hAnsi="Arial"/>
          <w:sz w:val="17"/>
          <w:szCs w:val="17"/>
          <w:color w:val="auto"/>
        </w:rPr>
        <w:t>Subject to any rights to waive laying of accounts pursuant to the Act, financial statements as required by the Act shall be laid before the Members in general meeting. A resolution in writing made in accordance with Bye-law 41 receiving, accepting, adopting, approving or otherwise acknowledging financial statements shall be deemed to be the laying of such statements before the Members in general meeting.</w:t>
      </w:r>
    </w:p>
    <w:p>
      <w:pPr>
        <w:spacing w:after="0" w:line="16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Auditor’s report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report of the Auditor shall be submitted to the Members in general meeting.</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Vacancy in the Office of Auditor</w:t>
      </w:r>
    </w:p>
    <w:p>
      <w:pPr>
        <w:spacing w:after="0" w:line="229" w:lineRule="exact"/>
        <w:rPr>
          <w:sz w:val="20"/>
          <w:szCs w:val="20"/>
          <w:color w:val="auto"/>
        </w:rPr>
      </w:pPr>
    </w:p>
    <w:p>
      <w:pPr>
        <w:ind w:left="652" w:right="200"/>
        <w:spacing w:after="0" w:line="342" w:lineRule="auto"/>
        <w:rPr>
          <w:sz w:val="20"/>
          <w:szCs w:val="20"/>
          <w:color w:val="auto"/>
        </w:rPr>
      </w:pPr>
      <w:r>
        <w:rPr>
          <w:rFonts w:ascii="Arial" w:cs="Arial" w:eastAsia="Arial" w:hAnsi="Arial"/>
          <w:sz w:val="16"/>
          <w:szCs w:val="16"/>
          <w:color w:val="auto"/>
        </w:rPr>
        <w:t>If the office of Auditor becomes vacant by the resignation or death or the Auditor, or by the Auditor becoming incapable of acting by reason of illness or other disability at a time when the Auditor’s services are required, the vacancy thereby created shall be filled in accordance with the Act.</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BUSINESS COMBINATIONS</w:t>
      </w:r>
    </w:p>
    <w:p>
      <w:pPr>
        <w:spacing w:after="0" w:line="225" w:lineRule="exact"/>
        <w:rPr>
          <w:sz w:val="20"/>
          <w:szCs w:val="20"/>
          <w:color w:val="auto"/>
        </w:rPr>
      </w:pPr>
    </w:p>
    <w:p>
      <w:pPr>
        <w:ind w:left="652" w:hanging="652"/>
        <w:spacing w:after="0"/>
        <w:tabs>
          <w:tab w:leader="none" w:pos="65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5" w:lineRule="exact"/>
        <w:rPr>
          <w:sz w:val="20"/>
          <w:szCs w:val="20"/>
          <w:color w:val="auto"/>
        </w:rPr>
      </w:pPr>
    </w:p>
    <w:tbl>
      <w:tblPr>
        <w:tblLayout w:type="fixed"/>
        <w:tblInd w:w="652" w:type="dxa"/>
        <w:tblCellMar>
          <w:top w:w="0" w:type="dxa"/>
          <w:left w:w="0" w:type="dxa"/>
          <w:bottom w:w="0" w:type="dxa"/>
          <w:right w:w="0" w:type="dxa"/>
        </w:tblCellMar>
      </w:tblPr>
      <w:tr>
        <w:trPr>
          <w:trHeight w:val="220"/>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83.1</w:t>
            </w:r>
          </w:p>
        </w:tc>
        <w:tc>
          <w:tcPr>
            <w:tcW w:w="580" w:type="dxa"/>
            <w:vAlign w:val="bottom"/>
          </w:tcPr>
          <w:p>
            <w:pPr>
              <w:ind w:left="160"/>
              <w:spacing w:after="0"/>
              <w:rPr>
                <w:sz w:val="20"/>
                <w:szCs w:val="20"/>
                <w:color w:val="auto"/>
              </w:rPr>
            </w:pPr>
            <w:r>
              <w:rPr>
                <w:rFonts w:ascii="Arial" w:cs="Arial" w:eastAsia="Arial" w:hAnsi="Arial"/>
                <w:sz w:val="18"/>
                <w:szCs w:val="18"/>
                <w:color w:val="auto"/>
              </w:rPr>
              <w:t>(a)</w:t>
            </w:r>
          </w:p>
        </w:tc>
        <w:tc>
          <w:tcPr>
            <w:tcW w:w="9580" w:type="dxa"/>
            <w:vAlign w:val="bottom"/>
          </w:tcPr>
          <w:p>
            <w:pPr>
              <w:ind w:left="220"/>
              <w:spacing w:after="0"/>
              <w:rPr>
                <w:sz w:val="20"/>
                <w:szCs w:val="20"/>
                <w:color w:val="auto"/>
              </w:rPr>
            </w:pPr>
            <w:r>
              <w:rPr>
                <w:rFonts w:ascii="Arial" w:cs="Arial" w:eastAsia="Arial" w:hAnsi="Arial"/>
                <w:sz w:val="18"/>
                <w:szCs w:val="18"/>
                <w:color w:val="auto"/>
                <w:w w:val="91"/>
              </w:rPr>
              <w:t>Any Business Combination with any Interested Shareholder within a period of three years following the time of the transaction in</w:t>
            </w:r>
          </w:p>
        </w:tc>
      </w:tr>
      <w:tr>
        <w:trPr>
          <w:trHeight w:val="216"/>
        </w:trPr>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w w:val="88"/>
              </w:rPr>
              <w:t>which the person become an Interested Shareholder must be approved by the Board and authorised at an annual or special general</w:t>
            </w:r>
          </w:p>
        </w:tc>
      </w:tr>
      <w:tr>
        <w:trPr>
          <w:trHeight w:val="216"/>
        </w:trPr>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w w:val="91"/>
              </w:rPr>
              <w:t>meeting, by the affirmative vote of at least 66 and 2/3% of the issued and outstanding voting shares of the Company that are not</w:t>
            </w:r>
          </w:p>
        </w:tc>
      </w:tr>
      <w:tr>
        <w:trPr>
          <w:trHeight w:val="230"/>
        </w:trPr>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Arial" w:cs="Arial" w:eastAsia="Arial" w:hAnsi="Arial"/>
                <w:sz w:val="18"/>
                <w:szCs w:val="18"/>
                <w:color w:val="auto"/>
              </w:rPr>
              <w:t>owned by the Interested Shareholder unless:</w:t>
            </w:r>
          </w:p>
        </w:tc>
      </w:tr>
    </w:tbl>
    <w:p>
      <w:pPr>
        <w:spacing w:after="0" w:line="202" w:lineRule="exact"/>
        <w:rPr>
          <w:sz w:val="20"/>
          <w:szCs w:val="20"/>
          <w:color w:val="auto"/>
        </w:rPr>
      </w:pPr>
    </w:p>
    <w:p>
      <w:pPr>
        <w:ind w:left="2592" w:right="140" w:hanging="647"/>
        <w:spacing w:after="0" w:line="277" w:lineRule="auto"/>
        <w:tabs>
          <w:tab w:leader="none" w:pos="26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prior to the time that the person became an Interested Shareholder, the Board approved either the Business Combination or the transaction which resulted in the person becoming an Interested Shareholder; or</w:t>
      </w:r>
    </w:p>
    <w:p>
      <w:pPr>
        <w:sectPr>
          <w:pgSz w:w="11900" w:h="16929" w:orient="portrait"/>
          <w:cols w:equalWidth="0" w:num="1">
            <w:col w:w="11392"/>
          </w:cols>
          <w:pgMar w:left="248" w:top="121" w:right="259" w:bottom="0" w:gutter="0" w:footer="0" w:header="0"/>
        </w:sectPr>
      </w:pPr>
    </w:p>
    <w:bookmarkStart w:id="182" w:name="page183"/>
    <w:bookmarkEnd w:id="182"/>
    <w:p>
      <w:pPr>
        <w:ind w:left="1400" w:right="220" w:hanging="647"/>
        <w:spacing w:after="0" w:line="255" w:lineRule="auto"/>
        <w:tabs>
          <w:tab w:leader="none" w:pos="143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person becoming an Interested Shareholder, the Interested Shareholder owned at least 85% of the number of issued and outstanding voting shares of the Company at the time the transaction commenced, excluding for the purposes of determining the number of shares issued and outstanding those shares owned (i) by persons who are directors and also officers and (ii) employee share plans in which employee participants do not have the right to determine whether shares held subject to the plan will be tendered in a tender or exchange offer.</w:t>
      </w:r>
    </w:p>
    <w:p>
      <w:pPr>
        <w:spacing w:after="0" w:line="193" w:lineRule="exact"/>
        <w:rPr>
          <w:rFonts w:ascii="Arial" w:cs="Arial" w:eastAsia="Arial" w:hAnsi="Arial"/>
          <w:sz w:val="18"/>
          <w:szCs w:val="18"/>
          <w:color w:val="auto"/>
        </w:rPr>
      </w:pPr>
    </w:p>
    <w:p>
      <w:pPr>
        <w:ind w:left="760" w:hanging="655"/>
        <w:spacing w:after="0"/>
        <w:tabs>
          <w:tab w:leader="none" w:pos="7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restrictions contained in this Bye-law 83.1 shall not apply if:</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200" w:hanging="647"/>
        <w:spacing w:after="0" w:line="279" w:lineRule="auto"/>
        <w:tabs>
          <w:tab w:leader="none" w:pos="142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Member becomes an Interested Shareholder inadvertently and (i) as soon as practicable divests itself of ownership of sufficient shares so that the Member ceases to be an Interested Shareholder; and (ii) would not, at any time within the three-year period immediately prior to a Business Combination between the Company and such Member, have been an Interested Shareholder but for the inadvertent acquisition of ownership; or</w:t>
      </w:r>
    </w:p>
    <w:p>
      <w:pPr>
        <w:spacing w:after="0" w:line="171" w:lineRule="exact"/>
        <w:rPr>
          <w:rFonts w:ascii="Arial" w:cs="Arial" w:eastAsia="Arial" w:hAnsi="Arial"/>
          <w:sz w:val="17"/>
          <w:szCs w:val="17"/>
          <w:color w:val="auto"/>
        </w:rPr>
      </w:pPr>
    </w:p>
    <w:p>
      <w:pPr>
        <w:ind w:left="1400" w:hanging="647"/>
        <w:spacing w:after="0" w:line="271" w:lineRule="auto"/>
        <w:tabs>
          <w:tab w:leader="none" w:pos="143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Business Combination is proposed prior to the consummation or abandonment of, and subsequent to the earlier of the public announcement or the notice required hereunder of, a proposed transaction which (i) constitutes one of the transactions described in the following sentence; (ii) is with or by a person who either was not an Interested Shareholder during the previous three years or who became an Interested Shareholder with the approval of the Board; and (iii) is approved or not opposed by a majority of the members of the Board then in office who were Directors prior to any person becoming an Interested Shareholder during the previous three years or were recommended for election or elected to succeed such Directors by resolution of the Board approved by a majority of such Directors. The proposed transactions referred to in the preceding sentence are limited to:</w:t>
      </w:r>
    </w:p>
    <w:p>
      <w:pPr>
        <w:spacing w:after="0" w:line="178" w:lineRule="exact"/>
        <w:rPr>
          <w:rFonts w:ascii="Arial" w:cs="Arial" w:eastAsia="Arial" w:hAnsi="Arial"/>
          <w:sz w:val="17"/>
          <w:szCs w:val="17"/>
          <w:color w:val="auto"/>
        </w:rPr>
      </w:pPr>
    </w:p>
    <w:p>
      <w:pPr>
        <w:ind w:left="2040" w:hanging="639"/>
        <w:spacing w:after="0" w:line="277" w:lineRule="auto"/>
        <w:tabs>
          <w:tab w:leader="none" w:pos="203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merger, amalgamation or consolidation of the Company (except an amalgamation in respect of which, pursuant to the Act, no vote of the shareholders of the Company is required);</w:t>
      </w:r>
    </w:p>
    <w:p>
      <w:pPr>
        <w:spacing w:after="0" w:line="170" w:lineRule="exact"/>
        <w:rPr>
          <w:rFonts w:ascii="Arial" w:cs="Arial" w:eastAsia="Arial" w:hAnsi="Arial"/>
          <w:sz w:val="18"/>
          <w:szCs w:val="18"/>
          <w:color w:val="auto"/>
        </w:rPr>
      </w:pPr>
    </w:p>
    <w:p>
      <w:pPr>
        <w:ind w:left="2040" w:right="80" w:hanging="639"/>
        <w:spacing w:after="0" w:line="312" w:lineRule="auto"/>
        <w:tabs>
          <w:tab w:leader="none" w:pos="204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 sale, lease, exchange, mortgage, pledge, transfer or other disposition (in one transaction or a series of transactions), whether as part of a dissolution or otherwise, of assets of the Company or of any entity directly or indirectly wholly-owned or majority-owned by the Company (other than to the Company or any entity</w:t>
      </w:r>
    </w:p>
    <w:p>
      <w:pPr>
        <w:spacing w:after="0" w:line="14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spacing w:after="0" w:line="286" w:lineRule="auto"/>
        <w:rPr>
          <w:sz w:val="20"/>
          <w:szCs w:val="20"/>
          <w:color w:val="auto"/>
        </w:rPr>
      </w:pPr>
      <w:r>
        <w:rPr>
          <w:rFonts w:ascii="Arial" w:cs="Arial" w:eastAsia="Arial" w:hAnsi="Arial"/>
          <w:sz w:val="17"/>
          <w:szCs w:val="17"/>
          <w:color w:val="auto"/>
        </w:rPr>
        <w:t>directly or indirectly wholly-owned by the Company) having an aggregate market value equal to 50% or more of either the aggregate market value of all of the assets of the Company determined on a consolidated basis or the aggregate market value of all the issued and outstanding shares of the Company; or</w:t>
      </w:r>
    </w:p>
    <w:p>
      <w:pPr>
        <w:spacing w:after="0" w:line="166" w:lineRule="exact"/>
        <w:rPr>
          <w:sz w:val="20"/>
          <w:szCs w:val="20"/>
          <w:color w:val="auto"/>
        </w:rPr>
      </w:pPr>
    </w:p>
    <w:p>
      <w:pPr>
        <w:ind w:left="2040" w:right="680" w:hanging="639"/>
        <w:spacing w:after="0" w:line="277" w:lineRule="auto"/>
        <w:tabs>
          <w:tab w:leader="none" w:pos="20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proposed tender or exchange offer for 50% or more of the issued and outstanding voting shares of the Company.</w:t>
      </w:r>
    </w:p>
    <w:p>
      <w:pPr>
        <w:spacing w:after="0" w:line="170" w:lineRule="exact"/>
        <w:rPr>
          <w:sz w:val="20"/>
          <w:szCs w:val="20"/>
          <w:color w:val="auto"/>
        </w:rPr>
      </w:pPr>
    </w:p>
    <w:p>
      <w:pPr>
        <w:ind w:left="760" w:right="580"/>
        <w:spacing w:after="0" w:line="277" w:lineRule="auto"/>
        <w:rPr>
          <w:sz w:val="20"/>
          <w:szCs w:val="20"/>
          <w:color w:val="auto"/>
        </w:rPr>
      </w:pPr>
      <w:r>
        <w:rPr>
          <w:rFonts w:ascii="Arial" w:cs="Arial" w:eastAsia="Arial" w:hAnsi="Arial"/>
          <w:sz w:val="18"/>
          <w:szCs w:val="18"/>
          <w:color w:val="auto"/>
        </w:rPr>
        <w:t>The Company shall give not less than 20 days notice to all Interested Shareholders prior to the consummation of any of the transactions described in subparagraphs (a) or (b) of the second sentence of this paragraph (ii).</w:t>
      </w:r>
    </w:p>
    <w:p>
      <w:pPr>
        <w:spacing w:after="0" w:line="170" w:lineRule="exact"/>
        <w:rPr>
          <w:sz w:val="20"/>
          <w:szCs w:val="20"/>
          <w:color w:val="auto"/>
        </w:rPr>
      </w:pPr>
    </w:p>
    <w:p>
      <w:pPr>
        <w:ind w:left="760" w:hanging="655"/>
        <w:spacing w:after="0"/>
        <w:tabs>
          <w:tab w:leader="none" w:pos="7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the purpose of this Bye-law 83 only, the term:</w:t>
      </w:r>
    </w:p>
    <w:p>
      <w:pPr>
        <w:spacing w:after="0" w:line="225" w:lineRule="exact"/>
        <w:rPr>
          <w:rFonts w:ascii="Arial" w:cs="Arial" w:eastAsia="Arial" w:hAnsi="Arial"/>
          <w:sz w:val="18"/>
          <w:szCs w:val="18"/>
          <w:color w:val="auto"/>
        </w:rPr>
      </w:pPr>
    </w:p>
    <w:p>
      <w:pPr>
        <w:ind w:left="1400" w:right="120" w:hanging="647"/>
        <w:spacing w:after="0" w:line="277" w:lineRule="auto"/>
        <w:tabs>
          <w:tab w:leader="none" w:pos="142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ind w:left="1400" w:right="40" w:hanging="647"/>
        <w:spacing w:after="0" w:line="297" w:lineRule="auto"/>
        <w:tabs>
          <w:tab w:leader="none" w:pos="1431"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 (i) any company, partnership, unincorporated association or other entity of which such person is a director, officer or partner or is, directly or indirectly, the owner of 20% or more of any class of voting shares;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58" w:lineRule="exact"/>
        <w:rPr>
          <w:rFonts w:ascii="Arial" w:cs="Arial" w:eastAsia="Arial" w:hAnsi="Arial"/>
          <w:sz w:val="16"/>
          <w:szCs w:val="16"/>
          <w:color w:val="auto"/>
        </w:rPr>
      </w:pPr>
    </w:p>
    <w:p>
      <w:pPr>
        <w:ind w:left="1400" w:right="480" w:hanging="647"/>
        <w:spacing w:after="0" w:line="277" w:lineRule="auto"/>
        <w:tabs>
          <w:tab w:leader="none" w:pos="14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Company and any Interested Shareholder of the Company, means:</w:t>
      </w:r>
    </w:p>
    <w:p>
      <w:pPr>
        <w:spacing w:after="0" w:line="170" w:lineRule="exact"/>
        <w:rPr>
          <w:sz w:val="20"/>
          <w:szCs w:val="20"/>
          <w:color w:val="auto"/>
        </w:rPr>
      </w:pPr>
    </w:p>
    <w:p>
      <w:pPr>
        <w:ind w:left="2040" w:right="40" w:hanging="639"/>
        <w:spacing w:after="0" w:line="277" w:lineRule="auto"/>
        <w:tabs>
          <w:tab w:leader="none" w:pos="20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merger, amalgamation or consolidation of the Company or any entity directly or indirectly wholly-owned or majority-owned by the Company, wherever incorporated, with (A) the Interested</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40" w:right="260"/>
        <w:spacing w:after="0" w:line="342" w:lineRule="auto"/>
        <w:rPr>
          <w:sz w:val="20"/>
          <w:szCs w:val="20"/>
          <w:color w:val="auto"/>
        </w:rPr>
      </w:pPr>
      <w:r>
        <w:rPr>
          <w:rFonts w:ascii="Arial" w:cs="Arial" w:eastAsia="Arial" w:hAnsi="Arial"/>
          <w:sz w:val="16"/>
          <w:szCs w:val="16"/>
          <w:color w:val="auto"/>
        </w:rPr>
        <w:t>Shareholder or any of its affiliates, or (B) with any other company, partnership, unincorporated association or other entity if the merger, amalgamation or consolidation is caused by the Interested Shareholder;</w:t>
      </w:r>
    </w:p>
    <w:p>
      <w:pPr>
        <w:spacing w:after="0" w:line="124" w:lineRule="exact"/>
        <w:rPr>
          <w:sz w:val="20"/>
          <w:szCs w:val="20"/>
          <w:color w:val="auto"/>
        </w:rPr>
      </w:pPr>
    </w:p>
    <w:p>
      <w:pPr>
        <w:ind w:left="2040" w:right="340" w:hanging="639"/>
        <w:spacing w:after="0" w:line="312" w:lineRule="auto"/>
        <w:tabs>
          <w:tab w:leader="none" w:pos="20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proportionately as a shareholder of the Company, to or with the Interested Shareholder, whether as part of a dissolution or otherwise, of assets of the Company or of any entity directly or indirectly</w:t>
      </w:r>
    </w:p>
    <w:p>
      <w:pPr>
        <w:sectPr>
          <w:pgSz w:w="11900" w:h="16838" w:orient="portrait"/>
          <w:cols w:equalWidth="0" w:num="1">
            <w:col w:w="10180"/>
          </w:cols>
          <w:pgMar w:left="1440" w:top="342" w:right="279" w:bottom="0" w:gutter="0" w:footer="0" w:header="0"/>
        </w:sectPr>
      </w:pPr>
    </w:p>
    <w:bookmarkStart w:id="183" w:name="page184"/>
    <w:bookmarkEnd w:id="183"/>
    <w:p>
      <w:pPr>
        <w:jc w:val="both"/>
        <w:ind w:left="2040" w:right="40"/>
        <w:spacing w:after="0" w:line="286" w:lineRule="auto"/>
        <w:rPr>
          <w:sz w:val="20"/>
          <w:szCs w:val="20"/>
          <w:color w:val="auto"/>
        </w:rPr>
      </w:pPr>
      <w:r>
        <w:rPr>
          <w:rFonts w:ascii="Arial" w:cs="Arial" w:eastAsia="Arial" w:hAnsi="Arial"/>
          <w:sz w:val="17"/>
          <w:szCs w:val="17"/>
          <w:color w:val="auto"/>
        </w:rPr>
        <w:t>wholly-owned or majority-owned by the Company which assets have an aggregate market value equal to 10% or more of either the aggregate market value of all the assets of the Company determined on a consolidated basis or the aggregate market value of all the issued and outstanding shares of the Company;</w:t>
      </w:r>
    </w:p>
    <w:p>
      <w:pPr>
        <w:spacing w:after="0" w:line="166" w:lineRule="exact"/>
        <w:rPr>
          <w:sz w:val="20"/>
          <w:szCs w:val="20"/>
          <w:color w:val="auto"/>
        </w:rPr>
      </w:pPr>
    </w:p>
    <w:p>
      <w:pPr>
        <w:ind w:left="2040" w:right="60" w:hanging="639"/>
        <w:spacing w:after="0" w:line="253" w:lineRule="auto"/>
        <w:tabs>
          <w:tab w:leader="none" w:pos="205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transaction which results in the issuance or transfer by the Company or by any entity directly or indirectly wholly-owned or majority-owned by the Company of any shares of the Company, or any share of such entity, to the Interested Shareholder, except: (A) pursuant to the exercise, exchange or conversion of securities exercisable for, exchangeable for or convertible into shares of the Company, or shares of any such entity, which securities were issued and outstanding prior to the time that the Interested Shareholder became such; (B) pursuant to a dividend or distribution paid or made, or the exercise, exchange or conversion of securities exercisable for, exchangeable for or convertible into shares of the Company, or shares of any such entity, which security is distributed, pro rata to all holders of a class or series of shares subsequent to the time the Interested Shareholder became</w:t>
      </w:r>
    </w:p>
    <w:p>
      <w:pPr>
        <w:spacing w:after="0" w:line="1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200"/>
        <w:spacing w:after="0" w:line="259" w:lineRule="auto"/>
        <w:rPr>
          <w:sz w:val="20"/>
          <w:szCs w:val="20"/>
          <w:color w:val="auto"/>
        </w:rPr>
      </w:pPr>
      <w:r>
        <w:rPr>
          <w:rFonts w:ascii="Arial" w:cs="Arial" w:eastAsia="Arial" w:hAnsi="Arial"/>
          <w:sz w:val="18"/>
          <w:szCs w:val="18"/>
          <w:color w:val="auto"/>
        </w:rPr>
        <w:t>such; (C) pursuant to an exchange offer by the Company to purchase shares made on the same terms to all holders of such shares; or (D) any issuance or transfer of shares by the Company; provided however, that in no case under items (B)-(D) of this subparagraph shall there be an increase in the Interested Shareholder’s proportionate share of the any class or series of shares;</w:t>
      </w:r>
    </w:p>
    <w:p>
      <w:pPr>
        <w:spacing w:after="0" w:line="187" w:lineRule="exact"/>
        <w:rPr>
          <w:sz w:val="20"/>
          <w:szCs w:val="20"/>
          <w:color w:val="auto"/>
        </w:rPr>
      </w:pPr>
    </w:p>
    <w:p>
      <w:pPr>
        <w:ind w:left="2040" w:right="60" w:hanging="639"/>
        <w:spacing w:after="0" w:line="273" w:lineRule="auto"/>
        <w:tabs>
          <w:tab w:leader="none" w:pos="204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transaction involving the Company or any entity directly or indirectly wholly-owned or majority-owned by the Company which has the effect, directly or indirectly, of increasing the proportionate share of any class or series of shares, or securities convertible into any class or series of shares of the Company, or shares of any such entity, or securities convertible into such shares, which is owned by the Interested Shareholder, except as a result of immaterial changes due to fractional share adjustments or as a result of any repurchase or redemption of any shares not caused, directly or indirectly, by the Interested Shareholder; or</w:t>
      </w:r>
    </w:p>
    <w:p>
      <w:pPr>
        <w:spacing w:after="0" w:line="178" w:lineRule="exact"/>
        <w:rPr>
          <w:rFonts w:ascii="Arial" w:cs="Arial" w:eastAsia="Arial" w:hAnsi="Arial"/>
          <w:sz w:val="17"/>
          <w:szCs w:val="17"/>
          <w:color w:val="auto"/>
        </w:rPr>
      </w:pPr>
    </w:p>
    <w:p>
      <w:pPr>
        <w:ind w:left="2040" w:hanging="639"/>
        <w:spacing w:after="0" w:line="279" w:lineRule="auto"/>
        <w:tabs>
          <w:tab w:leader="none" w:pos="205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receipt by the Interested Shareholder of the benefit, directly or indirectly (except proportionately as a shareholder of the Company), of any loans, advances, guarantees, pledges or other financial benefits (other than those expressly permitted in subparagraphs (a)-(d) of this paragraph) provided by or through the Company or any entity directly or indirectly wholly-owned or majority-owned by the Company;</w:t>
      </w:r>
    </w:p>
    <w:p>
      <w:pPr>
        <w:spacing w:after="0" w:line="171" w:lineRule="exact"/>
        <w:rPr>
          <w:sz w:val="20"/>
          <w:szCs w:val="20"/>
          <w:color w:val="auto"/>
        </w:rPr>
      </w:pPr>
    </w:p>
    <w:p>
      <w:pPr>
        <w:jc w:val="both"/>
        <w:ind w:left="1400" w:right="260" w:hanging="647"/>
        <w:spacing w:after="0" w:line="264" w:lineRule="auto"/>
        <w:tabs>
          <w:tab w:leader="none" w:pos="14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shares, by contract or</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40"/>
        <w:spacing w:after="0" w:line="273" w:lineRule="auto"/>
        <w:rPr>
          <w:sz w:val="20"/>
          <w:szCs w:val="20"/>
          <w:color w:val="auto"/>
        </w:rPr>
      </w:pPr>
      <w:r>
        <w:rPr>
          <w:rFonts w:ascii="Arial" w:cs="Arial" w:eastAsia="Arial" w:hAnsi="Arial"/>
          <w:sz w:val="17"/>
          <w:szCs w:val="17"/>
          <w:color w:val="auto"/>
        </w:rPr>
        <w:t>otherwise. A person who is the owner of 20% or more of the issued and outstanding voting shares of any company, partnership, unincorporated association or other entity shall be presumed to have control of such entity, in the absence of proof by a preponderance of the evidence to the contrary; provided that notwithstanding the foregoing, such presumption of control shall not apply where such person holds voting shares, in good faith and not for the purpose of circumventing this provision, as an agent, bank, broker, nominee, custodian or trustee for one or more owners who do not individually or as a group have control of such entity;</w:t>
      </w:r>
    </w:p>
    <w:p>
      <w:pPr>
        <w:spacing w:after="0" w:line="178" w:lineRule="exact"/>
        <w:rPr>
          <w:sz w:val="20"/>
          <w:szCs w:val="20"/>
          <w:color w:val="auto"/>
        </w:rPr>
      </w:pPr>
    </w:p>
    <w:p>
      <w:pPr>
        <w:ind w:left="1400" w:right="40" w:hanging="647"/>
        <w:spacing w:after="0" w:line="287" w:lineRule="auto"/>
        <w:tabs>
          <w:tab w:leader="none" w:pos="140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“Interested Shareholder” means any person (other than the Company and any entity directly or indirectly wholly-owned or majority-owned by the Company) that (i) is the owner of 15% or more of the issued and outstanding voting shares of the Company, (ii) is an affiliate or associate of the Company and was the owner of 15% or more of the issued and outstanding voting shares of the Company at any time within the three-year period immediately prior to the date on which it is sought to be determined whether such person is an Interested Shareholder or (iii) is an affiliate or associate of any person listed in (i) or (ii) above; provided, however, that the term “Interested Shareholder” shall not include any person whose ownership of shares in excess of the 15% limitation set forth herein is the result of action taken solely by the Company unless such person referred to in this proviso acquires additional voting shares of the Company otherwise than as a result of further corporate action not caused, directly or indirectly, by such person. For the purpose of determining whether a person is an Interested Shareholder, the voting shares of the Company deemed to be issued and outstanding shall include voting shares deemed to be owned by the person through application of paragraph (8) below, but shall not include any other unissued shares which may be issuable pursuant to any agreement,</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arrangement or understanding, or upon exercise of conversion rights, warrants or options, or otherwise;</w:t>
      </w:r>
    </w:p>
    <w:p>
      <w:pPr>
        <w:spacing w:after="0" w:line="225" w:lineRule="exact"/>
        <w:rPr>
          <w:sz w:val="20"/>
          <w:szCs w:val="20"/>
          <w:color w:val="auto"/>
        </w:rPr>
      </w:pPr>
    </w:p>
    <w:p>
      <w:pPr>
        <w:ind w:left="1420" w:hanging="667"/>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“person” means any individual, company, partnership, unincorporated association or other entity;</w:t>
      </w:r>
    </w:p>
    <w:p>
      <w:pPr>
        <w:spacing w:after="0" w:line="225" w:lineRule="exact"/>
        <w:rPr>
          <w:rFonts w:ascii="Arial" w:cs="Arial" w:eastAsia="Arial" w:hAnsi="Arial"/>
          <w:sz w:val="18"/>
          <w:szCs w:val="18"/>
          <w:color w:val="auto"/>
        </w:rPr>
      </w:pPr>
    </w:p>
    <w:p>
      <w:pPr>
        <w:ind w:left="1400" w:right="40" w:hanging="647"/>
        <w:spacing w:after="0" w:line="264" w:lineRule="auto"/>
        <w:tabs>
          <w:tab w:leader="none" w:pos="142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“voting shares” means, with respect to any company, shares of any class or series entitled to vote generally in the election of directors and, with respect to any entity that is not a company, any equity interest entitled to vote generally in the election of the governing body of such entity;</w:t>
      </w:r>
    </w:p>
    <w:p>
      <w:pPr>
        <w:sectPr>
          <w:pgSz w:w="11900" w:h="16838" w:orient="portrait"/>
          <w:cols w:equalWidth="0" w:num="1">
            <w:col w:w="10220"/>
          </w:cols>
          <w:pgMar w:left="1440" w:top="125" w:right="239" w:bottom="0" w:gutter="0" w:footer="0" w:header="0"/>
        </w:sectPr>
      </w:pPr>
    </w:p>
    <w:bookmarkStart w:id="184" w:name="page185"/>
    <w:bookmarkEnd w:id="184"/>
    <w:p>
      <w:pPr>
        <w:ind w:left="2592" w:hanging="647"/>
        <w:spacing w:after="0" w:line="277" w:lineRule="auto"/>
        <w:tabs>
          <w:tab w:leader="none" w:pos="26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shares, means a person that individually or with or through any of its affiliates or associates:</w:t>
      </w:r>
    </w:p>
    <w:p>
      <w:pPr>
        <w:spacing w:after="0" w:line="170" w:lineRule="exact"/>
        <w:rPr>
          <w:rFonts w:ascii="Arial" w:cs="Arial" w:eastAsia="Arial" w:hAnsi="Arial"/>
          <w:sz w:val="18"/>
          <w:szCs w:val="18"/>
          <w:color w:val="auto"/>
        </w:rPr>
      </w:pPr>
    </w:p>
    <w:p>
      <w:pPr>
        <w:ind w:left="3232" w:hanging="639"/>
        <w:spacing w:after="0"/>
        <w:tabs>
          <w:tab w:leader="none" w:pos="323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beneficially owns such shares, directly or indirectly; or</w:t>
      </w:r>
    </w:p>
    <w:p>
      <w:pPr>
        <w:spacing w:after="0" w:line="225" w:lineRule="exact"/>
        <w:rPr>
          <w:rFonts w:ascii="Arial" w:cs="Arial" w:eastAsia="Arial" w:hAnsi="Arial"/>
          <w:sz w:val="18"/>
          <w:szCs w:val="18"/>
          <w:color w:val="auto"/>
        </w:rPr>
      </w:pPr>
    </w:p>
    <w:p>
      <w:pPr>
        <w:ind w:left="3232" w:right="40" w:hanging="639"/>
        <w:spacing w:after="0" w:line="289" w:lineRule="auto"/>
        <w:tabs>
          <w:tab w:leader="none" w:pos="323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has (A) the right to acquire such shares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shares tendered pursuant to a tender or exchange offer made by such person or any of such person’s affiliates or associates until such tendered shares are accepted for purchase or exchange; or (B) the right to vote such shares pursuant to any agreement, arrangement or understanding; provided, however, that a person shall not be deemed the owner of any shares because of such person’s right to vote such shares if the agreement, arrangement or understanding to vote such shares arises solely from a revocable proxy or consent given in response to a proxy or consent solicitation made to 10 or more persons; or</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32" w:right="240" w:hanging="639"/>
        <w:spacing w:after="0" w:line="259" w:lineRule="auto"/>
        <w:tabs>
          <w:tab w:leader="none" w:pos="324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subparagraph (b) of this paragraph), or disposing of such shares with any other person that beneficially owns, or whose affiliates or associates beneficially own, directly or indirectly, such shares.</w:t>
      </w:r>
    </w:p>
    <w:p>
      <w:pPr>
        <w:spacing w:after="0" w:line="183" w:lineRule="exact"/>
        <w:rPr>
          <w:sz w:val="20"/>
          <w:szCs w:val="20"/>
          <w:color w:val="auto"/>
        </w:rPr>
      </w:pPr>
    </w:p>
    <w:p>
      <w:pPr>
        <w:ind w:left="1292" w:right="220" w:hanging="647"/>
        <w:spacing w:after="0" w:line="264" w:lineRule="auto"/>
        <w:tabs>
          <w:tab w:leader="none" w:pos="1272" w:val="left"/>
        </w:tabs>
        <w:rPr>
          <w:sz w:val="20"/>
          <w:szCs w:val="20"/>
          <w:color w:val="auto"/>
        </w:rPr>
      </w:pPr>
      <w:r>
        <w:rPr>
          <w:rFonts w:ascii="Arial" w:cs="Arial" w:eastAsia="Arial" w:hAnsi="Arial"/>
          <w:sz w:val="18"/>
          <w:szCs w:val="18"/>
          <w:b w:val="1"/>
          <w:bCs w:val="1"/>
          <w:color w:val="auto"/>
        </w:rPr>
        <w:t>83.2</w:t>
      </w:r>
      <w:r>
        <w:rPr>
          <w:sz w:val="20"/>
          <w:szCs w:val="20"/>
          <w:color w:val="auto"/>
        </w:rPr>
        <w:tab/>
      </w:r>
      <w:r>
        <w:rPr>
          <w:rFonts w:ascii="Arial" w:cs="Arial" w:eastAsia="Arial" w:hAnsi="Arial"/>
          <w:sz w:val="18"/>
          <w:szCs w:val="18"/>
          <w:color w:val="auto"/>
        </w:rPr>
        <w:t>In respect of any Business Combination to which the restrictions contained in Bye-law 83.1 do not apply but which the Act requires to be approved by the Members, the necessary general meeting quorum and Members’ approval shall be as set out in Bye-laws 27 and 29 respectively.</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VOLUNTARY WINDING-UP AND DISSOLUTION</w:t>
      </w:r>
    </w:p>
    <w:p>
      <w:pPr>
        <w:spacing w:after="0" w:line="225" w:lineRule="exact"/>
        <w:rPr>
          <w:sz w:val="20"/>
          <w:szCs w:val="20"/>
          <w:color w:val="auto"/>
        </w:rPr>
      </w:pPr>
    </w:p>
    <w:p>
      <w:pPr>
        <w:ind w:left="652" w:hanging="652"/>
        <w:spacing w:after="0"/>
        <w:tabs>
          <w:tab w:leader="none" w:pos="65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Winding-Up</w:t>
      </w:r>
    </w:p>
    <w:p>
      <w:pPr>
        <w:spacing w:after="0" w:line="229" w:lineRule="exact"/>
        <w:rPr>
          <w:rFonts w:ascii="Arial" w:cs="Arial" w:eastAsia="Arial" w:hAnsi="Arial"/>
          <w:sz w:val="18"/>
          <w:szCs w:val="18"/>
          <w:b w:val="1"/>
          <w:bCs w:val="1"/>
          <w:color w:val="auto"/>
        </w:rPr>
      </w:pPr>
    </w:p>
    <w:p>
      <w:pPr>
        <w:ind w:left="65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Company shall be wound up the liquidator may, with the sanction of a resolution of the Members, divide amongst the Members in specie or in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the trustees upon such trusts for the benefit of the Members as the liquidator shall think fit, but so that no Member shall be compelled to accept any shares or other securities or assets whereon there is any liability.</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CHANGES TO CONSTITUTION</w:t>
      </w:r>
    </w:p>
    <w:p>
      <w:pPr>
        <w:spacing w:after="0" w:line="225" w:lineRule="exact"/>
        <w:rPr>
          <w:sz w:val="20"/>
          <w:szCs w:val="20"/>
          <w:color w:val="auto"/>
        </w:rPr>
      </w:pPr>
    </w:p>
    <w:p>
      <w:pPr>
        <w:ind w:left="652" w:hanging="652"/>
        <w:spacing w:after="0"/>
        <w:tabs>
          <w:tab w:leader="none" w:pos="65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Bye-laws</w:t>
      </w:r>
    </w:p>
    <w:p>
      <w:pPr>
        <w:spacing w:after="0" w:line="225" w:lineRule="exact"/>
        <w:rPr>
          <w:rFonts w:ascii="Arial" w:cs="Arial" w:eastAsia="Arial" w:hAnsi="Arial"/>
          <w:sz w:val="18"/>
          <w:szCs w:val="18"/>
          <w:b w:val="1"/>
          <w:bCs w:val="1"/>
          <w:color w:val="auto"/>
        </w:rPr>
      </w:pPr>
    </w:p>
    <w:p>
      <w:pPr>
        <w:ind w:left="1292" w:right="240" w:hanging="64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85.1 </w:t>
      </w:r>
      <w:r>
        <w:rPr>
          <w:rFonts w:ascii="Arial" w:cs="Arial" w:eastAsia="Arial" w:hAnsi="Arial"/>
          <w:sz w:val="18"/>
          <w:szCs w:val="18"/>
          <w:color w:val="auto"/>
        </w:rPr>
        <w:t>No Bye-law may be rescinded, altered or amended and no new Bye-law may be made save in accordance with the Act and until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approved by a resolution of the Board and by a resolution of the Members.</w:t>
      </w:r>
    </w:p>
    <w:p>
      <w:pPr>
        <w:spacing w:after="0" w:line="16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85.2    </w:t>
      </w:r>
      <w:r>
        <w:rPr>
          <w:rFonts w:ascii="Arial" w:cs="Arial" w:eastAsia="Arial" w:hAnsi="Arial"/>
          <w:sz w:val="18"/>
          <w:szCs w:val="18"/>
          <w:color w:val="auto"/>
        </w:rPr>
        <w:t>Bye-laws 30, 45, 46, 49, 61, 84 and 86 may not be rescinded, altered or amended and no</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right="40"/>
        <w:spacing w:after="0" w:line="312" w:lineRule="auto"/>
        <w:rPr>
          <w:sz w:val="20"/>
          <w:szCs w:val="20"/>
          <w:color w:val="auto"/>
        </w:rPr>
      </w:pPr>
      <w:r>
        <w:rPr>
          <w:rFonts w:ascii="Arial" w:cs="Arial" w:eastAsia="Arial" w:hAnsi="Arial"/>
          <w:sz w:val="16"/>
          <w:szCs w:val="16"/>
          <w:color w:val="auto"/>
        </w:rPr>
        <w:t>new Bye-law may be made which would have the effect of rescinding, altering or amending the provisions of such Bye-laws, until the same has been approved by a resolution of the Board including the affirmative vote of not less than 66 2/3% of the Directors then in office and by a resolution of the Members including the affirmative vote of not less than 66 2/3% of the votes attaching to all shares in issue.</w:t>
      </w:r>
    </w:p>
    <w:p>
      <w:pPr>
        <w:spacing w:after="0" w:line="143" w:lineRule="exact"/>
        <w:rPr>
          <w:sz w:val="20"/>
          <w:szCs w:val="20"/>
          <w:color w:val="auto"/>
        </w:rPr>
      </w:pPr>
    </w:p>
    <w:p>
      <w:pPr>
        <w:ind w:left="652" w:hanging="652"/>
        <w:spacing w:after="0"/>
        <w:tabs>
          <w:tab w:leader="none" w:pos="6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Memorandum of Association</w:t>
      </w:r>
    </w:p>
    <w:p>
      <w:pPr>
        <w:spacing w:after="0" w:line="229" w:lineRule="exact"/>
        <w:rPr>
          <w:rFonts w:ascii="Arial" w:cs="Arial" w:eastAsia="Arial" w:hAnsi="Arial"/>
          <w:sz w:val="18"/>
          <w:szCs w:val="18"/>
          <w:b w:val="1"/>
          <w:bCs w:val="1"/>
          <w:color w:val="auto"/>
        </w:rPr>
      </w:pPr>
    </w:p>
    <w:p>
      <w:pPr>
        <w:ind w:left="65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alteration or amendment to the Memorandum of Association may be made save in accordance with the Act and until same has been approved by a resolution of the Board and by a resolution of the Members including the affirmative vote of not less than 66 2/3% of the votes attaching to all shares in issue.</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Discontinuance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The Board may exercise all the powers of the Company to discontinue the Company to a jurisdiction outside Bermuda pursuant to the Act.</w:t>
      </w:r>
    </w:p>
    <w:p>
      <w:pPr>
        <w:spacing w:after="0" w:line="232" w:lineRule="exact"/>
        <w:rPr>
          <w:rFonts w:ascii="Arial" w:cs="Arial" w:eastAsia="Arial" w:hAnsi="Arial"/>
          <w:sz w:val="18"/>
          <w:szCs w:val="18"/>
          <w:b w:val="1"/>
          <w:bCs w:val="1"/>
          <w:color w:val="auto"/>
        </w:rPr>
      </w:pPr>
    </w:p>
    <w:p>
      <w:pPr>
        <w:ind w:left="652" w:hanging="652"/>
        <w:spacing w:after="0"/>
        <w:tabs>
          <w:tab w:leader="none" w:pos="652"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Amalgamation</w:t>
      </w:r>
    </w:p>
    <w:p>
      <w:pPr>
        <w:spacing w:after="0" w:line="229" w:lineRule="exact"/>
        <w:rPr>
          <w:rFonts w:ascii="Arial" w:cs="Arial" w:eastAsia="Arial" w:hAnsi="Arial"/>
          <w:sz w:val="18"/>
          <w:szCs w:val="18"/>
          <w:b w:val="1"/>
          <w:bCs w:val="1"/>
          <w:color w:val="auto"/>
        </w:rPr>
      </w:pPr>
    </w:p>
    <w:p>
      <w:pPr>
        <w:jc w:val="both"/>
        <w:ind w:left="652"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Any resolution proposed for consideration at any general meeting to approve the amalgamation of the Company with any other company, wherever incorporated, shall require the approval of a simple majority of votes cast at such meeting and the quorum for such meeting shall be that required in Bye-law 27 and a poll may be demanded in respect of such resolution in accordance with the provisions of Bye-law 30.</w:t>
      </w:r>
    </w:p>
    <w:p>
      <w:pPr>
        <w:sectPr>
          <w:pgSz w:w="11900" w:h="16838" w:orient="portrait"/>
          <w:cols w:equalWidth="0" w:num="1">
            <w:col w:w="11412"/>
          </w:cols>
          <w:pgMar w:left="248" w:top="125" w:right="239" w:bottom="271" w:gutter="0" w:footer="0" w:header="0"/>
        </w:sectPr>
      </w:pPr>
    </w:p>
    <w:p>
      <w:pPr>
        <w:spacing w:after="0" w:line="166"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271"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right="620" w:firstLine="1297"/>
        <w:spacing w:after="0" w:line="264" w:lineRule="auto"/>
        <w:rPr>
          <w:sz w:val="20"/>
          <w:szCs w:val="20"/>
          <w:color w:val="auto"/>
        </w:rPr>
      </w:pPr>
      <w:r>
        <w:rPr>
          <w:rFonts w:ascii="Arial" w:cs="Arial" w:eastAsia="Arial" w:hAnsi="Arial"/>
          <w:sz w:val="18"/>
          <w:szCs w:val="18"/>
          <w:color w:val="auto"/>
        </w:rPr>
        <w:t>SHAREHOLDERS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5, 2013, among Essent Group Ltd., a limited liability company organized under the laws of Bermuda (the “</w:t>
      </w:r>
      <w:r>
        <w:rPr>
          <w:rFonts w:ascii="Arial" w:cs="Arial" w:eastAsia="Arial" w:hAnsi="Arial"/>
          <w:sz w:val="18"/>
          <w:szCs w:val="18"/>
          <w:u w:val="single" w:color="auto"/>
          <w:color w:val="auto"/>
        </w:rPr>
        <w:t>Company</w:t>
      </w:r>
      <w:r>
        <w:rPr>
          <w:rFonts w:ascii="Arial" w:cs="Arial" w:eastAsia="Arial" w:hAnsi="Arial"/>
          <w:sz w:val="18"/>
          <w:szCs w:val="18"/>
          <w:color w:val="auto"/>
        </w:rPr>
        <w:t>”) and Essent Intermediate, L.P. and Pine Brook Essent Co-Invest, L.P. (such entities, collectively, the “</w:t>
      </w:r>
      <w:r>
        <w:rPr>
          <w:rFonts w:ascii="Arial" w:cs="Arial" w:eastAsia="Arial" w:hAnsi="Arial"/>
          <w:sz w:val="18"/>
          <w:szCs w:val="18"/>
          <w:u w:val="single" w:color="auto"/>
          <w:color w:val="auto"/>
        </w:rPr>
        <w:t>Pine Brook Entities</w:t>
      </w:r>
      <w:r>
        <w:rPr>
          <w:rFonts w:ascii="Arial" w:cs="Arial" w:eastAsia="Arial" w:hAnsi="Arial"/>
          <w:sz w:val="18"/>
          <w:szCs w:val="18"/>
          <w:color w:val="auto"/>
        </w:rPr>
        <w:t>”).</w:t>
      </w:r>
    </w:p>
    <w:p>
      <w:pPr>
        <w:spacing w:after="0" w:line="181"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WHEREAS, the Company is currently contemplating an underwritten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shares of its Common Shares (as defined below) as described in the Registration Statement on Form S-1 (Registration No. 333-191193); and</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in connection with, and effective upon, completion of the IPO (without regard to any overallotment option related thereto), the Company and the Pine Brook Entities wish to set forth certain understandings between such parties, including with respect to certain corporate governance matters;</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meanings:</w:t>
      </w:r>
    </w:p>
    <w:p>
      <w:pPr>
        <w:spacing w:after="0" w:line="22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is a Person that directly, or indirectly through one or more intermediaries, Controls,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common shares of the Company and any equity securities issued or issuable in exchange for or with respect to such Common Shares by way of dividend, split, subdivision or combination of shares, or in connection with a reclassification, recapitalization, merger, consolidation or other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 The investment manager or investment adviser of an investment fund or account shall be deemed to Control such fund or account for purposes of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Director</w:t>
      </w:r>
      <w:r>
        <w:rPr>
          <w:rFonts w:ascii="Arial" w:cs="Arial" w:eastAsia="Arial" w:hAnsi="Arial"/>
          <w:sz w:val="18"/>
          <w:szCs w:val="18"/>
          <w:color w:val="auto"/>
        </w:rPr>
        <w:t>” has the meaning set forth in Section 2.1(b) of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any court, administrative agency, regulatory body, commission or other governmental authority, board, bureau or instrumentality, domestic or foreign and any subdivision thereof or other entity, and also includes any managed investment account.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Pine Brook Entities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Post-IPO Shares</w:t>
      </w:r>
      <w:r>
        <w:rPr>
          <w:rFonts w:ascii="Arial" w:cs="Arial" w:eastAsia="Arial" w:hAnsi="Arial"/>
          <w:sz w:val="16"/>
          <w:szCs w:val="16"/>
          <w:color w:val="auto"/>
        </w:rPr>
        <w:t>” means, with respect to each Pine Brook Entity, the number of shares of Common Shares Beneficially Owned by such Pine Brook Entity (without duplication as to any shares of Common Shares Beneficially Owned by any other Person) following completion of the IPO (after taking into account any shares sold by such Pine Brook Entity and its Affiliates as selling shareholders in the IPO and, if applicable, after delivery of shares of Common Shares by such Pine Brook Entity and its Affiliates to the underwriters in respect of an overallotment option granted to them by such Pine Brook Entity and/or its Affiliates), as such number of shares may be equitably adjusted to reflect any dividend, split, subdivision or combination of shares, or reclassification, recapitalization, merger, consolidation or other reorganization of or with respect to the Common Shares occurring subsequent to such time.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Director</w:t>
      </w:r>
      <w:r>
        <w:rPr>
          <w:rFonts w:ascii="Arial" w:cs="Arial" w:eastAsia="Arial" w:hAnsi="Arial"/>
          <w:sz w:val="18"/>
          <w:szCs w:val="18"/>
          <w:color w:val="auto"/>
        </w:rPr>
        <w:t>” has the meaning set forth in Section 2.1(b) of this Agreement.</w:t>
      </w:r>
    </w:p>
    <w:p>
      <w:pPr>
        <w:spacing w:after="0" w:line="22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u w:val="single" w:color="auto"/>
          <w:color w:val="auto"/>
        </w:rPr>
        <w:t>Gender</w:t>
      </w:r>
      <w:r>
        <w:rPr>
          <w:rFonts w:ascii="Arial" w:cs="Arial" w:eastAsia="Arial" w:hAnsi="Arial"/>
          <w:sz w:val="18"/>
          <w:szCs w:val="18"/>
          <w:color w:val="auto"/>
        </w:rPr>
        <w:t>. For the purposes of this Agreement, the words “he,” “his” or “himself” shall be interpreted to include the masculine,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and corporate, other entity or trust form.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GOVERNANCE MATTERS</w:t>
      </w:r>
    </w:p>
    <w:p>
      <w:pPr>
        <w:sectPr>
          <w:pgSz w:w="11900" w:h="16838" w:orient="portrait"/>
          <w:cols w:equalWidth="0" w:num="1">
            <w:col w:w="11420"/>
          </w:cols>
          <w:pgMar w:left="240" w:top="364" w:right="239" w:bottom="0" w:gutter="0" w:footer="0" w:header="0"/>
        </w:sectPr>
      </w:pPr>
    </w:p>
    <w:bookmarkStart w:id="186" w:name="page187"/>
    <w:bookmarkEnd w:id="186"/>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u w:val="single" w:color="auto"/>
          <w:color w:val="auto"/>
        </w:rPr>
        <w:t>Designees</w:t>
      </w:r>
      <w:r>
        <w:rPr>
          <w:rFonts w:ascii="Arial" w:cs="Arial" w:eastAsia="Arial" w:hAnsi="Arial"/>
          <w:sz w:val="18"/>
          <w:szCs w:val="18"/>
          <w:color w:val="auto"/>
        </w:rPr>
        <w:t>.</w:t>
      </w:r>
    </w:p>
    <w:p>
      <w:pPr>
        <w:spacing w:after="0" w:line="229" w:lineRule="exact"/>
        <w:rPr>
          <w:sz w:val="20"/>
          <w:szCs w:val="20"/>
          <w:color w:val="auto"/>
        </w:rPr>
      </w:pPr>
    </w:p>
    <w:p>
      <w:pPr>
        <w:ind w:right="160" w:firstLine="1305"/>
        <w:spacing w:after="0" w:line="277" w:lineRule="auto"/>
        <w:tabs>
          <w:tab w:leader="none" w:pos="154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So long as the Pine Brook Entities and their Affiliates collectively Beneficially Own Common Shares representing 35% or more of the Pine Brook Entities’ Post-IPO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Pine Brook Entities shall have the right to nominate one individual who satisfies the requirements of applicable law and the independence requirements imposed by the rules of any national securities exchange on which the Common Shares may be listed or traded for election to the Board, and, if the Board is comprised of different classes with staggered terms of service, such designee shall be nominated for election to the class with the longest term of service.</w:t>
      </w:r>
    </w:p>
    <w:p>
      <w:pPr>
        <w:spacing w:after="0" w:line="147" w:lineRule="exact"/>
        <w:rPr>
          <w:sz w:val="20"/>
          <w:szCs w:val="20"/>
          <w:color w:val="auto"/>
        </w:rPr>
      </w:pPr>
    </w:p>
    <w:p>
      <w:pPr>
        <w:ind w:right="80" w:firstLine="1305"/>
        <w:spacing w:after="0" w:line="259" w:lineRule="auto"/>
        <w:tabs>
          <w:tab w:leader="none" w:pos="155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that any designee of the Pine Brook Entities under this Section 2.1 shall for any reason cease to serve as a member of the Board during his term of office (such former Board member, a “</w:t>
      </w:r>
      <w:r>
        <w:rPr>
          <w:rFonts w:ascii="Arial" w:cs="Arial" w:eastAsia="Arial" w:hAnsi="Arial"/>
          <w:sz w:val="18"/>
          <w:szCs w:val="18"/>
          <w:u w:val="single" w:color="auto"/>
          <w:color w:val="auto"/>
        </w:rPr>
        <w:t>Former Director</w:t>
      </w:r>
      <w:r>
        <w:rPr>
          <w:rFonts w:ascii="Arial" w:cs="Arial" w:eastAsia="Arial" w:hAnsi="Arial"/>
          <w:sz w:val="18"/>
          <w:szCs w:val="18"/>
          <w:color w:val="auto"/>
        </w:rPr>
        <w:t>”), the resulting vacancy on the Board shall be filled by an individual designated by the Pine Brook Entities (a “</w:t>
      </w:r>
      <w:r>
        <w:rPr>
          <w:rFonts w:ascii="Arial" w:cs="Arial" w:eastAsia="Arial" w:hAnsi="Arial"/>
          <w:sz w:val="18"/>
          <w:szCs w:val="18"/>
          <w:u w:val="single" w:color="auto"/>
          <w:color w:val="auto"/>
        </w:rPr>
        <w:t>Replacement Director</w:t>
      </w:r>
      <w:r>
        <w:rPr>
          <w:rFonts w:ascii="Arial" w:cs="Arial" w:eastAsia="Arial" w:hAnsi="Arial"/>
          <w:sz w:val="18"/>
          <w:szCs w:val="18"/>
          <w:color w:val="auto"/>
        </w:rPr>
        <w:t>”) so long as the Pine Brook Entities have the right to nominate such director pursuant to this Section 2.1.</w:t>
      </w:r>
    </w:p>
    <w:p>
      <w:pPr>
        <w:spacing w:after="0" w:line="186" w:lineRule="exact"/>
        <w:rPr>
          <w:rFonts w:ascii="Arial" w:cs="Arial" w:eastAsia="Arial" w:hAnsi="Arial"/>
          <w:sz w:val="18"/>
          <w:szCs w:val="18"/>
          <w:color w:val="auto"/>
        </w:rPr>
      </w:pPr>
    </w:p>
    <w:p>
      <w:pPr>
        <w:ind w:right="20" w:firstLine="1305"/>
        <w:spacing w:after="0" w:line="255" w:lineRule="auto"/>
        <w:tabs>
          <w:tab w:leader="none" w:pos="153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hereby agrees, subject to Section 2.1(a), to (i) include the director nominee to which the Pine Brook Entities are entitled on each slate of nominees for election to the Board proposed by the Company and/or the Board and (ii) recommend the election of the director nominee to which the Pine Brook Entities are entitled to the shareholders of the Company. Without limiting the foregoing, the Company shall, as promptly as reasonably practicable, use commercially reasonably efforts to take all necessary and desirable actions within its control (including, without limitation, calling special meetings of the Board and/or the Company’s shareholders) to cause the election, removal and replacement of the designee of the Pine Brook Entities pursuant to this Section 2.1.</w:t>
      </w:r>
    </w:p>
    <w:p>
      <w:pPr>
        <w:spacing w:after="0" w:line="193" w:lineRule="exact"/>
        <w:rPr>
          <w:rFonts w:ascii="Arial" w:cs="Arial" w:eastAsia="Arial" w:hAnsi="Arial"/>
          <w:sz w:val="18"/>
          <w:szCs w:val="18"/>
          <w:color w:val="auto"/>
        </w:rPr>
      </w:pPr>
    </w:p>
    <w:p>
      <w:pPr>
        <w:ind w:right="560" w:firstLine="1305"/>
        <w:spacing w:after="0" w:line="277" w:lineRule="auto"/>
        <w:tabs>
          <w:tab w:leader="none" w:pos="154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certain management rights letter, dated as of February 6, 2009, between the Company and Essent Intermediate, L.P. shall be terminated and have no further force or effect as of the date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automatically terminate (without any action by any party hereto) as to each Pine Brook Entity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such Pine Brook Entity and its Affiliates no longer Beneficially Own any shares of Common Shares.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Survival</w:t>
      </w:r>
      <w:r>
        <w:rPr>
          <w:rFonts w:ascii="Arial" w:cs="Arial" w:eastAsia="Arial" w:hAnsi="Arial"/>
          <w:sz w:val="18"/>
          <w:szCs w:val="18"/>
          <w:color w:val="auto"/>
        </w:rPr>
        <w:t>. If this Agreement is terminated as to any Pine Brook Entity pursuant to Section 3.1, this Agreement shall become void and</w:t>
      </w:r>
      <w:r>
        <w:rPr>
          <w:rFonts w:ascii="Arial" w:cs="Arial" w:eastAsia="Arial" w:hAnsi="Arial"/>
          <w:sz w:val="18"/>
          <w:szCs w:val="18"/>
          <w:b w:val="1"/>
          <w:bCs w:val="1"/>
          <w:color w:val="auto"/>
        </w:rPr>
        <w:t xml:space="preserve"> </w:t>
      </w:r>
      <w:r>
        <w:rPr>
          <w:rFonts w:ascii="Arial" w:cs="Arial" w:eastAsia="Arial" w:hAnsi="Arial"/>
          <w:sz w:val="18"/>
          <w:szCs w:val="18"/>
          <w:color w:val="auto"/>
        </w:rPr>
        <w:t>of no further force and effect with respect to such Pine Brook Entity.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u w:val="single" w:color="auto"/>
          <w:color w:val="auto"/>
        </w:rPr>
        <w:t>Representations and Warranties of the Pine Brook Entities</w:t>
      </w:r>
      <w:r>
        <w:rPr>
          <w:rFonts w:ascii="Arial" w:cs="Arial" w:eastAsia="Arial" w:hAnsi="Arial"/>
          <w:sz w:val="18"/>
          <w:szCs w:val="18"/>
          <w:color w:val="auto"/>
        </w:rPr>
        <w:t>. Each of the Pine Brook Entities, severally and not jointly,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the Company that (a) such Pine Brook Entity is duly organized and validly existing under the laws of its jurisdiction of organization; (b) such Pine Brook Entity is duly authorized to execute, deliver and perform this Agreement; (c) this Agreement has been duly executed by such Pine Brook Entity or by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authorized signatory on behalf of such Pine Brook Entity and is a valid and binding agreement of such Pine Brook Entity, enforceable against such Pine Brook Entity in accordance with its terms; and (d) the execution, delivery and performance by such Pine Brook Entity of this Agreement does not violate or conflict with or result in a breach by such Pine Brook Entity of or constitute (or with notice or lapse of time or both would constitute) a default by such Pine Brook Entity under its organizational documents, under any agreement to which such Pine Brook Entity is a party, any existing applicable law of any court, administrative agency, regulatory body, commission or other governmental authority, board, bureau or instrumentality, domestic or foreign and any subdivision thereof, exercising any statutory or regulatory authority of any of the foregoing, domestic or foreign, having jurisdiction over such Pine Brook Entity, or any agreement or instrument by which such Pine Brook Entity or any of its assets may be bound.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each of the Pine Brook Entities that</w:t>
      </w:r>
    </w:p>
    <w:p>
      <w:pPr>
        <w:spacing w:after="0" w:line="39" w:lineRule="exact"/>
        <w:rPr>
          <w:sz w:val="20"/>
          <w:szCs w:val="20"/>
          <w:color w:val="auto"/>
        </w:rPr>
      </w:pPr>
    </w:p>
    <w:p>
      <w:pPr>
        <w:ind w:right="140" w:firstLine="8"/>
        <w:spacing w:after="0" w:line="268" w:lineRule="auto"/>
        <w:tabs>
          <w:tab w:leader="none" w:pos="24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Company is duly organized and validly existing under the laws of Bermuda; (b) the Company is duly authorized to execute, deliver and perform this Agreement; (c) this Agreement has been duly executed and delivered by the Company and is a valid and binding agreement of the Company, enforceable against the Company in accordance with its terms; and (d) the execution, delivery and performance by the Company of this Agreement does not violate or conflict with or result in a breach by the Company of or constitute (or with notice or lapse of time or both would constitute) a default by the Company under its memorandum of association and bye-laws in effect upon the completion of the IPO, any existing applicable law of any court, administrative agency, regulatory body, commission or other governmental authority, board, bureau or instrumentality, domestic or foreign and any subdivision thereof, exercising any statutory or regulatory authority of any of the foregoing, domestic or foreign, having jurisdiction over the Company, or any agreement or instrument by which the Company or any of its assets may be bound.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and other communications hereunder to any party shall be deemed to be sufficient if</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in a written instrument delivered in person or sent by facsimile (provided a copy is thereafter promptly delivered as provided in this Section 5.1) or</w:t>
      </w:r>
    </w:p>
    <w:p>
      <w:pPr>
        <w:sectPr>
          <w:pgSz w:w="11900" w:h="16979" w:orient="portrait"/>
          <w:cols w:equalWidth="0" w:num="1">
            <w:col w:w="11400"/>
          </w:cols>
          <w:pgMar w:left="240" w:top="337" w:right="259" w:bottom="0" w:gutter="0" w:footer="0" w:header="0"/>
        </w:sectPr>
      </w:pPr>
    </w:p>
    <w:bookmarkStart w:id="187" w:name="page188"/>
    <w:bookmarkEnd w:id="187"/>
    <w:p>
      <w:pPr>
        <w:ind w:right="80"/>
        <w:spacing w:after="0" w:line="277" w:lineRule="auto"/>
        <w:rPr>
          <w:sz w:val="20"/>
          <w:szCs w:val="20"/>
          <w:color w:val="auto"/>
        </w:rPr>
      </w:pPr>
      <w:r>
        <w:rPr>
          <w:rFonts w:ascii="Arial" w:cs="Arial" w:eastAsia="Arial" w:hAnsi="Arial"/>
          <w:sz w:val="18"/>
          <w:szCs w:val="18"/>
          <w:color w:val="auto"/>
        </w:rPr>
        <w:t>nationally recognized overnight courier, addressed to such party at the address or facsimile number set forth below or such other address or facsimile number as may hereafter be designated in writing by such party to the other parties:</w:t>
      </w:r>
    </w:p>
    <w:p>
      <w:pPr>
        <w:spacing w:after="0" w:line="170" w:lineRule="exact"/>
        <w:rPr>
          <w:sz w:val="20"/>
          <w:szCs w:val="20"/>
          <w:color w:val="auto"/>
        </w:rPr>
      </w:pPr>
    </w:p>
    <w:p>
      <w:pPr>
        <w:ind w:left="1620" w:hanging="315"/>
        <w:spacing w:after="0"/>
        <w:tabs>
          <w:tab w:leader="none" w:pos="16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620" w:right="7740"/>
        <w:spacing w:after="0" w:line="285" w:lineRule="auto"/>
        <w:rPr>
          <w:rFonts w:ascii="Arial" w:cs="Arial" w:eastAsia="Arial" w:hAnsi="Arial"/>
          <w:sz w:val="18"/>
          <w:szCs w:val="18"/>
          <w:color w:val="auto"/>
        </w:rPr>
      </w:pPr>
      <w:r>
        <w:rPr>
          <w:rFonts w:ascii="Arial" w:cs="Arial" w:eastAsia="Arial" w:hAnsi="Arial"/>
          <w:sz w:val="16"/>
          <w:szCs w:val="16"/>
          <w:color w:val="auto"/>
        </w:rPr>
        <w:t>Essent Group Ltd. Clarendon House 2 Church Street Hamilton HM 11, Bermuda (Telephone) (441) 297-9901</w:t>
      </w:r>
    </w:p>
    <w:p>
      <w:pPr>
        <w:spacing w:after="0" w:line="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Attention: Mary Lourdes Gibbons, Esq.</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Willkie Farr &amp; Gallagher LLP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(212) 728-8616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(212) 728-9616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Michael Groll, Esq.</w:t>
      </w:r>
    </w:p>
    <w:p>
      <w:pPr>
        <w:spacing w:after="0" w:line="211" w:lineRule="exact"/>
        <w:rPr>
          <w:sz w:val="20"/>
          <w:szCs w:val="20"/>
          <w:color w:val="auto"/>
        </w:rPr>
      </w:pPr>
    </w:p>
    <w:p>
      <w:pPr>
        <w:ind w:left="1640" w:hanging="335"/>
        <w:spacing w:after="0"/>
        <w:tabs>
          <w:tab w:leader="none" w:pos="1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to any of the Pine Brook Entities, to:</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Essent Intermediate, L.P.</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190 Elgin Avenue, George Town</w:t>
      </w:r>
    </w:p>
    <w:p>
      <w:pPr>
        <w:spacing w:after="0" w:line="9" w:lineRule="exact"/>
        <w:rPr>
          <w:rFonts w:ascii="Arial" w:cs="Arial" w:eastAsia="Arial" w:hAnsi="Arial"/>
          <w:sz w:val="18"/>
          <w:szCs w:val="18"/>
          <w:color w:val="auto"/>
        </w:rPr>
      </w:pPr>
    </w:p>
    <w:p>
      <w:pPr>
        <w:ind w:left="1620" w:right="6580"/>
        <w:spacing w:after="0" w:line="250" w:lineRule="auto"/>
        <w:rPr>
          <w:rFonts w:ascii="Arial" w:cs="Arial" w:eastAsia="Arial" w:hAnsi="Arial"/>
          <w:sz w:val="18"/>
          <w:szCs w:val="18"/>
          <w:color w:val="auto"/>
        </w:rPr>
      </w:pPr>
      <w:r>
        <w:rPr>
          <w:rFonts w:ascii="Arial" w:cs="Arial" w:eastAsia="Arial" w:hAnsi="Arial"/>
          <w:sz w:val="18"/>
          <w:szCs w:val="18"/>
          <w:color w:val="auto"/>
        </w:rPr>
        <w:t>Grand Cayman, KY1-9005, Cayman Islands (Telephone) (345) 943-3100</w:t>
      </w:r>
    </w:p>
    <w:p>
      <w:pPr>
        <w:ind w:left="1620" w:right="7780"/>
        <w:spacing w:after="0" w:line="323" w:lineRule="auto"/>
        <w:rPr>
          <w:rFonts w:ascii="Arial" w:cs="Arial" w:eastAsia="Arial" w:hAnsi="Arial"/>
          <w:sz w:val="18"/>
          <w:szCs w:val="18"/>
          <w:color w:val="auto"/>
        </w:rPr>
      </w:pPr>
      <w:r>
        <w:rPr>
          <w:rFonts w:ascii="Arial" w:cs="Arial" w:eastAsia="Arial" w:hAnsi="Arial"/>
          <w:sz w:val="16"/>
          <w:szCs w:val="16"/>
          <w:color w:val="auto"/>
        </w:rPr>
        <w:t>(Facsimile) (345) 945-4757 Attn: Zandria Abrahams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Pine Brook Road Partnets, LLC</w:t>
      </w:r>
    </w:p>
    <w:p>
      <w:pPr>
        <w:ind w:left="1620"/>
        <w:spacing w:after="0" w:line="218" w:lineRule="auto"/>
        <w:rPr>
          <w:sz w:val="20"/>
          <w:szCs w:val="20"/>
          <w:color w:val="auto"/>
        </w:rPr>
      </w:pPr>
      <w:r>
        <w:rPr>
          <w:rFonts w:ascii="Arial" w:cs="Arial" w:eastAsia="Arial" w:hAnsi="Arial"/>
          <w:sz w:val="18"/>
          <w:szCs w:val="18"/>
          <w:color w:val="auto"/>
        </w:rPr>
        <w:t>60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10165</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(212) 847-4335</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(212) 847-4336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Rob Jackowitz</w:t>
      </w:r>
    </w:p>
    <w:p>
      <w:pPr>
        <w:spacing w:after="0" w:line="20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Agreement. Whenever the words “included”, “includes” or “including” are used in this Agreement, they shall be deemed to be followed by the words “without limitation”.</w:t>
      </w:r>
    </w:p>
    <w:p>
      <w:pPr>
        <w:spacing w:after="0" w:line="176"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deemed severable, and the invalidity or unenforceability of any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taken together, be considered one and the same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(a) constitutes the entire agreement and supersedes all other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both written and oral, among the parties with respect to the subject matter hereof and (b) is not intended to confer upon any Person, other than the parties hereto, any rights or remedies hereunder.</w:t>
      </w:r>
    </w:p>
    <w:p>
      <w:pPr>
        <w:spacing w:after="0" w:line="176"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execute, deliver, acknowledge and file such other documents and take such further actions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reasonably requested from time to time by the other party hereto to give effect to and carry out the transactions contemplated herein.</w:t>
      </w:r>
    </w:p>
    <w:p>
      <w:pPr>
        <w:spacing w:after="0" w:line="11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 (WITHOUT GIVING EFFECT TO CONFLICT OF LAWS PRINCIPLES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u w:val="single" w:color="auto"/>
          <w:color w:val="auto"/>
        </w:rPr>
        <w:t>Amendments; Waivers</w:t>
      </w:r>
      <w:r>
        <w:rPr>
          <w:rFonts w:ascii="Arial" w:cs="Arial" w:eastAsia="Arial" w:hAnsi="Arial"/>
          <w:sz w:val="18"/>
          <w:szCs w:val="18"/>
          <w:color w:val="auto"/>
        </w:rPr>
        <w:t>.</w:t>
      </w:r>
    </w:p>
    <w:p>
      <w:pPr>
        <w:spacing w:after="0" w:line="229" w:lineRule="exact"/>
        <w:rPr>
          <w:sz w:val="20"/>
          <w:szCs w:val="20"/>
          <w:color w:val="auto"/>
        </w:rPr>
      </w:pPr>
    </w:p>
    <w:p>
      <w:pPr>
        <w:ind w:right="60" w:firstLine="1305"/>
        <w:spacing w:after="0" w:line="277" w:lineRule="auto"/>
        <w:tabs>
          <w:tab w:leader="none" w:pos="15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provision of this Agreement may be amended or waived unless such amendment or waiver is in writing and signed, in the case of an amendment, by the parties hereto, or in the case of a waiver, by the party against whom the waiver is to be effective.</w:t>
      </w:r>
    </w:p>
    <w:p>
      <w:pPr>
        <w:sectPr>
          <w:pgSz w:w="11900" w:h="16838" w:orient="portrait"/>
          <w:cols w:equalWidth="0" w:num="1">
            <w:col w:w="11400"/>
          </w:cols>
          <w:pgMar w:left="240" w:top="125" w:right="259" w:bottom="0" w:gutter="0" w:footer="0" w:header="0"/>
        </w:sectPr>
      </w:pPr>
    </w:p>
    <w:bookmarkStart w:id="188" w:name="page189"/>
    <w:bookmarkEnd w:id="188"/>
    <w:p>
      <w:pPr>
        <w:ind w:right="60" w:firstLine="1305"/>
        <w:spacing w:after="0" w:line="264" w:lineRule="auto"/>
        <w:tabs>
          <w:tab w:leader="none" w:pos="155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7"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or obligations hereunder shall be assigned by any of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the prior written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Pine Brook Entities may assign any of their rights hereunder to any of their Affiliates. Subject to the preceding sentence, this Agreement will be binding upon, inure to the benefit of and be enforceable by the parties and their respective successors and assigns.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caused this Agreement to be duly executed and delivered, all as of the date first set forth above.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ESSENT GROUP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Casale</w:t>
            </w:r>
          </w:p>
        </w:tc>
        <w:tc>
          <w:tcPr>
            <w:tcW w:w="5740" w:type="dxa"/>
            <w:vAlign w:val="bottom"/>
          </w:tcPr>
          <w:p>
            <w:pPr>
              <w:spacing w:after="0"/>
              <w:rPr>
                <w:sz w:val="20"/>
                <w:szCs w:val="20"/>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Mark A. Casale</w:t>
            </w:r>
          </w:p>
        </w:tc>
        <w:tc>
          <w:tcPr>
            <w:tcW w:w="57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President and CEO</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010101"/>
            </w:tcBorders>
          </w:tcPr>
          <w:p>
            <w:pPr>
              <w:spacing w:after="0"/>
              <w:rPr>
                <w:sz w:val="24"/>
                <w:szCs w:val="24"/>
                <w:color w:val="auto"/>
              </w:rPr>
            </w:pPr>
          </w:p>
        </w:tc>
        <w:tc>
          <w:tcPr>
            <w:tcW w:w="500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ESSENT INTERMEDIATE,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PINE BROOK ESSENT CO-INVEST, L.P.</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 Spiegel</w:t>
            </w:r>
          </w:p>
        </w:tc>
        <w:tc>
          <w:tcPr>
            <w:tcW w:w="5740" w:type="dxa"/>
            <w:vAlign w:val="bottom"/>
          </w:tcPr>
          <w:p>
            <w:pPr>
              <w:spacing w:after="0"/>
              <w:rPr>
                <w:sz w:val="20"/>
                <w:szCs w:val="20"/>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William L. Spiegel</w:t>
            </w:r>
          </w:p>
        </w:tc>
        <w:tc>
          <w:tcPr>
            <w:tcW w:w="57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Authorized Signatory</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010101"/>
            </w:tcBorders>
          </w:tcPr>
          <w:p>
            <w:pPr>
              <w:spacing w:after="0"/>
              <w:rPr>
                <w:sz w:val="24"/>
                <w:szCs w:val="24"/>
                <w:color w:val="auto"/>
              </w:rPr>
            </w:pPr>
          </w:p>
        </w:tc>
        <w:tc>
          <w:tcPr>
            <w:tcW w:w="500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2013 Annual Leadership Bonus Program (“Bonus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Essent US Holdings, Inc. and its subsidiaries</w:t>
      </w:r>
    </w:p>
    <w:p>
      <w:pPr>
        <w:spacing w:after="0" w:line="207" w:lineRule="exact"/>
        <w:rPr>
          <w:sz w:val="20"/>
          <w:szCs w:val="20"/>
          <w:color w:val="auto"/>
        </w:rPr>
      </w:pPr>
    </w:p>
    <w:p>
      <w:pPr>
        <w:ind w:left="500" w:hanging="492"/>
        <w:spacing w:after="0"/>
        <w:tabs>
          <w:tab w:leader="none" w:pos="5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How the Bonus Program Works:</w:t>
      </w:r>
    </w:p>
    <w:p>
      <w:pPr>
        <w:spacing w:after="0" w:line="225" w:lineRule="exact"/>
        <w:rPr>
          <w:rFonts w:ascii="Arial" w:cs="Arial" w:eastAsia="Arial" w:hAnsi="Arial"/>
          <w:sz w:val="18"/>
          <w:szCs w:val="18"/>
          <w:b w:val="1"/>
          <w:bCs w:val="1"/>
          <w:color w:val="auto"/>
        </w:rPr>
      </w:pPr>
    </w:p>
    <w:p>
      <w:pPr>
        <w:ind w:left="1000" w:hanging="499"/>
        <w:spacing w:after="0"/>
        <w:tabs>
          <w:tab w:leader="none" w:pos="100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Who may Participate in the Leadership Bonus Program and Be Considered for Bonus Payments?</w:t>
      </w:r>
    </w:p>
    <w:p>
      <w:pPr>
        <w:spacing w:after="0" w:line="229" w:lineRule="exact"/>
        <w:rPr>
          <w:rFonts w:ascii="Arial" w:cs="Arial" w:eastAsia="Arial" w:hAnsi="Arial"/>
          <w:sz w:val="18"/>
          <w:szCs w:val="18"/>
          <w:color w:val="auto"/>
        </w:rPr>
      </w:pPr>
    </w:p>
    <w:p>
      <w:pPr>
        <w:ind w:left="1480" w:right="420" w:hanging="500"/>
        <w:spacing w:after="0" w:line="277" w:lineRule="auto"/>
        <w:tabs>
          <w:tab w:leader="none" w:pos="1488"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All Essent Group Ltd. and its subsidiaries Senior Vice Presidents and above and other employees designated in writing as eligible to participate in the Bonus Program, who:</w:t>
      </w:r>
    </w:p>
    <w:p>
      <w:pPr>
        <w:spacing w:after="0" w:line="170" w:lineRule="exact"/>
        <w:rPr>
          <w:rFonts w:ascii="Arial" w:cs="Arial" w:eastAsia="Arial" w:hAnsi="Arial"/>
          <w:sz w:val="18"/>
          <w:szCs w:val="18"/>
          <w:color w:val="auto"/>
        </w:rPr>
      </w:pPr>
    </w:p>
    <w:p>
      <w:pPr>
        <w:ind w:left="1960" w:right="120" w:hanging="487"/>
        <w:spacing w:after="0" w:line="277" w:lineRule="auto"/>
        <w:tabs>
          <w:tab w:leader="none" w:pos="1975"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Are employed by the Company on or before October 31st (those hired on or after February 1st may participate on a pro rata basis calculated as of the first day of the month in which their date of hire falls);</w:t>
      </w:r>
    </w:p>
    <w:p>
      <w:pPr>
        <w:spacing w:after="0" w:line="170" w:lineRule="exact"/>
        <w:rPr>
          <w:rFonts w:ascii="Arial" w:cs="Arial" w:eastAsia="Arial" w:hAnsi="Arial"/>
          <w:sz w:val="18"/>
          <w:szCs w:val="18"/>
          <w:color w:val="auto"/>
        </w:rPr>
      </w:pPr>
    </w:p>
    <w:p>
      <w:pPr>
        <w:ind w:left="1980" w:hanging="507"/>
        <w:spacing w:after="0"/>
        <w:tabs>
          <w:tab w:leader="none" w:pos="198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Are eligible to participate in the Essent Group Ltd. 2013 Long-Term Incentive Plan (the “2013 LTIP”);</w:t>
      </w:r>
    </w:p>
    <w:p>
      <w:pPr>
        <w:spacing w:after="0" w:line="225" w:lineRule="exact"/>
        <w:rPr>
          <w:rFonts w:ascii="Arial" w:cs="Arial" w:eastAsia="Arial" w:hAnsi="Arial"/>
          <w:sz w:val="18"/>
          <w:szCs w:val="18"/>
          <w:color w:val="auto"/>
        </w:rPr>
      </w:pPr>
    </w:p>
    <w:p>
      <w:pPr>
        <w:ind w:left="1980" w:hanging="507"/>
        <w:spacing w:after="0"/>
        <w:tabs>
          <w:tab w:leader="none" w:pos="198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Are not on any form of written corrective counseling at the time payments are made; and,</w:t>
      </w:r>
    </w:p>
    <w:p>
      <w:pPr>
        <w:spacing w:after="0" w:line="225" w:lineRule="exact"/>
        <w:rPr>
          <w:rFonts w:ascii="Arial" w:cs="Arial" w:eastAsia="Arial" w:hAnsi="Arial"/>
          <w:sz w:val="18"/>
          <w:szCs w:val="18"/>
          <w:color w:val="auto"/>
        </w:rPr>
      </w:pPr>
    </w:p>
    <w:p>
      <w:pPr>
        <w:ind w:left="1980" w:hanging="507"/>
        <w:spacing w:after="0"/>
        <w:tabs>
          <w:tab w:leader="none" w:pos="198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Are employed by Essent on the date the cash bonus payment is made and share bonus award is granted.</w:t>
      </w:r>
    </w:p>
    <w:p>
      <w:pPr>
        <w:spacing w:after="0" w:line="221" w:lineRule="exact"/>
        <w:rPr>
          <w:rFonts w:ascii="Arial" w:cs="Arial" w:eastAsia="Arial" w:hAnsi="Arial"/>
          <w:sz w:val="18"/>
          <w:szCs w:val="18"/>
          <w:color w:val="auto"/>
        </w:rPr>
      </w:pPr>
    </w:p>
    <w:p>
      <w:pPr>
        <w:ind w:left="1000" w:hanging="499"/>
        <w:spacing w:after="0"/>
        <w:tabs>
          <w:tab w:leader="none" w:pos="100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What is the Bonus Opportunity?</w:t>
      </w:r>
    </w:p>
    <w:p>
      <w:pPr>
        <w:spacing w:after="0" w:line="225" w:lineRule="exact"/>
        <w:rPr>
          <w:rFonts w:ascii="Arial" w:cs="Arial" w:eastAsia="Arial" w:hAnsi="Arial"/>
          <w:sz w:val="18"/>
          <w:szCs w:val="18"/>
          <w:color w:val="auto"/>
        </w:rPr>
      </w:pPr>
    </w:p>
    <w:p>
      <w:pPr>
        <w:ind w:left="1480" w:right="620" w:hanging="500"/>
        <w:spacing w:after="0" w:line="282" w:lineRule="auto"/>
        <w:tabs>
          <w:tab w:leader="none" w:pos="1488" w:val="left"/>
        </w:tabs>
        <w:numPr>
          <w:ilvl w:val="2"/>
          <w:numId w:val="157"/>
        </w:numPr>
        <w:rPr>
          <w:rFonts w:ascii="Arial" w:cs="Arial" w:eastAsia="Arial" w:hAnsi="Arial"/>
          <w:sz w:val="18"/>
          <w:szCs w:val="18"/>
          <w:color w:val="auto"/>
        </w:rPr>
      </w:pPr>
      <w:r>
        <w:rPr>
          <w:rFonts w:ascii="Arial" w:cs="Arial" w:eastAsia="Arial" w:hAnsi="Arial"/>
          <w:sz w:val="18"/>
          <w:szCs w:val="18"/>
          <w:color w:val="auto"/>
        </w:rPr>
        <w:t xml:space="preserve">Each Participant was provided with an annual </w:t>
      </w:r>
      <w:r>
        <w:rPr>
          <w:rFonts w:ascii="Arial" w:cs="Arial" w:eastAsia="Arial" w:hAnsi="Arial"/>
          <w:sz w:val="18"/>
          <w:szCs w:val="18"/>
          <w:b w:val="1"/>
          <w:bCs w:val="1"/>
          <w:color w:val="auto"/>
        </w:rPr>
        <w:t>Target Bonus</w:t>
      </w:r>
      <w:r>
        <w:rPr>
          <w:rFonts w:ascii="Arial" w:cs="Arial" w:eastAsia="Arial" w:hAnsi="Arial"/>
          <w:sz w:val="18"/>
          <w:szCs w:val="18"/>
          <w:color w:val="auto"/>
        </w:rPr>
        <w:t xml:space="preserve"> expressed as a percentage of his or her base salary. This is typically documented in an offer letter or other writing signed by the President and CEO of Essent.</w:t>
      </w:r>
    </w:p>
    <w:p>
      <w:pPr>
        <w:spacing w:after="0" w:line="165" w:lineRule="exact"/>
        <w:rPr>
          <w:rFonts w:ascii="Arial" w:cs="Arial" w:eastAsia="Arial" w:hAnsi="Arial"/>
          <w:sz w:val="18"/>
          <w:szCs w:val="18"/>
          <w:color w:val="auto"/>
        </w:rPr>
      </w:pPr>
    </w:p>
    <w:p>
      <w:pPr>
        <w:ind w:left="1500" w:hanging="520"/>
        <w:spacing w:after="0"/>
        <w:tabs>
          <w:tab w:leader="none" w:pos="150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Each Participant’s target amount and cash/shares percentage is communicated individually.</w:t>
      </w:r>
    </w:p>
    <w:p>
      <w:pPr>
        <w:spacing w:after="0" w:line="225" w:lineRule="exact"/>
        <w:rPr>
          <w:rFonts w:ascii="Arial" w:cs="Arial" w:eastAsia="Arial" w:hAnsi="Arial"/>
          <w:sz w:val="18"/>
          <w:szCs w:val="18"/>
          <w:color w:val="auto"/>
        </w:rPr>
      </w:pPr>
    </w:p>
    <w:p>
      <w:pPr>
        <w:ind w:left="1500" w:hanging="520"/>
        <w:spacing w:after="0"/>
        <w:tabs>
          <w:tab w:leader="none" w:pos="150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All shares issued under this program are authorized under Section 10 of the 2013 LTIP and are subject to the broader terms of that plan.</w:t>
      </w:r>
    </w:p>
    <w:p>
      <w:pPr>
        <w:spacing w:after="0" w:line="244" w:lineRule="exact"/>
        <w:rPr>
          <w:rFonts w:ascii="Arial" w:cs="Arial" w:eastAsia="Arial" w:hAnsi="Arial"/>
          <w:sz w:val="16"/>
          <w:szCs w:val="16"/>
          <w:color w:val="auto"/>
        </w:rPr>
      </w:pPr>
    </w:p>
    <w:p>
      <w:pPr>
        <w:ind w:left="1000" w:hanging="499"/>
        <w:spacing w:after="0"/>
        <w:tabs>
          <w:tab w:leader="none" w:pos="1000"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What Performance is Required for a Participant to be Eligible for a Bonus Payment?</w:t>
      </w:r>
    </w:p>
    <w:p>
      <w:pPr>
        <w:spacing w:after="0" w:line="229" w:lineRule="exact"/>
        <w:rPr>
          <w:sz w:val="20"/>
          <w:szCs w:val="20"/>
          <w:color w:val="auto"/>
        </w:rPr>
      </w:pPr>
    </w:p>
    <w:p>
      <w:pPr>
        <w:ind w:left="980" w:right="380"/>
        <w:spacing w:after="0" w:line="277" w:lineRule="auto"/>
        <w:rPr>
          <w:sz w:val="20"/>
          <w:szCs w:val="20"/>
          <w:color w:val="auto"/>
        </w:rPr>
      </w:pPr>
      <w:r>
        <w:rPr>
          <w:rFonts w:ascii="Arial" w:cs="Arial" w:eastAsia="Arial" w:hAnsi="Arial"/>
          <w:sz w:val="18"/>
          <w:szCs w:val="18"/>
          <w:color w:val="auto"/>
        </w:rPr>
        <w:t>Essent’s Bonus Program pays for performance. This means that both the Participant and the Company must meet minimum stated scores to qualify for a bonus. Essent utilizes scorecards for both Company and Individual performance to determine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potential size of the bonus payment. Each Participant bonus will be dependent on several factors.</w:t>
      </w:r>
    </w:p>
    <w:p>
      <w:pPr>
        <w:spacing w:after="0" w:line="221" w:lineRule="exact"/>
        <w:rPr>
          <w:sz w:val="20"/>
          <w:szCs w:val="20"/>
          <w:color w:val="auto"/>
        </w:rPr>
      </w:pPr>
    </w:p>
    <w:p>
      <w:pPr>
        <w:ind w:left="980" w:right="560" w:hanging="324"/>
        <w:spacing w:after="0" w:line="282" w:lineRule="auto"/>
        <w:tabs>
          <w:tab w:leader="none" w:pos="94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first factor is the achievement of Corporate Objectives. The </w:t>
      </w:r>
      <w:r>
        <w:rPr>
          <w:rFonts w:ascii="Arial" w:cs="Arial" w:eastAsia="Arial" w:hAnsi="Arial"/>
          <w:sz w:val="18"/>
          <w:szCs w:val="18"/>
          <w:b w:val="1"/>
          <w:bCs w:val="1"/>
          <w:color w:val="auto"/>
        </w:rPr>
        <w:t>Corporate Scorecard</w:t>
      </w:r>
      <w:r>
        <w:rPr>
          <w:rFonts w:ascii="Arial" w:cs="Arial" w:eastAsia="Arial" w:hAnsi="Arial"/>
          <w:sz w:val="18"/>
          <w:szCs w:val="18"/>
          <w:color w:val="auto"/>
        </w:rPr>
        <w:t xml:space="preserve"> identifying the level of achievement of Corporate Objectives will be published by management.</w:t>
      </w:r>
    </w:p>
    <w:p>
      <w:pPr>
        <w:spacing w:after="0" w:line="161" w:lineRule="exact"/>
        <w:rPr>
          <w:rFonts w:ascii="Arial" w:cs="Arial" w:eastAsia="Arial" w:hAnsi="Arial"/>
          <w:sz w:val="18"/>
          <w:szCs w:val="18"/>
          <w:color w:val="auto"/>
        </w:rPr>
      </w:pPr>
    </w:p>
    <w:p>
      <w:pPr>
        <w:ind w:left="980" w:right="120" w:hanging="324"/>
        <w:spacing w:after="0" w:line="298" w:lineRule="auto"/>
        <w:tabs>
          <w:tab w:leader="none" w:pos="94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second factor is based on the Participant’s overall performance rating on the </w:t>
      </w:r>
      <w:r>
        <w:rPr>
          <w:rFonts w:ascii="Arial" w:cs="Arial" w:eastAsia="Arial" w:hAnsi="Arial"/>
          <w:sz w:val="16"/>
          <w:szCs w:val="16"/>
          <w:b w:val="1"/>
          <w:bCs w:val="1"/>
          <w:color w:val="auto"/>
        </w:rPr>
        <w:t>Individual Scorecard</w:t>
      </w:r>
      <w:r>
        <w:rPr>
          <w:rFonts w:ascii="Arial" w:cs="Arial" w:eastAsia="Arial" w:hAnsi="Arial"/>
          <w:sz w:val="16"/>
          <w:szCs w:val="16"/>
          <w:color w:val="auto"/>
        </w:rPr>
        <w:t xml:space="preserve"> (“Annual Performance Review Form”). The Annual Performance Review will take into consideration the level of your achievement of your Individual Objectives as well as other success factors. Each Participant will receive an Annual Performance Review in the first calendar quarter of each year reviewing the previous calendar year’s results. This process of combining both Company and individual achievement and rewarding success through the Bonus Program is designed to promote applicable desired conduct, including driving profitable business and balanced objectivity.</w:t>
      </w:r>
    </w:p>
    <w:p>
      <w:pPr>
        <w:spacing w:after="0" w:line="154" w:lineRule="exact"/>
        <w:rPr>
          <w:rFonts w:ascii="Arial" w:cs="Arial" w:eastAsia="Arial" w:hAnsi="Arial"/>
          <w:sz w:val="16"/>
          <w:szCs w:val="16"/>
          <w:color w:val="auto"/>
        </w:rPr>
      </w:pPr>
    </w:p>
    <w:p>
      <w:pPr>
        <w:ind w:left="1980" w:hanging="507"/>
        <w:spacing w:after="0"/>
        <w:tabs>
          <w:tab w:leader="none" w:pos="1980" w:val="left"/>
        </w:tabs>
        <w:numPr>
          <w:ilvl w:val="1"/>
          <w:numId w:val="158"/>
        </w:numPr>
        <w:rPr>
          <w:rFonts w:ascii="Arial" w:cs="Arial" w:eastAsia="Arial" w:hAnsi="Arial"/>
          <w:sz w:val="18"/>
          <w:szCs w:val="18"/>
          <w:color w:val="auto"/>
        </w:rPr>
      </w:pPr>
      <w:r>
        <w:rPr>
          <w:rFonts w:ascii="Arial" w:cs="Arial" w:eastAsia="Arial" w:hAnsi="Arial"/>
          <w:sz w:val="18"/>
          <w:szCs w:val="18"/>
          <w:b w:val="1"/>
          <w:bCs w:val="1"/>
          <w:color w:val="auto"/>
        </w:rPr>
        <w:t>Company Performance Scorecard</w:t>
      </w:r>
    </w:p>
    <w:p>
      <w:pPr>
        <w:spacing w:after="0" w:line="229" w:lineRule="exact"/>
        <w:rPr>
          <w:rFonts w:ascii="Arial" w:cs="Arial" w:eastAsia="Arial" w:hAnsi="Arial"/>
          <w:sz w:val="18"/>
          <w:szCs w:val="18"/>
          <w:color w:val="auto"/>
        </w:rPr>
      </w:pPr>
    </w:p>
    <w:p>
      <w:pPr>
        <w:ind w:left="2280" w:right="280" w:hanging="327"/>
        <w:spacing w:after="0" w:line="277" w:lineRule="auto"/>
        <w:tabs>
          <w:tab w:leader="none" w:pos="2244"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In order for any payments to be made under the Bonus Program, Essent’s FY Company Scorecard must equal or exceed 2.5 (“Company Score”).</w:t>
      </w:r>
    </w:p>
    <w:p>
      <w:pPr>
        <w:spacing w:after="0" w:line="170" w:lineRule="exact"/>
        <w:rPr>
          <w:rFonts w:ascii="Arial" w:cs="Arial" w:eastAsia="Arial" w:hAnsi="Arial"/>
          <w:sz w:val="18"/>
          <w:szCs w:val="18"/>
          <w:color w:val="auto"/>
        </w:rPr>
      </w:pPr>
    </w:p>
    <w:p>
      <w:pPr>
        <w:ind w:left="2240" w:hanging="287"/>
        <w:spacing w:after="0"/>
        <w:tabs>
          <w:tab w:leader="none" w:pos="22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Potential payment amounts increase as Essent’s weighted average scorecard score goes up.</w:t>
      </w:r>
    </w:p>
    <w:p>
      <w:pPr>
        <w:spacing w:after="0" w:line="221" w:lineRule="exact"/>
        <w:rPr>
          <w:rFonts w:ascii="Arial" w:cs="Arial" w:eastAsia="Arial" w:hAnsi="Arial"/>
          <w:sz w:val="18"/>
          <w:szCs w:val="18"/>
          <w:color w:val="auto"/>
        </w:rPr>
      </w:pPr>
    </w:p>
    <w:p>
      <w:pPr>
        <w:ind w:left="1980" w:hanging="507"/>
        <w:spacing w:after="0"/>
        <w:tabs>
          <w:tab w:leader="none" w:pos="1980" w:val="left"/>
        </w:tabs>
        <w:numPr>
          <w:ilvl w:val="1"/>
          <w:numId w:val="158"/>
        </w:numPr>
        <w:rPr>
          <w:rFonts w:ascii="Arial" w:cs="Arial" w:eastAsia="Arial" w:hAnsi="Arial"/>
          <w:sz w:val="18"/>
          <w:szCs w:val="18"/>
          <w:color w:val="auto"/>
        </w:rPr>
      </w:pPr>
      <w:r>
        <w:rPr>
          <w:rFonts w:ascii="Arial" w:cs="Arial" w:eastAsia="Arial" w:hAnsi="Arial"/>
          <w:sz w:val="18"/>
          <w:szCs w:val="18"/>
          <w:b w:val="1"/>
          <w:bCs w:val="1"/>
          <w:color w:val="auto"/>
        </w:rPr>
        <w:t>Individual Performance Scorecard</w:t>
      </w:r>
    </w:p>
    <w:p>
      <w:pPr>
        <w:spacing w:after="0" w:line="229" w:lineRule="exact"/>
        <w:rPr>
          <w:rFonts w:ascii="Arial" w:cs="Arial" w:eastAsia="Arial" w:hAnsi="Arial"/>
          <w:sz w:val="18"/>
          <w:szCs w:val="18"/>
          <w:color w:val="auto"/>
        </w:rPr>
      </w:pPr>
    </w:p>
    <w:p>
      <w:pPr>
        <w:ind w:left="2280" w:right="260" w:hanging="327"/>
        <w:spacing w:after="0" w:line="277" w:lineRule="auto"/>
        <w:tabs>
          <w:tab w:leader="none" w:pos="2244" w:val="left"/>
        </w:tabs>
        <w:numPr>
          <w:ilvl w:val="2"/>
          <w:numId w:val="158"/>
        </w:numPr>
        <w:rPr>
          <w:rFonts w:ascii="Arial" w:cs="Arial" w:eastAsia="Arial" w:hAnsi="Arial"/>
          <w:sz w:val="18"/>
          <w:szCs w:val="18"/>
          <w:color w:val="auto"/>
        </w:rPr>
      </w:pPr>
      <w:r>
        <w:rPr>
          <w:rFonts w:ascii="Arial" w:cs="Arial" w:eastAsia="Arial" w:hAnsi="Arial"/>
          <w:sz w:val="18"/>
          <w:szCs w:val="18"/>
          <w:color w:val="auto"/>
        </w:rPr>
        <w:t>Each Participant will have an Annual Performance Review to determine the achievement of Individual Objectives and other success factors.</w:t>
      </w:r>
    </w:p>
    <w:p>
      <w:pPr>
        <w:spacing w:after="0" w:line="170" w:lineRule="exact"/>
        <w:rPr>
          <w:rFonts w:ascii="Arial" w:cs="Arial" w:eastAsia="Arial" w:hAnsi="Arial"/>
          <w:sz w:val="18"/>
          <w:szCs w:val="18"/>
          <w:color w:val="auto"/>
        </w:rPr>
      </w:pPr>
    </w:p>
    <w:p>
      <w:pPr>
        <w:jc w:val="both"/>
        <w:ind w:left="2280" w:right="500" w:hanging="327"/>
        <w:spacing w:after="0" w:line="342" w:lineRule="auto"/>
        <w:tabs>
          <w:tab w:leader="none" w:pos="2244" w:val="left"/>
        </w:tabs>
        <w:numPr>
          <w:ilvl w:val="2"/>
          <w:numId w:val="158"/>
        </w:numPr>
        <w:rPr>
          <w:rFonts w:ascii="Arial" w:cs="Arial" w:eastAsia="Arial" w:hAnsi="Arial"/>
          <w:sz w:val="16"/>
          <w:szCs w:val="16"/>
          <w:color w:val="auto"/>
        </w:rPr>
      </w:pPr>
      <w:r>
        <w:rPr>
          <w:rFonts w:ascii="Arial" w:cs="Arial" w:eastAsia="Arial" w:hAnsi="Arial"/>
          <w:sz w:val="16"/>
          <w:szCs w:val="16"/>
          <w:color w:val="auto"/>
        </w:rPr>
        <w:t>In order for a Participant to receive a bonus payment, he or she must have an overall Performance Review Rating of 3 or higher on Essent’s 5-point scale at the time bonuses are paid (“Individual Score”), plus a Company Score of at least 2.5.</w:t>
      </w:r>
    </w:p>
    <w:p>
      <w:pPr>
        <w:spacing w:after="0" w:line="123" w:lineRule="exact"/>
        <w:rPr>
          <w:rFonts w:ascii="Arial" w:cs="Arial" w:eastAsia="Arial" w:hAnsi="Arial"/>
          <w:sz w:val="16"/>
          <w:szCs w:val="16"/>
          <w:color w:val="auto"/>
        </w:rPr>
      </w:pPr>
    </w:p>
    <w:p>
      <w:pPr>
        <w:ind w:left="2240" w:hanging="287"/>
        <w:spacing w:after="0"/>
        <w:tabs>
          <w:tab w:leader="none" w:pos="22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As a Participant’s Individual Score increases, his/her potential to reach the “Target” bonus or above also increases.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80" w:hanging="507"/>
        <w:spacing w:after="0"/>
        <w:tabs>
          <w:tab w:leader="none" w:pos="198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Weighting of Corporate and Individual Scores</w:t>
      </w:r>
    </w:p>
    <w:p>
      <w:pPr>
        <w:sectPr>
          <w:pgSz w:w="11900" w:h="16838" w:orient="portrait"/>
          <w:cols w:equalWidth="0" w:num="1">
            <w:col w:w="11420"/>
          </w:cols>
          <w:pgMar w:left="240" w:top="364" w:right="239" w:bottom="225" w:gutter="0" w:footer="0" w:header="0"/>
        </w:sectPr>
      </w:pPr>
    </w:p>
    <w:bookmarkStart w:id="190" w:name="page191"/>
    <w:bookmarkEnd w:id="190"/>
    <w:p>
      <w:pPr>
        <w:ind w:left="2272" w:right="300" w:hanging="327"/>
        <w:spacing w:after="0" w:line="277" w:lineRule="auto"/>
        <w:tabs>
          <w:tab w:leader="none" w:pos="2236" w:val="left"/>
        </w:tabs>
        <w:numPr>
          <w:ilvl w:val="3"/>
          <w:numId w:val="160"/>
        </w:numPr>
        <w:rPr>
          <w:rFonts w:ascii="Arial" w:cs="Arial" w:eastAsia="Arial" w:hAnsi="Arial"/>
          <w:sz w:val="18"/>
          <w:szCs w:val="18"/>
          <w:color w:val="auto"/>
        </w:rPr>
      </w:pPr>
      <w:r>
        <w:rPr>
          <w:rFonts w:ascii="Arial" w:cs="Arial" w:eastAsia="Arial" w:hAnsi="Arial"/>
          <w:sz w:val="18"/>
          <w:szCs w:val="18"/>
          <w:color w:val="auto"/>
        </w:rPr>
        <w:t>Each Participant has been assigned a weighting between the Company Score and Individual Score. Actual weightings are communicated individually and are determined by position.</w:t>
      </w:r>
    </w:p>
    <w:p>
      <w:pPr>
        <w:spacing w:after="0" w:line="166" w:lineRule="exact"/>
        <w:rPr>
          <w:rFonts w:ascii="Arial" w:cs="Arial" w:eastAsia="Arial" w:hAnsi="Arial"/>
          <w:sz w:val="18"/>
          <w:szCs w:val="18"/>
          <w:color w:val="auto"/>
        </w:rPr>
      </w:pPr>
    </w:p>
    <w:p>
      <w:pPr>
        <w:ind w:left="992" w:hanging="499"/>
        <w:spacing w:after="0"/>
        <w:tabs>
          <w:tab w:leader="none" w:pos="992"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How and When are Bonus Payments Made?</w:t>
      </w:r>
    </w:p>
    <w:p>
      <w:pPr>
        <w:spacing w:after="0" w:line="225" w:lineRule="exact"/>
        <w:rPr>
          <w:rFonts w:ascii="Arial" w:cs="Arial" w:eastAsia="Arial" w:hAnsi="Arial"/>
          <w:sz w:val="18"/>
          <w:szCs w:val="18"/>
          <w:color w:val="auto"/>
        </w:rPr>
      </w:pPr>
    </w:p>
    <w:p>
      <w:pPr>
        <w:ind w:left="1472" w:hanging="500"/>
        <w:spacing w:after="0"/>
        <w:tabs>
          <w:tab w:leader="none" w:pos="1472" w:val="left"/>
        </w:tabs>
        <w:numPr>
          <w:ilvl w:val="1"/>
          <w:numId w:val="160"/>
        </w:numPr>
        <w:rPr>
          <w:rFonts w:ascii="Arial" w:cs="Arial" w:eastAsia="Arial" w:hAnsi="Arial"/>
          <w:sz w:val="18"/>
          <w:szCs w:val="18"/>
          <w:color w:val="auto"/>
        </w:rPr>
      </w:pPr>
      <w:r>
        <w:rPr>
          <w:rFonts w:ascii="Arial" w:cs="Arial" w:eastAsia="Arial" w:hAnsi="Arial"/>
          <w:sz w:val="18"/>
          <w:szCs w:val="18"/>
          <w:b w:val="1"/>
          <w:bCs w:val="1"/>
          <w:color w:val="auto"/>
        </w:rPr>
        <w:t>Timing:</w:t>
      </w:r>
    </w:p>
    <w:p>
      <w:pPr>
        <w:spacing w:after="0" w:line="229" w:lineRule="exact"/>
        <w:rPr>
          <w:rFonts w:ascii="Arial" w:cs="Arial" w:eastAsia="Arial" w:hAnsi="Arial"/>
          <w:sz w:val="18"/>
          <w:szCs w:val="18"/>
          <w:color w:val="auto"/>
        </w:rPr>
      </w:pPr>
    </w:p>
    <w:p>
      <w:pPr>
        <w:ind w:left="1952" w:right="340" w:hanging="487"/>
        <w:spacing w:after="0" w:line="292" w:lineRule="auto"/>
        <w:tabs>
          <w:tab w:leader="none" w:pos="196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Any bonus payments made under the Bonus Program are scheduled to occur as soon as practicable following the close of the Fiscal Year, but in any case on or before March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following year.</w:t>
      </w:r>
    </w:p>
    <w:p>
      <w:pPr>
        <w:spacing w:after="0" w:line="70" w:lineRule="exact"/>
        <w:rPr>
          <w:rFonts w:ascii="Arial" w:cs="Arial" w:eastAsia="Arial" w:hAnsi="Arial"/>
          <w:sz w:val="18"/>
          <w:szCs w:val="18"/>
          <w:color w:val="auto"/>
        </w:rPr>
      </w:pPr>
    </w:p>
    <w:p>
      <w:pPr>
        <w:ind w:left="1492" w:hanging="520"/>
        <w:spacing w:after="0"/>
        <w:tabs>
          <w:tab w:leader="none" w:pos="1492" w:val="left"/>
        </w:tabs>
        <w:numPr>
          <w:ilvl w:val="1"/>
          <w:numId w:val="160"/>
        </w:numPr>
        <w:rPr>
          <w:rFonts w:ascii="Arial" w:cs="Arial" w:eastAsia="Arial" w:hAnsi="Arial"/>
          <w:sz w:val="18"/>
          <w:szCs w:val="18"/>
          <w:color w:val="auto"/>
        </w:rPr>
      </w:pPr>
      <w:r>
        <w:rPr>
          <w:rFonts w:ascii="Arial" w:cs="Arial" w:eastAsia="Arial" w:hAnsi="Arial"/>
          <w:sz w:val="18"/>
          <w:szCs w:val="18"/>
          <w:b w:val="1"/>
          <w:bCs w:val="1"/>
          <w:color w:val="auto"/>
        </w:rPr>
        <w:t>Form of Bonus Payments:</w:t>
      </w:r>
    </w:p>
    <w:p>
      <w:pPr>
        <w:spacing w:after="0" w:line="229" w:lineRule="exact"/>
        <w:rPr>
          <w:rFonts w:ascii="Arial" w:cs="Arial" w:eastAsia="Arial" w:hAnsi="Arial"/>
          <w:sz w:val="18"/>
          <w:szCs w:val="18"/>
          <w:color w:val="auto"/>
        </w:rPr>
      </w:pPr>
    </w:p>
    <w:p>
      <w:pPr>
        <w:ind w:left="1952" w:hanging="487"/>
        <w:spacing w:after="0" w:line="254" w:lineRule="auto"/>
        <w:tabs>
          <w:tab w:leader="none" w:pos="196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form of bonus payment depends on the Participant’s position and the elections made before participating in the Bonus Program. For SVP’s and above, 75% of any awarded bonus will be paid in cash and 25% will be paid in Essent Group Ltd. common shares valued based on the closing price of such shares on the date the bonus payments are approved by the Compensation Committee of the Board of Directors (the “Compensation Committee”). For the purposes of this Bonus Program, cash awards will be paid in cash (via check or direct deposit), less all applicable taxes and deductions. Unless otherwise provided in a Participant’s employment or award agreement, share awards will vest in 3 equal installments over a 3 year period beginning the January immediately following the award date. All share awards will be taxed on the date of vesting in accordance with applicable law and Company policy.</w:t>
      </w:r>
    </w:p>
    <w:p>
      <w:pPr>
        <w:spacing w:after="0" w:line="192" w:lineRule="exact"/>
        <w:rPr>
          <w:rFonts w:ascii="Arial" w:cs="Arial" w:eastAsia="Arial" w:hAnsi="Arial"/>
          <w:sz w:val="18"/>
          <w:szCs w:val="18"/>
          <w:color w:val="auto"/>
        </w:rPr>
      </w:pPr>
    </w:p>
    <w:p>
      <w:pPr>
        <w:ind w:left="1492" w:hanging="520"/>
        <w:spacing w:after="0"/>
        <w:tabs>
          <w:tab w:leader="none" w:pos="14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Necessary Approvals:</w:t>
      </w:r>
    </w:p>
    <w:p>
      <w:pPr>
        <w:spacing w:after="0" w:line="225" w:lineRule="exact"/>
        <w:rPr>
          <w:rFonts w:ascii="Arial" w:cs="Arial" w:eastAsia="Arial" w:hAnsi="Arial"/>
          <w:sz w:val="18"/>
          <w:szCs w:val="18"/>
          <w:color w:val="auto"/>
        </w:rPr>
      </w:pPr>
    </w:p>
    <w:p>
      <w:pPr>
        <w:ind w:left="1952" w:right="60" w:hanging="487"/>
        <w:spacing w:after="0" w:line="277" w:lineRule="auto"/>
        <w:tabs>
          <w:tab w:leader="none" w:pos="196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President and CEO together with the Compensation Committee will review and approve all Participants’ cash payments and share awards.</w:t>
      </w:r>
    </w:p>
    <w:p>
      <w:pPr>
        <w:spacing w:after="0" w:line="170" w:lineRule="exact"/>
        <w:rPr>
          <w:rFonts w:ascii="Arial" w:cs="Arial" w:eastAsia="Arial" w:hAnsi="Arial"/>
          <w:sz w:val="18"/>
          <w:szCs w:val="18"/>
          <w:color w:val="auto"/>
        </w:rPr>
      </w:pPr>
    </w:p>
    <w:p>
      <w:pPr>
        <w:ind w:left="1972" w:hanging="507"/>
        <w:spacing w:after="0"/>
        <w:tabs>
          <w:tab w:leader="none" w:pos="1972"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President and CEO’s cash payment and share awards are approved by the Compensation Committee.</w:t>
      </w:r>
    </w:p>
    <w:p>
      <w:pPr>
        <w:spacing w:after="0" w:line="225" w:lineRule="exact"/>
        <w:rPr>
          <w:rFonts w:ascii="Arial" w:cs="Arial" w:eastAsia="Arial" w:hAnsi="Arial"/>
          <w:sz w:val="18"/>
          <w:szCs w:val="18"/>
          <w:color w:val="auto"/>
        </w:rPr>
      </w:pPr>
    </w:p>
    <w:p>
      <w:pPr>
        <w:jc w:val="both"/>
        <w:ind w:left="1952" w:right="380" w:hanging="487"/>
        <w:spacing w:after="0" w:line="342" w:lineRule="auto"/>
        <w:tabs>
          <w:tab w:leader="none" w:pos="1967" w:val="left"/>
        </w:tabs>
        <w:numPr>
          <w:ilvl w:val="2"/>
          <w:numId w:val="160"/>
        </w:numPr>
        <w:rPr>
          <w:rFonts w:ascii="Arial" w:cs="Arial" w:eastAsia="Arial" w:hAnsi="Arial"/>
          <w:sz w:val="16"/>
          <w:szCs w:val="16"/>
          <w:color w:val="auto"/>
        </w:rPr>
      </w:pPr>
      <w:r>
        <w:rPr>
          <w:rFonts w:ascii="Arial" w:cs="Arial" w:eastAsia="Arial" w:hAnsi="Arial"/>
          <w:sz w:val="16"/>
          <w:szCs w:val="16"/>
          <w:color w:val="auto"/>
        </w:rPr>
        <w:t>The Compensation Committee of the Board of Directors has sole discretion and final review and approval authority over the award pool, and holds the responsibility for reviewing and approving recommended individual payments for all Participants.</w:t>
      </w:r>
    </w:p>
    <w:p>
      <w:pPr>
        <w:spacing w:after="0" w:line="123" w:lineRule="exact"/>
        <w:rPr>
          <w:rFonts w:ascii="Arial" w:cs="Arial" w:eastAsia="Arial" w:hAnsi="Arial"/>
          <w:sz w:val="16"/>
          <w:szCs w:val="16"/>
          <w:color w:val="auto"/>
        </w:rPr>
      </w:pPr>
    </w:p>
    <w:p>
      <w:pPr>
        <w:ind w:left="1952" w:right="120" w:hanging="487"/>
        <w:spacing w:after="0" w:line="264" w:lineRule="auto"/>
        <w:tabs>
          <w:tab w:leader="none" w:pos="196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If a Participant in this program satisfies the “Covered Employee” definition in the Essent Group Ltd. Annual Incentive Plan (the “Annual Plan”), this program document will serve as administrative guidelines for the Compensation Committee to apply in determining the cash and share bonus payment for that employee.</w:t>
      </w:r>
    </w:p>
    <w:p>
      <w:pPr>
        <w:spacing w:after="0" w:line="18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2" w:hanging="492"/>
        <w:spacing w:after="0"/>
        <w:tabs>
          <w:tab w:leader="none" w:pos="49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Who administers the Bonus Program?</w:t>
      </w:r>
    </w:p>
    <w:p>
      <w:pPr>
        <w:spacing w:after="0" w:line="229" w:lineRule="exact"/>
        <w:rPr>
          <w:rFonts w:ascii="Arial" w:cs="Arial" w:eastAsia="Arial" w:hAnsi="Arial"/>
          <w:sz w:val="18"/>
          <w:szCs w:val="18"/>
          <w:b w:val="1"/>
          <w:bCs w:val="1"/>
          <w:color w:val="auto"/>
        </w:rPr>
      </w:pPr>
    </w:p>
    <w:p>
      <w:pPr>
        <w:ind w:left="492"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 the authority granted by the Compensation Committee, decisions are made by the Plan Administration Committee (“the Committee”), which is comprised of the President and CEO, the Chief Legal Officer and the Chief Financial Officer.</w:t>
      </w:r>
    </w:p>
    <w:p>
      <w:pPr>
        <w:spacing w:after="0" w:line="170" w:lineRule="exact"/>
        <w:rPr>
          <w:rFonts w:ascii="Arial" w:cs="Arial" w:eastAsia="Arial" w:hAnsi="Arial"/>
          <w:sz w:val="18"/>
          <w:szCs w:val="18"/>
          <w:b w:val="1"/>
          <w:bCs w:val="1"/>
          <w:color w:val="auto"/>
        </w:rPr>
      </w:pPr>
    </w:p>
    <w:p>
      <w:pPr>
        <w:ind w:left="1972" w:hanging="507"/>
        <w:spacing w:after="0"/>
        <w:tabs>
          <w:tab w:leader="none" w:pos="1972"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Committee’s responsibilities include:</w:t>
      </w:r>
    </w:p>
    <w:p>
      <w:pPr>
        <w:spacing w:after="0" w:line="225" w:lineRule="exact"/>
        <w:rPr>
          <w:rFonts w:ascii="Arial" w:cs="Arial" w:eastAsia="Arial" w:hAnsi="Arial"/>
          <w:sz w:val="18"/>
          <w:szCs w:val="18"/>
          <w:color w:val="auto"/>
        </w:rPr>
      </w:pPr>
    </w:p>
    <w:p>
      <w:pPr>
        <w:ind w:left="2432" w:hanging="487"/>
        <w:spacing w:after="0"/>
        <w:tabs>
          <w:tab w:leader="none" w:pos="2432" w:val="left"/>
        </w:tabs>
        <w:numPr>
          <w:ilvl w:val="3"/>
          <w:numId w:val="161"/>
        </w:numPr>
        <w:rPr>
          <w:rFonts w:ascii="Arial" w:cs="Arial" w:eastAsia="Arial" w:hAnsi="Arial"/>
          <w:sz w:val="18"/>
          <w:szCs w:val="18"/>
          <w:color w:val="auto"/>
        </w:rPr>
      </w:pPr>
      <w:r>
        <w:rPr>
          <w:rFonts w:ascii="Arial" w:cs="Arial" w:eastAsia="Arial" w:hAnsi="Arial"/>
          <w:sz w:val="18"/>
          <w:szCs w:val="18"/>
          <w:color w:val="auto"/>
        </w:rPr>
        <w:t>Providing information to the Compensation Committee of the Board of Directors;</w:t>
      </w:r>
    </w:p>
    <w:p>
      <w:pPr>
        <w:spacing w:after="0" w:line="225" w:lineRule="exact"/>
        <w:rPr>
          <w:rFonts w:ascii="Arial" w:cs="Arial" w:eastAsia="Arial" w:hAnsi="Arial"/>
          <w:sz w:val="18"/>
          <w:szCs w:val="18"/>
          <w:color w:val="auto"/>
        </w:rPr>
      </w:pPr>
    </w:p>
    <w:p>
      <w:pPr>
        <w:ind w:left="2432" w:right="140" w:hanging="487"/>
        <w:spacing w:after="0" w:line="277" w:lineRule="auto"/>
        <w:tabs>
          <w:tab w:leader="none" w:pos="2439" w:val="left"/>
        </w:tabs>
        <w:numPr>
          <w:ilvl w:val="3"/>
          <w:numId w:val="161"/>
        </w:numPr>
        <w:rPr>
          <w:rFonts w:ascii="Arial" w:cs="Arial" w:eastAsia="Arial" w:hAnsi="Arial"/>
          <w:sz w:val="18"/>
          <w:szCs w:val="18"/>
          <w:color w:val="auto"/>
        </w:rPr>
      </w:pPr>
      <w:r>
        <w:rPr>
          <w:rFonts w:ascii="Arial" w:cs="Arial" w:eastAsia="Arial" w:hAnsi="Arial"/>
          <w:sz w:val="18"/>
          <w:szCs w:val="18"/>
          <w:color w:val="auto"/>
        </w:rPr>
        <w:t>Recommending eligibility rules, individual bonus target assignments and the relative weights of Company and Individual performance;</w:t>
      </w:r>
    </w:p>
    <w:p>
      <w:pPr>
        <w:spacing w:after="0" w:line="170" w:lineRule="exact"/>
        <w:rPr>
          <w:rFonts w:ascii="Arial" w:cs="Arial" w:eastAsia="Arial" w:hAnsi="Arial"/>
          <w:sz w:val="18"/>
          <w:szCs w:val="18"/>
          <w:color w:val="auto"/>
        </w:rPr>
      </w:pPr>
    </w:p>
    <w:p>
      <w:pPr>
        <w:ind w:left="2432" w:hanging="487"/>
        <w:spacing w:after="0"/>
        <w:tabs>
          <w:tab w:leader="none" w:pos="2432" w:val="left"/>
        </w:tabs>
        <w:numPr>
          <w:ilvl w:val="3"/>
          <w:numId w:val="161"/>
        </w:numPr>
        <w:rPr>
          <w:rFonts w:ascii="Arial" w:cs="Arial" w:eastAsia="Arial" w:hAnsi="Arial"/>
          <w:sz w:val="18"/>
          <w:szCs w:val="18"/>
          <w:color w:val="auto"/>
        </w:rPr>
      </w:pPr>
      <w:r>
        <w:rPr>
          <w:rFonts w:ascii="Arial" w:cs="Arial" w:eastAsia="Arial" w:hAnsi="Arial"/>
          <w:sz w:val="18"/>
          <w:szCs w:val="18"/>
          <w:color w:val="auto"/>
        </w:rPr>
        <w:t>Establishing performance standards;</w:t>
      </w:r>
    </w:p>
    <w:p>
      <w:pPr>
        <w:spacing w:after="0" w:line="225" w:lineRule="exact"/>
        <w:rPr>
          <w:rFonts w:ascii="Arial" w:cs="Arial" w:eastAsia="Arial" w:hAnsi="Arial"/>
          <w:sz w:val="18"/>
          <w:szCs w:val="18"/>
          <w:color w:val="auto"/>
        </w:rPr>
      </w:pPr>
    </w:p>
    <w:p>
      <w:pPr>
        <w:ind w:left="2432" w:hanging="487"/>
        <w:spacing w:after="0"/>
        <w:tabs>
          <w:tab w:leader="none" w:pos="2432" w:val="left"/>
        </w:tabs>
        <w:numPr>
          <w:ilvl w:val="3"/>
          <w:numId w:val="161"/>
        </w:numPr>
        <w:rPr>
          <w:rFonts w:ascii="Arial" w:cs="Arial" w:eastAsia="Arial" w:hAnsi="Arial"/>
          <w:sz w:val="18"/>
          <w:szCs w:val="18"/>
          <w:color w:val="auto"/>
        </w:rPr>
      </w:pPr>
      <w:r>
        <w:rPr>
          <w:rFonts w:ascii="Arial" w:cs="Arial" w:eastAsia="Arial" w:hAnsi="Arial"/>
          <w:sz w:val="18"/>
          <w:szCs w:val="18"/>
          <w:color w:val="auto"/>
        </w:rPr>
        <w:t>Adjusting financial accruals as necessary;</w:t>
      </w:r>
    </w:p>
    <w:p>
      <w:pPr>
        <w:spacing w:after="0" w:line="225" w:lineRule="exact"/>
        <w:rPr>
          <w:rFonts w:ascii="Arial" w:cs="Arial" w:eastAsia="Arial" w:hAnsi="Arial"/>
          <w:sz w:val="18"/>
          <w:szCs w:val="18"/>
          <w:color w:val="auto"/>
        </w:rPr>
      </w:pPr>
    </w:p>
    <w:p>
      <w:pPr>
        <w:ind w:left="2432" w:right="580" w:hanging="487"/>
        <w:spacing w:after="0" w:line="277" w:lineRule="auto"/>
        <w:tabs>
          <w:tab w:leader="none" w:pos="2443" w:val="left"/>
        </w:tabs>
        <w:numPr>
          <w:ilvl w:val="3"/>
          <w:numId w:val="161"/>
        </w:numPr>
        <w:rPr>
          <w:rFonts w:ascii="Arial" w:cs="Arial" w:eastAsia="Arial" w:hAnsi="Arial"/>
          <w:sz w:val="18"/>
          <w:szCs w:val="18"/>
          <w:color w:val="auto"/>
        </w:rPr>
      </w:pPr>
      <w:r>
        <w:rPr>
          <w:rFonts w:ascii="Arial" w:cs="Arial" w:eastAsia="Arial" w:hAnsi="Arial"/>
          <w:sz w:val="18"/>
          <w:szCs w:val="18"/>
          <w:color w:val="auto"/>
        </w:rPr>
        <w:t>Facilitating the collection of aggregate and group payment recommendations for review by the President and CEO, according to the pool assigned by the Compensation Committee of the Board of Directors;</w:t>
      </w:r>
    </w:p>
    <w:p>
      <w:pPr>
        <w:spacing w:after="0" w:line="170" w:lineRule="exact"/>
        <w:rPr>
          <w:rFonts w:ascii="Arial" w:cs="Arial" w:eastAsia="Arial" w:hAnsi="Arial"/>
          <w:sz w:val="18"/>
          <w:szCs w:val="18"/>
          <w:color w:val="auto"/>
        </w:rPr>
      </w:pPr>
    </w:p>
    <w:p>
      <w:pPr>
        <w:ind w:left="2432" w:hanging="487"/>
        <w:spacing w:after="0"/>
        <w:tabs>
          <w:tab w:leader="none" w:pos="2432" w:val="left"/>
        </w:tabs>
        <w:numPr>
          <w:ilvl w:val="3"/>
          <w:numId w:val="161"/>
        </w:numPr>
        <w:rPr>
          <w:rFonts w:ascii="Arial" w:cs="Arial" w:eastAsia="Arial" w:hAnsi="Arial"/>
          <w:sz w:val="18"/>
          <w:szCs w:val="18"/>
          <w:color w:val="auto"/>
        </w:rPr>
      </w:pPr>
      <w:r>
        <w:rPr>
          <w:rFonts w:ascii="Arial" w:cs="Arial" w:eastAsia="Arial" w:hAnsi="Arial"/>
          <w:sz w:val="18"/>
          <w:szCs w:val="18"/>
          <w:color w:val="auto"/>
        </w:rPr>
        <w:t>Reviewing and verifying all proposed payments before such payments are made;</w:t>
      </w:r>
    </w:p>
    <w:p>
      <w:pPr>
        <w:spacing w:after="0" w:line="225" w:lineRule="exact"/>
        <w:rPr>
          <w:rFonts w:ascii="Arial" w:cs="Arial" w:eastAsia="Arial" w:hAnsi="Arial"/>
          <w:sz w:val="18"/>
          <w:szCs w:val="18"/>
          <w:color w:val="auto"/>
        </w:rPr>
      </w:pPr>
    </w:p>
    <w:p>
      <w:pPr>
        <w:ind w:left="2432" w:right="120" w:hanging="487"/>
        <w:spacing w:after="0" w:line="277" w:lineRule="auto"/>
        <w:tabs>
          <w:tab w:leader="none" w:pos="2453" w:val="left"/>
        </w:tabs>
        <w:numPr>
          <w:ilvl w:val="3"/>
          <w:numId w:val="161"/>
        </w:numPr>
        <w:rPr>
          <w:rFonts w:ascii="Arial" w:cs="Arial" w:eastAsia="Arial" w:hAnsi="Arial"/>
          <w:sz w:val="18"/>
          <w:szCs w:val="18"/>
          <w:color w:val="auto"/>
        </w:rPr>
      </w:pPr>
      <w:r>
        <w:rPr>
          <w:rFonts w:ascii="Arial" w:cs="Arial" w:eastAsia="Arial" w:hAnsi="Arial"/>
          <w:sz w:val="18"/>
          <w:szCs w:val="18"/>
          <w:color w:val="auto"/>
        </w:rPr>
        <w:t>Determining the extent to which internal transfers, promotions, changes in full-or-part-time status and approved leaves of absence impact accruals, targets and actual rewards; and</w:t>
      </w:r>
    </w:p>
    <w:p>
      <w:pPr>
        <w:spacing w:after="0" w:line="170" w:lineRule="exact"/>
        <w:rPr>
          <w:rFonts w:ascii="Arial" w:cs="Arial" w:eastAsia="Arial" w:hAnsi="Arial"/>
          <w:sz w:val="18"/>
          <w:szCs w:val="18"/>
          <w:color w:val="auto"/>
        </w:rPr>
      </w:pPr>
    </w:p>
    <w:p>
      <w:pPr>
        <w:ind w:left="2432" w:right="360" w:hanging="487"/>
        <w:spacing w:after="0" w:line="342" w:lineRule="auto"/>
        <w:tabs>
          <w:tab w:leader="none" w:pos="2439" w:val="left"/>
        </w:tabs>
        <w:numPr>
          <w:ilvl w:val="3"/>
          <w:numId w:val="161"/>
        </w:numPr>
        <w:rPr>
          <w:rFonts w:ascii="Arial" w:cs="Arial" w:eastAsia="Arial" w:hAnsi="Arial"/>
          <w:sz w:val="16"/>
          <w:szCs w:val="16"/>
          <w:color w:val="auto"/>
        </w:rPr>
      </w:pPr>
      <w:r>
        <w:rPr>
          <w:rFonts w:ascii="Arial" w:cs="Arial" w:eastAsia="Arial" w:hAnsi="Arial"/>
          <w:sz w:val="16"/>
          <w:szCs w:val="16"/>
          <w:color w:val="auto"/>
        </w:rPr>
        <w:t>Interpreting the Bonus Program document and establishing, adopting, or amending any provisions as are necessary for proper administration, consulting where appropriate with the Compensation Committee of the Board of Directors.</w:t>
      </w:r>
    </w:p>
    <w:p>
      <w:pPr>
        <w:spacing w:after="0" w:line="119" w:lineRule="exact"/>
        <w:rPr>
          <w:rFonts w:ascii="Arial" w:cs="Arial" w:eastAsia="Arial" w:hAnsi="Arial"/>
          <w:sz w:val="16"/>
          <w:szCs w:val="16"/>
          <w:color w:val="auto"/>
        </w:rPr>
      </w:pPr>
    </w:p>
    <w:p>
      <w:pPr>
        <w:ind w:left="492" w:hanging="492"/>
        <w:spacing w:after="0"/>
        <w:tabs>
          <w:tab w:leader="none" w:pos="49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Important Details:</w:t>
      </w:r>
    </w:p>
    <w:p>
      <w:pPr>
        <w:spacing w:after="0" w:line="225" w:lineRule="exact"/>
        <w:rPr>
          <w:rFonts w:ascii="Arial" w:cs="Arial" w:eastAsia="Arial" w:hAnsi="Arial"/>
          <w:sz w:val="18"/>
          <w:szCs w:val="18"/>
          <w:b w:val="1"/>
          <w:bCs w:val="1"/>
          <w:color w:val="auto"/>
        </w:rPr>
      </w:pPr>
    </w:p>
    <w:p>
      <w:pPr>
        <w:ind w:left="992" w:right="60" w:hanging="499"/>
        <w:spacing w:after="0" w:line="282" w:lineRule="auto"/>
        <w:tabs>
          <w:tab w:leader="none" w:pos="991" w:val="left"/>
        </w:tabs>
        <w:numPr>
          <w:ilvl w:val="1"/>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Essent is an employer at will. </w:t>
      </w:r>
      <w:r>
        <w:rPr>
          <w:rFonts w:ascii="Arial" w:cs="Arial" w:eastAsia="Arial" w:hAnsi="Arial"/>
          <w:sz w:val="18"/>
          <w:szCs w:val="18"/>
          <w:color w:val="auto"/>
        </w:rPr>
        <w:t>Participation in the Bonus Program or any enhancement of the Bonus Program does not impact this fact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Neither the Bonus Program nor any future enhancement will be deemed a contract for employment.</w:t>
      </w:r>
    </w:p>
    <w:p>
      <w:pPr>
        <w:spacing w:after="0" w:line="161" w:lineRule="exact"/>
        <w:rPr>
          <w:rFonts w:ascii="Arial" w:cs="Arial" w:eastAsia="Arial" w:hAnsi="Arial"/>
          <w:sz w:val="18"/>
          <w:szCs w:val="18"/>
          <w:color w:val="auto"/>
        </w:rPr>
      </w:pPr>
    </w:p>
    <w:p>
      <w:pPr>
        <w:ind w:left="992" w:right="480" w:hanging="499"/>
        <w:spacing w:after="0" w:line="282" w:lineRule="auto"/>
        <w:tabs>
          <w:tab w:leader="none" w:pos="1001" w:val="left"/>
        </w:tabs>
        <w:numPr>
          <w:ilvl w:val="1"/>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The Bonus Program may be amended, suspended or terminated at any time without notice </w:t>
      </w:r>
      <w:r>
        <w:rPr>
          <w:rFonts w:ascii="Arial" w:cs="Arial" w:eastAsia="Arial" w:hAnsi="Arial"/>
          <w:sz w:val="18"/>
          <w:szCs w:val="18"/>
          <w:color w:val="auto"/>
        </w:rPr>
        <w:t>upon the approval of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of Directors.</w:t>
      </w:r>
    </w:p>
    <w:p>
      <w:pPr>
        <w:sectPr>
          <w:pgSz w:w="11900" w:h="16838" w:orient="portrait"/>
          <w:cols w:equalWidth="0" w:num="1">
            <w:col w:w="11312"/>
          </w:cols>
          <w:pgMar w:left="248" w:top="125" w:right="339" w:bottom="0" w:gutter="0" w:footer="0" w:header="0"/>
        </w:sectPr>
      </w:pP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12"/>
          </w:cols>
          <w:pgMar w:left="248" w:top="125" w:right="339" w:bottom="0" w:gutter="0" w:footer="0" w:header="0"/>
          <w:type w:val="continuous"/>
        </w:sectPr>
      </w:pPr>
    </w:p>
    <w:bookmarkStart w:id="191" w:name="page192"/>
    <w:bookmarkEnd w:id="191"/>
    <w:p>
      <w:pPr>
        <w:ind w:left="500" w:hanging="499"/>
        <w:spacing w:after="0"/>
        <w:tabs>
          <w:tab w:leader="none" w:pos="5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225" w:lineRule="exact"/>
        <w:rPr>
          <w:rFonts w:ascii="Arial" w:cs="Arial" w:eastAsia="Arial" w:hAnsi="Arial"/>
          <w:sz w:val="18"/>
          <w:szCs w:val="18"/>
          <w:color w:val="auto"/>
        </w:rPr>
      </w:pPr>
    </w:p>
    <w:p>
      <w:pPr>
        <w:ind w:left="980" w:right="400" w:hanging="500"/>
        <w:spacing w:after="0" w:line="282" w:lineRule="auto"/>
        <w:tabs>
          <w:tab w:leader="none" w:pos="98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If a Participant’s employment is terminated (voluntarily or involuntarily) </w:t>
      </w:r>
      <w:r>
        <w:rPr>
          <w:rFonts w:ascii="Arial" w:cs="Arial" w:eastAsia="Arial" w:hAnsi="Arial"/>
          <w:sz w:val="18"/>
          <w:szCs w:val="18"/>
          <w:b w:val="1"/>
          <w:bCs w:val="1"/>
          <w:color w:val="auto"/>
        </w:rPr>
        <w:t>prior to the awarding</w:t>
      </w:r>
      <w:r>
        <w:rPr>
          <w:rFonts w:ascii="Arial" w:cs="Arial" w:eastAsia="Arial" w:hAnsi="Arial"/>
          <w:sz w:val="18"/>
          <w:szCs w:val="18"/>
          <w:color w:val="auto"/>
        </w:rPr>
        <w:t xml:space="preserve"> or payment of any bonus under the Bonus Program, the Participant will not be entitled to any award or payment under the Bonus Program.</w:t>
      </w:r>
    </w:p>
    <w:p>
      <w:pPr>
        <w:spacing w:after="0" w:line="161" w:lineRule="exact"/>
        <w:rPr>
          <w:rFonts w:ascii="Arial" w:cs="Arial" w:eastAsia="Arial" w:hAnsi="Arial"/>
          <w:sz w:val="18"/>
          <w:szCs w:val="18"/>
          <w:color w:val="auto"/>
        </w:rPr>
      </w:pPr>
    </w:p>
    <w:p>
      <w:pPr>
        <w:jc w:val="both"/>
        <w:ind w:left="980" w:right="520" w:hanging="500"/>
        <w:spacing w:after="0" w:line="347" w:lineRule="auto"/>
        <w:tabs>
          <w:tab w:leader="none" w:pos="997"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If a Participant’s employment is terminated (voluntarily or involuntarily) </w:t>
      </w:r>
      <w:r>
        <w:rPr>
          <w:rFonts w:ascii="Arial" w:cs="Arial" w:eastAsia="Arial" w:hAnsi="Arial"/>
          <w:sz w:val="16"/>
          <w:szCs w:val="16"/>
          <w:b w:val="1"/>
          <w:bCs w:val="1"/>
          <w:color w:val="auto"/>
        </w:rPr>
        <w:t>prior to payment</w:t>
      </w:r>
      <w:r>
        <w:rPr>
          <w:rFonts w:ascii="Arial" w:cs="Arial" w:eastAsia="Arial" w:hAnsi="Arial"/>
          <w:sz w:val="16"/>
          <w:szCs w:val="16"/>
          <w:color w:val="auto"/>
        </w:rPr>
        <w:t xml:space="preserve"> of an awarded bonus under the Bonus Program, the Participant will not be entitled to any award or payment under the Bonus Program and will forfeit any such payment.</w:t>
      </w:r>
    </w:p>
    <w:p>
      <w:pPr>
        <w:spacing w:after="0" w:line="116" w:lineRule="exact"/>
        <w:rPr>
          <w:rFonts w:ascii="Arial" w:cs="Arial" w:eastAsia="Arial" w:hAnsi="Arial"/>
          <w:sz w:val="16"/>
          <w:szCs w:val="16"/>
          <w:color w:val="auto"/>
        </w:rPr>
      </w:pPr>
    </w:p>
    <w:p>
      <w:pPr>
        <w:ind w:left="980" w:right="340" w:hanging="500"/>
        <w:spacing w:after="0" w:line="282" w:lineRule="auto"/>
        <w:tabs>
          <w:tab w:leader="none" w:pos="100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If a Participant’s employment is terminated (voluntarily or involuntarily) </w:t>
      </w:r>
      <w:r>
        <w:rPr>
          <w:rFonts w:ascii="Arial" w:cs="Arial" w:eastAsia="Arial" w:hAnsi="Arial"/>
          <w:sz w:val="18"/>
          <w:szCs w:val="18"/>
          <w:b w:val="1"/>
          <w:bCs w:val="1"/>
          <w:color w:val="auto"/>
        </w:rPr>
        <w:t>prior to the vesting</w:t>
      </w:r>
      <w:r>
        <w:rPr>
          <w:rFonts w:ascii="Arial" w:cs="Arial" w:eastAsia="Arial" w:hAnsi="Arial"/>
          <w:sz w:val="18"/>
          <w:szCs w:val="18"/>
          <w:color w:val="auto"/>
        </w:rPr>
        <w:t xml:space="preserve"> of any shares issued as a portion of an award under the Bonus Program, such shares will be forfeited by the Participant.</w:t>
      </w:r>
    </w:p>
    <w:p>
      <w:pPr>
        <w:spacing w:after="0" w:line="161" w:lineRule="exact"/>
        <w:rPr>
          <w:rFonts w:ascii="Arial" w:cs="Arial" w:eastAsia="Arial" w:hAnsi="Arial"/>
          <w:sz w:val="18"/>
          <w:szCs w:val="18"/>
          <w:color w:val="auto"/>
        </w:rPr>
      </w:pPr>
    </w:p>
    <w:p>
      <w:pPr>
        <w:ind w:left="500" w:right="200" w:hanging="499"/>
        <w:spacing w:after="0" w:line="282" w:lineRule="auto"/>
        <w:tabs>
          <w:tab w:leader="none" w:pos="509"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The Committee and the Compensation Committee retain the right </w:t>
      </w:r>
      <w:r>
        <w:rPr>
          <w:rFonts w:ascii="Arial" w:cs="Arial" w:eastAsia="Arial" w:hAnsi="Arial"/>
          <w:sz w:val="18"/>
          <w:szCs w:val="18"/>
          <w:color w:val="auto"/>
        </w:rPr>
        <w:t>to make equitable judgments with regard to the awarding, funding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of awards under the Bonus Program.</w:t>
      </w:r>
    </w:p>
    <w:p>
      <w:pPr>
        <w:spacing w:after="0" w:line="161" w:lineRule="exact"/>
        <w:rPr>
          <w:rFonts w:ascii="Arial" w:cs="Arial" w:eastAsia="Arial" w:hAnsi="Arial"/>
          <w:sz w:val="18"/>
          <w:szCs w:val="18"/>
          <w:color w:val="auto"/>
        </w:rPr>
      </w:pPr>
    </w:p>
    <w:p>
      <w:pPr>
        <w:ind w:left="500" w:right="40" w:hanging="499"/>
        <w:spacing w:after="0" w:line="282" w:lineRule="auto"/>
        <w:tabs>
          <w:tab w:leader="none" w:pos="512"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Taxes and other deductions will be withheld </w:t>
      </w:r>
      <w:r>
        <w:rPr>
          <w:rFonts w:ascii="Arial" w:cs="Arial" w:eastAsia="Arial" w:hAnsi="Arial"/>
          <w:sz w:val="18"/>
          <w:szCs w:val="18"/>
          <w:color w:val="auto"/>
        </w:rPr>
        <w:t>as required by law and in compliance with Essent’s internal policies. Cash payments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 of any Participant’s base salary.</w:t>
      </w:r>
    </w:p>
    <w:p>
      <w:pPr>
        <w:spacing w:after="0" w:line="161" w:lineRule="exact"/>
        <w:rPr>
          <w:rFonts w:ascii="Arial" w:cs="Arial" w:eastAsia="Arial" w:hAnsi="Arial"/>
          <w:sz w:val="18"/>
          <w:szCs w:val="18"/>
          <w:color w:val="auto"/>
        </w:rPr>
      </w:pPr>
    </w:p>
    <w:p>
      <w:pPr>
        <w:ind w:left="500" w:hanging="499"/>
        <w:spacing w:after="0" w:line="314" w:lineRule="auto"/>
        <w:tabs>
          <w:tab w:leader="none" w:pos="506"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Repurchase of Shares. </w:t>
      </w:r>
      <w:r>
        <w:rPr>
          <w:rFonts w:ascii="Arial" w:cs="Arial" w:eastAsia="Arial" w:hAnsi="Arial"/>
          <w:sz w:val="16"/>
          <w:szCs w:val="16"/>
          <w:color w:val="auto"/>
        </w:rPr>
        <w:t>As a condition to the receipt of shares upon vesting, the Participant will make such arrangements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for the satisfaction of any federal, state, local or foreign withholding obligations that may arise in connection with such shares. The Participant may satisfy the withholding requirement by making a payment in cash, or by having shares withheld from the share award.</w:t>
      </w:r>
    </w:p>
    <w:p>
      <w:pPr>
        <w:spacing w:after="0" w:line="142" w:lineRule="exact"/>
        <w:rPr>
          <w:rFonts w:ascii="Arial" w:cs="Arial" w:eastAsia="Arial" w:hAnsi="Arial"/>
          <w:sz w:val="16"/>
          <w:szCs w:val="16"/>
          <w:color w:val="auto"/>
        </w:rPr>
      </w:pPr>
    </w:p>
    <w:p>
      <w:pPr>
        <w:ind w:left="500" w:hanging="499"/>
        <w:spacing w:after="0" w:line="282" w:lineRule="auto"/>
        <w:tabs>
          <w:tab w:leader="none" w:pos="522"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401(k). </w:t>
      </w:r>
      <w:r>
        <w:rPr>
          <w:rFonts w:ascii="Arial" w:cs="Arial" w:eastAsia="Arial" w:hAnsi="Arial"/>
          <w:sz w:val="18"/>
          <w:szCs w:val="18"/>
          <w:color w:val="auto"/>
        </w:rPr>
        <w:t>Deductions for the 401(k) Savings Plan will be taken at the Participant’s deferral rate in effect at the time of payment. Any change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deferral rate must be made at least five (5) days prior to the check date. Payments subject to</w:t>
      </w:r>
    </w:p>
    <w:p>
      <w:pPr>
        <w:spacing w:after="0" w:line="1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applicable laws and regulations and 401(k) plan laws, requirements and constraints.</w:t>
      </w:r>
    </w:p>
    <w:p>
      <w:pPr>
        <w:spacing w:after="0" w:line="221" w:lineRule="exact"/>
        <w:rPr>
          <w:sz w:val="20"/>
          <w:szCs w:val="20"/>
          <w:color w:val="auto"/>
        </w:rPr>
      </w:pPr>
    </w:p>
    <w:p>
      <w:pPr>
        <w:ind w:left="500" w:right="120" w:hanging="499"/>
        <w:spacing w:after="0" w:line="282" w:lineRule="auto"/>
        <w:tabs>
          <w:tab w:leader="none" w:pos="509"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Life Insurance and Other Benefits. </w:t>
      </w:r>
      <w:r>
        <w:rPr>
          <w:rFonts w:ascii="Arial" w:cs="Arial" w:eastAsia="Arial" w:hAnsi="Arial"/>
          <w:sz w:val="18"/>
          <w:szCs w:val="18"/>
          <w:color w:val="auto"/>
        </w:rPr>
        <w:t>Participant’s base salary will remain the basis for life insurance, accidental death and disability and long</w:t>
      </w:r>
      <w:r>
        <w:rPr>
          <w:rFonts w:ascii="Arial" w:cs="Arial" w:eastAsia="Arial" w:hAnsi="Arial"/>
          <w:sz w:val="18"/>
          <w:szCs w:val="18"/>
          <w:b w:val="1"/>
          <w:bCs w:val="1"/>
          <w:color w:val="auto"/>
        </w:rPr>
        <w:t xml:space="preserve"> </w:t>
      </w:r>
      <w:r>
        <w:rPr>
          <w:rFonts w:ascii="Arial" w:cs="Arial" w:eastAsia="Arial" w:hAnsi="Arial"/>
          <w:sz w:val="18"/>
          <w:szCs w:val="18"/>
          <w:color w:val="auto"/>
        </w:rPr>
        <w:t>and short term disability. The annual bonus will not increase the level of these benefits.</w:t>
      </w:r>
    </w:p>
    <w:p>
      <w:pPr>
        <w:spacing w:after="0" w:line="161" w:lineRule="exact"/>
        <w:rPr>
          <w:rFonts w:ascii="Arial" w:cs="Arial" w:eastAsia="Arial" w:hAnsi="Arial"/>
          <w:sz w:val="18"/>
          <w:szCs w:val="18"/>
          <w:color w:val="auto"/>
        </w:rPr>
      </w:pPr>
    </w:p>
    <w:p>
      <w:pPr>
        <w:ind w:left="520" w:hanging="519"/>
        <w:spacing w:after="0"/>
        <w:tabs>
          <w:tab w:leader="none" w:pos="52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Leave of Absence. </w:t>
      </w:r>
      <w:r>
        <w:rPr>
          <w:rFonts w:ascii="Arial" w:cs="Arial" w:eastAsia="Arial" w:hAnsi="Arial"/>
          <w:sz w:val="16"/>
          <w:szCs w:val="16"/>
          <w:color w:val="auto"/>
        </w:rPr>
        <w:t>Participant’s bonus will be pro-rated for any time away from work for approved leave of absence in excess of two weeks.</w:t>
      </w:r>
    </w:p>
    <w:p>
      <w:pPr>
        <w:spacing w:after="0" w:line="248" w:lineRule="exact"/>
        <w:rPr>
          <w:rFonts w:ascii="Arial" w:cs="Arial" w:eastAsia="Arial" w:hAnsi="Arial"/>
          <w:sz w:val="16"/>
          <w:szCs w:val="16"/>
          <w:color w:val="auto"/>
        </w:rPr>
      </w:pPr>
    </w:p>
    <w:p>
      <w:pPr>
        <w:jc w:val="both"/>
        <w:ind w:left="500" w:right="60" w:hanging="499"/>
        <w:spacing w:after="0" w:line="266" w:lineRule="auto"/>
        <w:tabs>
          <w:tab w:leader="none" w:pos="509"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409A Compliance. </w:t>
      </w:r>
      <w:r>
        <w:rPr>
          <w:rFonts w:ascii="Arial" w:cs="Arial" w:eastAsia="Arial" w:hAnsi="Arial"/>
          <w:sz w:val="18"/>
          <w:szCs w:val="18"/>
          <w:color w:val="auto"/>
        </w:rPr>
        <w:t>This Bonus Program is intended to comply with the short term deferral rule set forth in the regulations under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Internal Revenue Code of 1986, as amended (“Code”) in order to avoid application of Section 409A to this Bonus Program. This Bonus Program shall be administered in accordance with Section 409A of the Code.</w:t>
      </w:r>
    </w:p>
    <w:p>
      <w:pPr>
        <w:spacing w:after="0" w:line="176" w:lineRule="exact"/>
        <w:rPr>
          <w:rFonts w:ascii="Arial" w:cs="Arial" w:eastAsia="Arial" w:hAnsi="Arial"/>
          <w:sz w:val="18"/>
          <w:szCs w:val="18"/>
          <w:color w:val="auto"/>
        </w:rPr>
      </w:pPr>
    </w:p>
    <w:p>
      <w:pPr>
        <w:ind w:left="500" w:right="160" w:hanging="499"/>
        <w:spacing w:after="0" w:line="282" w:lineRule="auto"/>
        <w:tabs>
          <w:tab w:leader="none" w:pos="509"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Conflict. </w:t>
      </w:r>
      <w:r>
        <w:rPr>
          <w:rFonts w:ascii="Arial" w:cs="Arial" w:eastAsia="Arial" w:hAnsi="Arial"/>
          <w:sz w:val="18"/>
          <w:szCs w:val="18"/>
          <w:color w:val="auto"/>
        </w:rPr>
        <w:t>In the event of a conflict between the terms of this Bonus Program and the terms of a Participant’s individual employment or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terms of the applicable employment or award agreement shall control.</w:t>
      </w:r>
    </w:p>
    <w:p>
      <w:pPr>
        <w:spacing w:after="0" w:line="161" w:lineRule="exact"/>
        <w:rPr>
          <w:rFonts w:ascii="Arial" w:cs="Arial" w:eastAsia="Arial" w:hAnsi="Arial"/>
          <w:sz w:val="18"/>
          <w:szCs w:val="18"/>
          <w:color w:val="auto"/>
        </w:rPr>
      </w:pPr>
    </w:p>
    <w:p>
      <w:pPr>
        <w:ind w:left="500" w:right="200" w:hanging="499"/>
        <w:spacing w:after="0" w:line="347" w:lineRule="auto"/>
        <w:tabs>
          <w:tab w:leader="none" w:pos="523"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Grant Notice. </w:t>
      </w:r>
      <w:r>
        <w:rPr>
          <w:rFonts w:ascii="Arial" w:cs="Arial" w:eastAsia="Arial" w:hAnsi="Arial"/>
          <w:sz w:val="16"/>
          <w:szCs w:val="16"/>
          <w:color w:val="auto"/>
        </w:rPr>
        <w:t>Each grant of shares pursuant to this Bonus Program shall be evidenced by a Restricted Stock Grant Notice</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herein as an “award agreement”) containing such terms, consistent with this Bonus Program, as the Committee shall determine.</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580" w:right="27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2014 Annual Leadership Bonus Program (“Bonus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Essent Group Ltd. and its subsidiaries</w:t>
      </w:r>
    </w:p>
    <w:p>
      <w:pPr>
        <w:spacing w:after="0" w:line="207" w:lineRule="exact"/>
        <w:rPr>
          <w:sz w:val="20"/>
          <w:szCs w:val="20"/>
          <w:color w:val="auto"/>
        </w:rPr>
      </w:pPr>
    </w:p>
    <w:p>
      <w:pPr>
        <w:ind w:left="500" w:hanging="492"/>
        <w:spacing w:after="0"/>
        <w:tabs>
          <w:tab w:leader="none" w:pos="5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How the Bonus Program Works:</w:t>
      </w:r>
    </w:p>
    <w:p>
      <w:pPr>
        <w:spacing w:after="0" w:line="225" w:lineRule="exact"/>
        <w:rPr>
          <w:rFonts w:ascii="Arial" w:cs="Arial" w:eastAsia="Arial" w:hAnsi="Arial"/>
          <w:sz w:val="18"/>
          <w:szCs w:val="18"/>
          <w:b w:val="1"/>
          <w:bCs w:val="1"/>
          <w:color w:val="auto"/>
        </w:rPr>
      </w:pPr>
    </w:p>
    <w:p>
      <w:pPr>
        <w:ind w:left="1000" w:hanging="499"/>
        <w:spacing w:after="0"/>
        <w:tabs>
          <w:tab w:leader="none" w:pos="1000" w:val="left"/>
        </w:tabs>
        <w:numPr>
          <w:ilvl w:val="1"/>
          <w:numId w:val="164"/>
        </w:numPr>
        <w:rPr>
          <w:rFonts w:ascii="Arial" w:cs="Arial" w:eastAsia="Arial" w:hAnsi="Arial"/>
          <w:sz w:val="18"/>
          <w:szCs w:val="18"/>
          <w:color w:val="auto"/>
        </w:rPr>
      </w:pPr>
      <w:r>
        <w:rPr>
          <w:rFonts w:ascii="Arial" w:cs="Arial" w:eastAsia="Arial" w:hAnsi="Arial"/>
          <w:sz w:val="18"/>
          <w:szCs w:val="18"/>
          <w:b w:val="1"/>
          <w:bCs w:val="1"/>
          <w:color w:val="auto"/>
        </w:rPr>
        <w:t>Who may Participate in the Leadership Bonus Program and Be Considered for Bonus Payments?</w:t>
      </w:r>
    </w:p>
    <w:p>
      <w:pPr>
        <w:spacing w:after="0" w:line="229" w:lineRule="exact"/>
        <w:rPr>
          <w:rFonts w:ascii="Arial" w:cs="Arial" w:eastAsia="Arial" w:hAnsi="Arial"/>
          <w:sz w:val="18"/>
          <w:szCs w:val="18"/>
          <w:color w:val="auto"/>
        </w:rPr>
      </w:pPr>
    </w:p>
    <w:p>
      <w:pPr>
        <w:ind w:left="1480" w:right="420" w:hanging="500"/>
        <w:spacing w:after="0" w:line="277" w:lineRule="auto"/>
        <w:tabs>
          <w:tab w:leader="none" w:pos="1488" w:val="left"/>
        </w:tabs>
        <w:numPr>
          <w:ilvl w:val="2"/>
          <w:numId w:val="164"/>
        </w:numPr>
        <w:rPr>
          <w:rFonts w:ascii="Arial" w:cs="Arial" w:eastAsia="Arial" w:hAnsi="Arial"/>
          <w:sz w:val="18"/>
          <w:szCs w:val="18"/>
          <w:color w:val="auto"/>
        </w:rPr>
      </w:pPr>
      <w:r>
        <w:rPr>
          <w:rFonts w:ascii="Arial" w:cs="Arial" w:eastAsia="Arial" w:hAnsi="Arial"/>
          <w:sz w:val="18"/>
          <w:szCs w:val="18"/>
          <w:color w:val="auto"/>
        </w:rPr>
        <w:t>All Essent Group Ltd. and its subsidiaries Senior Vice Presidents and above and other employees designated in writing as eligible to participate in the Bonus Program, who:</w:t>
      </w:r>
    </w:p>
    <w:p>
      <w:pPr>
        <w:spacing w:after="0" w:line="170" w:lineRule="exact"/>
        <w:rPr>
          <w:rFonts w:ascii="Arial" w:cs="Arial" w:eastAsia="Arial" w:hAnsi="Arial"/>
          <w:sz w:val="18"/>
          <w:szCs w:val="18"/>
          <w:color w:val="auto"/>
        </w:rPr>
      </w:pPr>
    </w:p>
    <w:p>
      <w:pPr>
        <w:ind w:left="1960" w:right="120" w:hanging="487"/>
        <w:spacing w:after="0" w:line="277" w:lineRule="auto"/>
        <w:tabs>
          <w:tab w:leader="none" w:pos="1975" w:val="left"/>
        </w:tabs>
        <w:numPr>
          <w:ilvl w:val="3"/>
          <w:numId w:val="164"/>
        </w:numPr>
        <w:rPr>
          <w:rFonts w:ascii="Arial" w:cs="Arial" w:eastAsia="Arial" w:hAnsi="Arial"/>
          <w:sz w:val="18"/>
          <w:szCs w:val="18"/>
          <w:color w:val="auto"/>
        </w:rPr>
      </w:pPr>
      <w:r>
        <w:rPr>
          <w:rFonts w:ascii="Arial" w:cs="Arial" w:eastAsia="Arial" w:hAnsi="Arial"/>
          <w:sz w:val="18"/>
          <w:szCs w:val="18"/>
          <w:color w:val="auto"/>
        </w:rPr>
        <w:t>Are employed by the Company on or before October 31st (those hired on or after February 1st may participate on a pro rata basis calculated as of the first day of the month in which their date of hire falls);</w:t>
      </w:r>
    </w:p>
    <w:p>
      <w:pPr>
        <w:spacing w:after="0" w:line="170" w:lineRule="exact"/>
        <w:rPr>
          <w:rFonts w:ascii="Arial" w:cs="Arial" w:eastAsia="Arial" w:hAnsi="Arial"/>
          <w:sz w:val="18"/>
          <w:szCs w:val="18"/>
          <w:color w:val="auto"/>
        </w:rPr>
      </w:pPr>
    </w:p>
    <w:p>
      <w:pPr>
        <w:ind w:left="1980" w:hanging="507"/>
        <w:spacing w:after="0"/>
        <w:tabs>
          <w:tab w:leader="none" w:pos="1980" w:val="left"/>
        </w:tabs>
        <w:numPr>
          <w:ilvl w:val="3"/>
          <w:numId w:val="164"/>
        </w:numPr>
        <w:rPr>
          <w:rFonts w:ascii="Arial" w:cs="Arial" w:eastAsia="Arial" w:hAnsi="Arial"/>
          <w:sz w:val="18"/>
          <w:szCs w:val="18"/>
          <w:color w:val="auto"/>
        </w:rPr>
      </w:pPr>
      <w:r>
        <w:rPr>
          <w:rFonts w:ascii="Arial" w:cs="Arial" w:eastAsia="Arial" w:hAnsi="Arial"/>
          <w:sz w:val="18"/>
          <w:szCs w:val="18"/>
          <w:color w:val="auto"/>
        </w:rPr>
        <w:t>Are eligible to participate in the Essent Group Ltd. 2013 Long-Term Incentive Plan (the “2013 LTIP”);</w:t>
      </w:r>
    </w:p>
    <w:p>
      <w:pPr>
        <w:spacing w:after="0" w:line="225" w:lineRule="exact"/>
        <w:rPr>
          <w:rFonts w:ascii="Arial" w:cs="Arial" w:eastAsia="Arial" w:hAnsi="Arial"/>
          <w:sz w:val="18"/>
          <w:szCs w:val="18"/>
          <w:color w:val="auto"/>
        </w:rPr>
      </w:pPr>
    </w:p>
    <w:p>
      <w:pPr>
        <w:ind w:left="1980" w:hanging="507"/>
        <w:spacing w:after="0"/>
        <w:tabs>
          <w:tab w:leader="none" w:pos="1980" w:val="left"/>
        </w:tabs>
        <w:numPr>
          <w:ilvl w:val="3"/>
          <w:numId w:val="164"/>
        </w:numPr>
        <w:rPr>
          <w:rFonts w:ascii="Arial" w:cs="Arial" w:eastAsia="Arial" w:hAnsi="Arial"/>
          <w:sz w:val="18"/>
          <w:szCs w:val="18"/>
          <w:color w:val="auto"/>
        </w:rPr>
      </w:pPr>
      <w:r>
        <w:rPr>
          <w:rFonts w:ascii="Arial" w:cs="Arial" w:eastAsia="Arial" w:hAnsi="Arial"/>
          <w:sz w:val="18"/>
          <w:szCs w:val="18"/>
          <w:color w:val="auto"/>
        </w:rPr>
        <w:t>Are not on any form of written corrective counseling at the time payments are made; and,</w:t>
      </w:r>
    </w:p>
    <w:p>
      <w:pPr>
        <w:spacing w:after="0" w:line="225" w:lineRule="exact"/>
        <w:rPr>
          <w:rFonts w:ascii="Arial" w:cs="Arial" w:eastAsia="Arial" w:hAnsi="Arial"/>
          <w:sz w:val="18"/>
          <w:szCs w:val="18"/>
          <w:color w:val="auto"/>
        </w:rPr>
      </w:pPr>
    </w:p>
    <w:p>
      <w:pPr>
        <w:ind w:left="1980" w:hanging="507"/>
        <w:spacing w:after="0"/>
        <w:tabs>
          <w:tab w:leader="none" w:pos="1980" w:val="left"/>
        </w:tabs>
        <w:numPr>
          <w:ilvl w:val="3"/>
          <w:numId w:val="164"/>
        </w:numPr>
        <w:rPr>
          <w:rFonts w:ascii="Arial" w:cs="Arial" w:eastAsia="Arial" w:hAnsi="Arial"/>
          <w:sz w:val="18"/>
          <w:szCs w:val="18"/>
          <w:color w:val="auto"/>
        </w:rPr>
      </w:pPr>
      <w:r>
        <w:rPr>
          <w:rFonts w:ascii="Arial" w:cs="Arial" w:eastAsia="Arial" w:hAnsi="Arial"/>
          <w:sz w:val="18"/>
          <w:szCs w:val="18"/>
          <w:color w:val="auto"/>
        </w:rPr>
        <w:t>Are employed by Essent on the date the cash bonus payment is made and share bonus award is granted.</w:t>
      </w:r>
    </w:p>
    <w:p>
      <w:pPr>
        <w:spacing w:after="0" w:line="221" w:lineRule="exact"/>
        <w:rPr>
          <w:rFonts w:ascii="Arial" w:cs="Arial" w:eastAsia="Arial" w:hAnsi="Arial"/>
          <w:sz w:val="18"/>
          <w:szCs w:val="18"/>
          <w:color w:val="auto"/>
        </w:rPr>
      </w:pPr>
    </w:p>
    <w:p>
      <w:pPr>
        <w:ind w:left="1000" w:hanging="499"/>
        <w:spacing w:after="0"/>
        <w:tabs>
          <w:tab w:leader="none" w:pos="1000" w:val="left"/>
        </w:tabs>
        <w:numPr>
          <w:ilvl w:val="1"/>
          <w:numId w:val="164"/>
        </w:numPr>
        <w:rPr>
          <w:rFonts w:ascii="Arial" w:cs="Arial" w:eastAsia="Arial" w:hAnsi="Arial"/>
          <w:sz w:val="18"/>
          <w:szCs w:val="18"/>
          <w:color w:val="auto"/>
        </w:rPr>
      </w:pPr>
      <w:r>
        <w:rPr>
          <w:rFonts w:ascii="Arial" w:cs="Arial" w:eastAsia="Arial" w:hAnsi="Arial"/>
          <w:sz w:val="18"/>
          <w:szCs w:val="18"/>
          <w:b w:val="1"/>
          <w:bCs w:val="1"/>
          <w:color w:val="auto"/>
        </w:rPr>
        <w:t>What is the Bonus Opportunity?</w:t>
      </w:r>
    </w:p>
    <w:p>
      <w:pPr>
        <w:spacing w:after="0" w:line="225" w:lineRule="exact"/>
        <w:rPr>
          <w:rFonts w:ascii="Arial" w:cs="Arial" w:eastAsia="Arial" w:hAnsi="Arial"/>
          <w:sz w:val="18"/>
          <w:szCs w:val="18"/>
          <w:color w:val="auto"/>
        </w:rPr>
      </w:pPr>
    </w:p>
    <w:p>
      <w:pPr>
        <w:ind w:left="1480" w:right="620" w:hanging="500"/>
        <w:spacing w:after="0" w:line="282" w:lineRule="auto"/>
        <w:tabs>
          <w:tab w:leader="none" w:pos="1488" w:val="left"/>
        </w:tabs>
        <w:numPr>
          <w:ilvl w:val="2"/>
          <w:numId w:val="164"/>
        </w:numPr>
        <w:rPr>
          <w:rFonts w:ascii="Arial" w:cs="Arial" w:eastAsia="Arial" w:hAnsi="Arial"/>
          <w:sz w:val="18"/>
          <w:szCs w:val="18"/>
          <w:color w:val="auto"/>
        </w:rPr>
      </w:pPr>
      <w:r>
        <w:rPr>
          <w:rFonts w:ascii="Arial" w:cs="Arial" w:eastAsia="Arial" w:hAnsi="Arial"/>
          <w:sz w:val="18"/>
          <w:szCs w:val="18"/>
          <w:color w:val="auto"/>
        </w:rPr>
        <w:t xml:space="preserve">Each Participant was provided with an annual </w:t>
      </w:r>
      <w:r>
        <w:rPr>
          <w:rFonts w:ascii="Arial" w:cs="Arial" w:eastAsia="Arial" w:hAnsi="Arial"/>
          <w:sz w:val="18"/>
          <w:szCs w:val="18"/>
          <w:b w:val="1"/>
          <w:bCs w:val="1"/>
          <w:color w:val="auto"/>
        </w:rPr>
        <w:t>Target Bonus</w:t>
      </w:r>
      <w:r>
        <w:rPr>
          <w:rFonts w:ascii="Arial" w:cs="Arial" w:eastAsia="Arial" w:hAnsi="Arial"/>
          <w:sz w:val="18"/>
          <w:szCs w:val="18"/>
          <w:color w:val="auto"/>
        </w:rPr>
        <w:t xml:space="preserve"> expressed as a percentage of his or her base salary. This is typically documented in an offer letter or other writing signed by the President and CEO of Essent.</w:t>
      </w:r>
    </w:p>
    <w:p>
      <w:pPr>
        <w:spacing w:after="0" w:line="165" w:lineRule="exact"/>
        <w:rPr>
          <w:rFonts w:ascii="Arial" w:cs="Arial" w:eastAsia="Arial" w:hAnsi="Arial"/>
          <w:sz w:val="18"/>
          <w:szCs w:val="18"/>
          <w:color w:val="auto"/>
        </w:rPr>
      </w:pPr>
    </w:p>
    <w:p>
      <w:pPr>
        <w:ind w:left="1500" w:hanging="520"/>
        <w:spacing w:after="0"/>
        <w:tabs>
          <w:tab w:leader="none" w:pos="150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Each Participant’s target amount and cash/shares percentage is communicated individually.</w:t>
      </w:r>
    </w:p>
    <w:p>
      <w:pPr>
        <w:spacing w:after="0" w:line="225" w:lineRule="exact"/>
        <w:rPr>
          <w:rFonts w:ascii="Arial" w:cs="Arial" w:eastAsia="Arial" w:hAnsi="Arial"/>
          <w:sz w:val="18"/>
          <w:szCs w:val="18"/>
          <w:color w:val="auto"/>
        </w:rPr>
      </w:pPr>
    </w:p>
    <w:p>
      <w:pPr>
        <w:ind w:left="1500" w:hanging="520"/>
        <w:spacing w:after="0"/>
        <w:tabs>
          <w:tab w:leader="none" w:pos="150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All shares issued under this program are authorized under Section 10 of the 2013 LTIP and are subject to the broader terms of that plan.</w:t>
      </w:r>
    </w:p>
    <w:p>
      <w:pPr>
        <w:spacing w:after="0" w:line="244" w:lineRule="exact"/>
        <w:rPr>
          <w:rFonts w:ascii="Arial" w:cs="Arial" w:eastAsia="Arial" w:hAnsi="Arial"/>
          <w:sz w:val="16"/>
          <w:szCs w:val="16"/>
          <w:color w:val="auto"/>
        </w:rPr>
      </w:pPr>
    </w:p>
    <w:p>
      <w:pPr>
        <w:ind w:left="1000" w:hanging="499"/>
        <w:spacing w:after="0"/>
        <w:tabs>
          <w:tab w:leader="none" w:pos="1000" w:val="left"/>
        </w:tabs>
        <w:numPr>
          <w:ilvl w:val="1"/>
          <w:numId w:val="164"/>
        </w:numPr>
        <w:rPr>
          <w:rFonts w:ascii="Arial" w:cs="Arial" w:eastAsia="Arial" w:hAnsi="Arial"/>
          <w:sz w:val="18"/>
          <w:szCs w:val="18"/>
          <w:color w:val="auto"/>
        </w:rPr>
      </w:pPr>
      <w:r>
        <w:rPr>
          <w:rFonts w:ascii="Arial" w:cs="Arial" w:eastAsia="Arial" w:hAnsi="Arial"/>
          <w:sz w:val="18"/>
          <w:szCs w:val="18"/>
          <w:b w:val="1"/>
          <w:bCs w:val="1"/>
          <w:color w:val="auto"/>
        </w:rPr>
        <w:t>What Performance is Required for a Participant to be Eligible for a Bonus Payment?</w:t>
      </w:r>
    </w:p>
    <w:p>
      <w:pPr>
        <w:spacing w:after="0" w:line="229" w:lineRule="exact"/>
        <w:rPr>
          <w:sz w:val="20"/>
          <w:szCs w:val="20"/>
          <w:color w:val="auto"/>
        </w:rPr>
      </w:pPr>
    </w:p>
    <w:p>
      <w:pPr>
        <w:ind w:left="980" w:right="380"/>
        <w:spacing w:after="0" w:line="277" w:lineRule="auto"/>
        <w:rPr>
          <w:sz w:val="20"/>
          <w:szCs w:val="20"/>
          <w:color w:val="auto"/>
        </w:rPr>
      </w:pPr>
      <w:r>
        <w:rPr>
          <w:rFonts w:ascii="Arial" w:cs="Arial" w:eastAsia="Arial" w:hAnsi="Arial"/>
          <w:sz w:val="18"/>
          <w:szCs w:val="18"/>
          <w:color w:val="auto"/>
        </w:rPr>
        <w:t>Essent’s Bonus Program pays for performance. This means that both the Participant and the Company must meet minimum stated scores to qualify for a bonus. Essent utilizes scorecards for both Company and Individual performance to determine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potential size of the bonus payment. Each Participant bonus will be dependent on several factors.</w:t>
      </w:r>
    </w:p>
    <w:p>
      <w:pPr>
        <w:spacing w:after="0" w:line="221" w:lineRule="exact"/>
        <w:rPr>
          <w:sz w:val="20"/>
          <w:szCs w:val="20"/>
          <w:color w:val="auto"/>
        </w:rPr>
      </w:pPr>
    </w:p>
    <w:p>
      <w:pPr>
        <w:ind w:left="980" w:right="560" w:hanging="324"/>
        <w:spacing w:after="0" w:line="282" w:lineRule="auto"/>
        <w:tabs>
          <w:tab w:leader="none" w:pos="9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first factor is the achievement of Corporate Objectives. The </w:t>
      </w:r>
      <w:r>
        <w:rPr>
          <w:rFonts w:ascii="Arial" w:cs="Arial" w:eastAsia="Arial" w:hAnsi="Arial"/>
          <w:sz w:val="18"/>
          <w:szCs w:val="18"/>
          <w:b w:val="1"/>
          <w:bCs w:val="1"/>
          <w:color w:val="auto"/>
        </w:rPr>
        <w:t>Corporate Scorecard</w:t>
      </w:r>
      <w:r>
        <w:rPr>
          <w:rFonts w:ascii="Arial" w:cs="Arial" w:eastAsia="Arial" w:hAnsi="Arial"/>
          <w:sz w:val="18"/>
          <w:szCs w:val="18"/>
          <w:color w:val="auto"/>
        </w:rPr>
        <w:t xml:space="preserve"> identifying the level of achievement of Corporate Objectives will be published by management.</w:t>
      </w:r>
    </w:p>
    <w:p>
      <w:pPr>
        <w:spacing w:after="0" w:line="161" w:lineRule="exact"/>
        <w:rPr>
          <w:rFonts w:ascii="Arial" w:cs="Arial" w:eastAsia="Arial" w:hAnsi="Arial"/>
          <w:sz w:val="18"/>
          <w:szCs w:val="18"/>
          <w:color w:val="auto"/>
        </w:rPr>
      </w:pPr>
    </w:p>
    <w:p>
      <w:pPr>
        <w:ind w:left="980" w:right="120" w:hanging="324"/>
        <w:spacing w:after="0" w:line="298" w:lineRule="auto"/>
        <w:tabs>
          <w:tab w:leader="none" w:pos="94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second factor is based on the Participant’s overall performance rating on the </w:t>
      </w:r>
      <w:r>
        <w:rPr>
          <w:rFonts w:ascii="Arial" w:cs="Arial" w:eastAsia="Arial" w:hAnsi="Arial"/>
          <w:sz w:val="16"/>
          <w:szCs w:val="16"/>
          <w:b w:val="1"/>
          <w:bCs w:val="1"/>
          <w:color w:val="auto"/>
        </w:rPr>
        <w:t>Individual Scorecard</w:t>
      </w:r>
      <w:r>
        <w:rPr>
          <w:rFonts w:ascii="Arial" w:cs="Arial" w:eastAsia="Arial" w:hAnsi="Arial"/>
          <w:sz w:val="16"/>
          <w:szCs w:val="16"/>
          <w:color w:val="auto"/>
        </w:rPr>
        <w:t xml:space="preserve"> (“Annual Performance Review Form”). The Annual Performance Review will take into consideration the level of your achievement of your Individual Objectives as well as other success factors. Each Participant will receive an Annual Performance Review in the first calendar quarter of each year reviewing the previous calendar year’s results. This process of combining both Company and individual achievement and rewarding success through the Bonus Program is designed to promote applicable desired conduct, including driving profitable business and balanced objectivity.</w:t>
      </w:r>
    </w:p>
    <w:p>
      <w:pPr>
        <w:spacing w:after="0" w:line="154" w:lineRule="exact"/>
        <w:rPr>
          <w:rFonts w:ascii="Arial" w:cs="Arial" w:eastAsia="Arial" w:hAnsi="Arial"/>
          <w:sz w:val="16"/>
          <w:szCs w:val="16"/>
          <w:color w:val="auto"/>
        </w:rPr>
      </w:pPr>
    </w:p>
    <w:p>
      <w:pPr>
        <w:ind w:left="1980" w:hanging="507"/>
        <w:spacing w:after="0"/>
        <w:tabs>
          <w:tab w:leader="none" w:pos="1980"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Company Performance Scorecard</w:t>
      </w:r>
    </w:p>
    <w:p>
      <w:pPr>
        <w:spacing w:after="0" w:line="229" w:lineRule="exact"/>
        <w:rPr>
          <w:rFonts w:ascii="Arial" w:cs="Arial" w:eastAsia="Arial" w:hAnsi="Arial"/>
          <w:sz w:val="18"/>
          <w:szCs w:val="18"/>
          <w:color w:val="auto"/>
        </w:rPr>
      </w:pPr>
    </w:p>
    <w:p>
      <w:pPr>
        <w:ind w:left="2280" w:right="280" w:hanging="327"/>
        <w:spacing w:after="0" w:line="277" w:lineRule="auto"/>
        <w:tabs>
          <w:tab w:leader="none" w:pos="22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In order for any payments to be made under the Bonus Program, Essent’s FY Company Scorecard must equal or exceed 2.5 (“Company Score”).</w:t>
      </w:r>
    </w:p>
    <w:p>
      <w:pPr>
        <w:spacing w:after="0" w:line="170" w:lineRule="exact"/>
        <w:rPr>
          <w:rFonts w:ascii="Arial" w:cs="Arial" w:eastAsia="Arial" w:hAnsi="Arial"/>
          <w:sz w:val="18"/>
          <w:szCs w:val="18"/>
          <w:color w:val="auto"/>
        </w:rPr>
      </w:pPr>
    </w:p>
    <w:p>
      <w:pPr>
        <w:ind w:left="2240" w:hanging="287"/>
        <w:spacing w:after="0"/>
        <w:tabs>
          <w:tab w:leader="none" w:pos="224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Potential payment amounts increase as Essent’s weighted average scorecard score goes up.</w:t>
      </w:r>
    </w:p>
    <w:p>
      <w:pPr>
        <w:spacing w:after="0" w:line="221" w:lineRule="exact"/>
        <w:rPr>
          <w:rFonts w:ascii="Arial" w:cs="Arial" w:eastAsia="Arial" w:hAnsi="Arial"/>
          <w:sz w:val="18"/>
          <w:szCs w:val="18"/>
          <w:color w:val="auto"/>
        </w:rPr>
      </w:pPr>
    </w:p>
    <w:p>
      <w:pPr>
        <w:ind w:left="1980" w:hanging="507"/>
        <w:spacing w:after="0"/>
        <w:tabs>
          <w:tab w:leader="none" w:pos="1980"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Individual Performance Scorecard</w:t>
      </w:r>
    </w:p>
    <w:p>
      <w:pPr>
        <w:spacing w:after="0" w:line="229" w:lineRule="exact"/>
        <w:rPr>
          <w:rFonts w:ascii="Arial" w:cs="Arial" w:eastAsia="Arial" w:hAnsi="Arial"/>
          <w:sz w:val="18"/>
          <w:szCs w:val="18"/>
          <w:color w:val="auto"/>
        </w:rPr>
      </w:pPr>
    </w:p>
    <w:p>
      <w:pPr>
        <w:ind w:left="2280" w:right="260" w:hanging="327"/>
        <w:spacing w:after="0" w:line="277" w:lineRule="auto"/>
        <w:tabs>
          <w:tab w:leader="none" w:pos="22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Each Participant will have an Annual Performance Review to determine the achievement of Individual Objectives and other success factors.</w:t>
      </w:r>
    </w:p>
    <w:p>
      <w:pPr>
        <w:spacing w:after="0" w:line="170" w:lineRule="exact"/>
        <w:rPr>
          <w:rFonts w:ascii="Arial" w:cs="Arial" w:eastAsia="Arial" w:hAnsi="Arial"/>
          <w:sz w:val="18"/>
          <w:szCs w:val="18"/>
          <w:color w:val="auto"/>
        </w:rPr>
      </w:pPr>
    </w:p>
    <w:p>
      <w:pPr>
        <w:jc w:val="both"/>
        <w:ind w:left="2280" w:right="500" w:hanging="327"/>
        <w:spacing w:after="0" w:line="342" w:lineRule="auto"/>
        <w:tabs>
          <w:tab w:leader="none" w:pos="2244"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In order for a Participant to receive a bonus payment, he or she must have an overall Performance Review Rating of 3 or higher on Essent’s 5-point scale at the time bonuses are paid (“Individual Score”), plus a Company Score of at least 2.5.</w:t>
      </w:r>
    </w:p>
    <w:p>
      <w:pPr>
        <w:spacing w:after="0" w:line="123" w:lineRule="exact"/>
        <w:rPr>
          <w:rFonts w:ascii="Arial" w:cs="Arial" w:eastAsia="Arial" w:hAnsi="Arial"/>
          <w:sz w:val="16"/>
          <w:szCs w:val="16"/>
          <w:color w:val="auto"/>
        </w:rPr>
      </w:pPr>
    </w:p>
    <w:p>
      <w:pPr>
        <w:ind w:left="2240" w:hanging="287"/>
        <w:spacing w:after="0"/>
        <w:tabs>
          <w:tab w:leader="none" w:pos="224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As a Participant’s Individual Score increases, his/her potential to reach the “Target” bonus or above also increases.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80" w:hanging="507"/>
        <w:spacing w:after="0"/>
        <w:tabs>
          <w:tab w:leader="none" w:pos="198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Weighting of Corporate and Individual Scores</w:t>
      </w:r>
    </w:p>
    <w:p>
      <w:pPr>
        <w:sectPr>
          <w:pgSz w:w="11900" w:h="16838" w:orient="portrait"/>
          <w:cols w:equalWidth="0" w:num="1">
            <w:col w:w="11420"/>
          </w:cols>
          <w:pgMar w:left="240" w:top="364" w:right="239" w:bottom="225" w:gutter="0" w:footer="0" w:header="0"/>
        </w:sectPr>
      </w:pPr>
    </w:p>
    <w:bookmarkStart w:id="193" w:name="page194"/>
    <w:bookmarkEnd w:id="193"/>
    <w:p>
      <w:pPr>
        <w:ind w:left="2272" w:right="320" w:hanging="327"/>
        <w:spacing w:after="0" w:line="277" w:lineRule="auto"/>
        <w:tabs>
          <w:tab w:leader="none" w:pos="2236" w:val="left"/>
        </w:tabs>
        <w:numPr>
          <w:ilvl w:val="3"/>
          <w:numId w:val="167"/>
        </w:numPr>
        <w:rPr>
          <w:rFonts w:ascii="Arial" w:cs="Arial" w:eastAsia="Arial" w:hAnsi="Arial"/>
          <w:sz w:val="18"/>
          <w:szCs w:val="18"/>
          <w:color w:val="auto"/>
        </w:rPr>
      </w:pPr>
      <w:r>
        <w:rPr>
          <w:rFonts w:ascii="Arial" w:cs="Arial" w:eastAsia="Arial" w:hAnsi="Arial"/>
          <w:sz w:val="18"/>
          <w:szCs w:val="18"/>
          <w:color w:val="auto"/>
        </w:rPr>
        <w:t>Each Participant has been assigned a weighting between the Company Score and Individual Score. Actual weightings are communicated individually and are determined by position.</w:t>
      </w:r>
    </w:p>
    <w:p>
      <w:pPr>
        <w:spacing w:after="0" w:line="166" w:lineRule="exact"/>
        <w:rPr>
          <w:rFonts w:ascii="Arial" w:cs="Arial" w:eastAsia="Arial" w:hAnsi="Arial"/>
          <w:sz w:val="18"/>
          <w:szCs w:val="18"/>
          <w:color w:val="auto"/>
        </w:rPr>
      </w:pPr>
    </w:p>
    <w:p>
      <w:pPr>
        <w:ind w:left="992" w:hanging="499"/>
        <w:spacing w:after="0"/>
        <w:tabs>
          <w:tab w:leader="none" w:pos="992"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How and When are Bonus Payments Made?</w:t>
      </w:r>
    </w:p>
    <w:p>
      <w:pPr>
        <w:spacing w:after="0" w:line="225" w:lineRule="exact"/>
        <w:rPr>
          <w:rFonts w:ascii="Arial" w:cs="Arial" w:eastAsia="Arial" w:hAnsi="Arial"/>
          <w:sz w:val="18"/>
          <w:szCs w:val="18"/>
          <w:color w:val="auto"/>
        </w:rPr>
      </w:pPr>
    </w:p>
    <w:p>
      <w:pPr>
        <w:ind w:left="1472" w:hanging="500"/>
        <w:spacing w:after="0"/>
        <w:tabs>
          <w:tab w:leader="none" w:pos="1472" w:val="left"/>
        </w:tabs>
        <w:numPr>
          <w:ilvl w:val="1"/>
          <w:numId w:val="167"/>
        </w:numPr>
        <w:rPr>
          <w:rFonts w:ascii="Arial" w:cs="Arial" w:eastAsia="Arial" w:hAnsi="Arial"/>
          <w:sz w:val="18"/>
          <w:szCs w:val="18"/>
          <w:color w:val="auto"/>
        </w:rPr>
      </w:pPr>
      <w:r>
        <w:rPr>
          <w:rFonts w:ascii="Arial" w:cs="Arial" w:eastAsia="Arial" w:hAnsi="Arial"/>
          <w:sz w:val="18"/>
          <w:szCs w:val="18"/>
          <w:b w:val="1"/>
          <w:bCs w:val="1"/>
          <w:color w:val="auto"/>
        </w:rPr>
        <w:t>Timing:</w:t>
      </w:r>
    </w:p>
    <w:p>
      <w:pPr>
        <w:spacing w:after="0" w:line="229" w:lineRule="exact"/>
        <w:rPr>
          <w:rFonts w:ascii="Arial" w:cs="Arial" w:eastAsia="Arial" w:hAnsi="Arial"/>
          <w:sz w:val="18"/>
          <w:szCs w:val="18"/>
          <w:color w:val="auto"/>
        </w:rPr>
      </w:pPr>
    </w:p>
    <w:p>
      <w:pPr>
        <w:ind w:left="1952" w:right="360" w:hanging="487"/>
        <w:spacing w:after="0" w:line="292" w:lineRule="auto"/>
        <w:tabs>
          <w:tab w:leader="none" w:pos="1967"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Any bonus payments made under the Bonus Program are scheduled to occur as soon as practicable following the close of the Fiscal Year, but in any case on or before March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following year.</w:t>
      </w:r>
    </w:p>
    <w:p>
      <w:pPr>
        <w:spacing w:after="0" w:line="70" w:lineRule="exact"/>
        <w:rPr>
          <w:rFonts w:ascii="Arial" w:cs="Arial" w:eastAsia="Arial" w:hAnsi="Arial"/>
          <w:sz w:val="18"/>
          <w:szCs w:val="18"/>
          <w:color w:val="auto"/>
        </w:rPr>
      </w:pPr>
    </w:p>
    <w:p>
      <w:pPr>
        <w:ind w:left="1492" w:hanging="520"/>
        <w:spacing w:after="0"/>
        <w:tabs>
          <w:tab w:leader="none" w:pos="1492" w:val="left"/>
        </w:tabs>
        <w:numPr>
          <w:ilvl w:val="1"/>
          <w:numId w:val="167"/>
        </w:numPr>
        <w:rPr>
          <w:rFonts w:ascii="Arial" w:cs="Arial" w:eastAsia="Arial" w:hAnsi="Arial"/>
          <w:sz w:val="18"/>
          <w:szCs w:val="18"/>
          <w:color w:val="auto"/>
        </w:rPr>
      </w:pPr>
      <w:r>
        <w:rPr>
          <w:rFonts w:ascii="Arial" w:cs="Arial" w:eastAsia="Arial" w:hAnsi="Arial"/>
          <w:sz w:val="18"/>
          <w:szCs w:val="18"/>
          <w:b w:val="1"/>
          <w:bCs w:val="1"/>
          <w:color w:val="auto"/>
        </w:rPr>
        <w:t>Form of Bonus Payments:</w:t>
      </w:r>
    </w:p>
    <w:p>
      <w:pPr>
        <w:spacing w:after="0" w:line="229" w:lineRule="exact"/>
        <w:rPr>
          <w:rFonts w:ascii="Arial" w:cs="Arial" w:eastAsia="Arial" w:hAnsi="Arial"/>
          <w:sz w:val="18"/>
          <w:szCs w:val="18"/>
          <w:color w:val="auto"/>
        </w:rPr>
      </w:pPr>
    </w:p>
    <w:p>
      <w:pPr>
        <w:ind w:left="1952" w:hanging="487"/>
        <w:spacing w:after="0" w:line="255" w:lineRule="auto"/>
        <w:tabs>
          <w:tab w:leader="none" w:pos="1967" w:val="left"/>
        </w:tabs>
        <w:numPr>
          <w:ilvl w:val="2"/>
          <w:numId w:val="167"/>
        </w:numPr>
        <w:rPr>
          <w:rFonts w:ascii="Arial" w:cs="Arial" w:eastAsia="Arial" w:hAnsi="Arial"/>
          <w:sz w:val="18"/>
          <w:szCs w:val="18"/>
          <w:color w:val="auto"/>
        </w:rPr>
      </w:pPr>
      <w:r>
        <w:rPr>
          <w:rFonts w:ascii="Arial" w:cs="Arial" w:eastAsia="Arial" w:hAnsi="Arial"/>
          <w:sz w:val="18"/>
          <w:szCs w:val="18"/>
          <w:color w:val="auto"/>
        </w:rPr>
        <w:t>75% of any awarded bonus will be paid in cash and 25% will be paid in Essent Group Ltd. common shares valued based on the closing price of such shares on the date the bonus payments are approved by the Board of Directors upon the recommendation of the Compensation Committee of the Board of Directors (the “Compensation Committee”). For the purposes of this Bonus Program, cash awards will be paid in cash (via check or direct deposit), less all applicable taxes and deductions. Unless otherwise provided in a Participant’s employment or award agreement, share awards will vest in 3 equal installments on each of March 1, 2016, March 1, 2017 and March 1, 2018. All share awards will be taxed on the date of vesting in accordance with applicable law and Company policy.</w:t>
      </w:r>
    </w:p>
    <w:p>
      <w:pPr>
        <w:spacing w:after="0" w:line="189" w:lineRule="exact"/>
        <w:rPr>
          <w:rFonts w:ascii="Arial" w:cs="Arial" w:eastAsia="Arial" w:hAnsi="Arial"/>
          <w:sz w:val="18"/>
          <w:szCs w:val="18"/>
          <w:color w:val="auto"/>
        </w:rPr>
      </w:pPr>
    </w:p>
    <w:p>
      <w:pPr>
        <w:ind w:left="1492" w:hanging="520"/>
        <w:spacing w:after="0"/>
        <w:tabs>
          <w:tab w:leader="none" w:pos="14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Necessary Approvals:</w:t>
      </w:r>
    </w:p>
    <w:p>
      <w:pPr>
        <w:spacing w:after="0" w:line="225" w:lineRule="exact"/>
        <w:rPr>
          <w:rFonts w:ascii="Arial" w:cs="Arial" w:eastAsia="Arial" w:hAnsi="Arial"/>
          <w:sz w:val="18"/>
          <w:szCs w:val="18"/>
          <w:color w:val="auto"/>
        </w:rPr>
      </w:pPr>
    </w:p>
    <w:p>
      <w:pPr>
        <w:ind w:left="1952" w:right="80" w:hanging="487"/>
        <w:spacing w:after="0" w:line="277" w:lineRule="auto"/>
        <w:tabs>
          <w:tab w:leader="none" w:pos="1967"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President and CEO together with the Compensation Committee will review and approve all Participants’ cash payments and share awards.</w:t>
      </w:r>
    </w:p>
    <w:p>
      <w:pPr>
        <w:spacing w:after="0" w:line="170" w:lineRule="exact"/>
        <w:rPr>
          <w:rFonts w:ascii="Arial" w:cs="Arial" w:eastAsia="Arial" w:hAnsi="Arial"/>
          <w:sz w:val="18"/>
          <w:szCs w:val="18"/>
          <w:color w:val="auto"/>
        </w:rPr>
      </w:pPr>
    </w:p>
    <w:p>
      <w:pPr>
        <w:ind w:left="1972" w:hanging="507"/>
        <w:spacing w:after="0"/>
        <w:tabs>
          <w:tab w:leader="none" w:pos="197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President and CEO’s cash payment and share awards are approved by the Compensation Committee.</w:t>
      </w:r>
    </w:p>
    <w:p>
      <w:pPr>
        <w:spacing w:after="0" w:line="225" w:lineRule="exact"/>
        <w:rPr>
          <w:rFonts w:ascii="Arial" w:cs="Arial" w:eastAsia="Arial" w:hAnsi="Arial"/>
          <w:sz w:val="18"/>
          <w:szCs w:val="18"/>
          <w:color w:val="auto"/>
        </w:rPr>
      </w:pPr>
    </w:p>
    <w:p>
      <w:pPr>
        <w:jc w:val="both"/>
        <w:ind w:left="1952" w:right="400" w:hanging="487"/>
        <w:spacing w:after="0" w:line="342" w:lineRule="auto"/>
        <w:tabs>
          <w:tab w:leader="none" w:pos="1967" w:val="left"/>
        </w:tabs>
        <w:numPr>
          <w:ilvl w:val="2"/>
          <w:numId w:val="167"/>
        </w:numPr>
        <w:rPr>
          <w:rFonts w:ascii="Arial" w:cs="Arial" w:eastAsia="Arial" w:hAnsi="Arial"/>
          <w:sz w:val="16"/>
          <w:szCs w:val="16"/>
          <w:color w:val="auto"/>
        </w:rPr>
      </w:pPr>
      <w:r>
        <w:rPr>
          <w:rFonts w:ascii="Arial" w:cs="Arial" w:eastAsia="Arial" w:hAnsi="Arial"/>
          <w:sz w:val="16"/>
          <w:szCs w:val="16"/>
          <w:color w:val="auto"/>
        </w:rPr>
        <w:t>The Compensation Committee of the Board of Directors has sole discretion and final review and approval authority over the award pool, and holds the responsibility for reviewing and approving recommended individual payments for all Participants.</w:t>
      </w:r>
    </w:p>
    <w:p>
      <w:pPr>
        <w:spacing w:after="0" w:line="123" w:lineRule="exact"/>
        <w:rPr>
          <w:rFonts w:ascii="Arial" w:cs="Arial" w:eastAsia="Arial" w:hAnsi="Arial"/>
          <w:sz w:val="16"/>
          <w:szCs w:val="16"/>
          <w:color w:val="auto"/>
        </w:rPr>
      </w:pPr>
    </w:p>
    <w:p>
      <w:pPr>
        <w:ind w:left="1952" w:right="140" w:hanging="487"/>
        <w:spacing w:after="0" w:line="264" w:lineRule="auto"/>
        <w:tabs>
          <w:tab w:leader="none" w:pos="1967"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a Participant in this program satisfies the “Covered Employee” definition in the Essent Group Ltd. Annual Incentive Plan (the “Annual Plan”), this program document will serve as administrative guidelines for the Compensation Committee to apply in determining the cash and share bonus payment for that employee.</w:t>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2" w:hanging="492"/>
        <w:spacing w:after="0"/>
        <w:tabs>
          <w:tab w:leader="none" w:pos="49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Who administers the Bonus Program?</w:t>
      </w:r>
    </w:p>
    <w:p>
      <w:pPr>
        <w:spacing w:after="0" w:line="229" w:lineRule="exact"/>
        <w:rPr>
          <w:rFonts w:ascii="Arial" w:cs="Arial" w:eastAsia="Arial" w:hAnsi="Arial"/>
          <w:sz w:val="18"/>
          <w:szCs w:val="18"/>
          <w:b w:val="1"/>
          <w:bCs w:val="1"/>
          <w:color w:val="auto"/>
        </w:rPr>
      </w:pPr>
    </w:p>
    <w:p>
      <w:pPr>
        <w:ind w:left="492"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 the authority granted by the Compensation Committee, decisions are made by the Plan Administration Committee (“the Committee”), which is comprised of the President and CEO, the Chief Legal Officer and the Chief Financial Officer.</w:t>
      </w:r>
    </w:p>
    <w:p>
      <w:pPr>
        <w:spacing w:after="0" w:line="170" w:lineRule="exact"/>
        <w:rPr>
          <w:rFonts w:ascii="Arial" w:cs="Arial" w:eastAsia="Arial" w:hAnsi="Arial"/>
          <w:sz w:val="18"/>
          <w:szCs w:val="18"/>
          <w:b w:val="1"/>
          <w:bCs w:val="1"/>
          <w:color w:val="auto"/>
        </w:rPr>
      </w:pPr>
    </w:p>
    <w:p>
      <w:pPr>
        <w:ind w:left="1972" w:hanging="507"/>
        <w:spacing w:after="0"/>
        <w:tabs>
          <w:tab w:leader="none" w:pos="197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Committee’s responsibilities include:</w:t>
      </w:r>
    </w:p>
    <w:p>
      <w:pPr>
        <w:spacing w:after="0" w:line="225" w:lineRule="exact"/>
        <w:rPr>
          <w:rFonts w:ascii="Arial" w:cs="Arial" w:eastAsia="Arial" w:hAnsi="Arial"/>
          <w:sz w:val="18"/>
          <w:szCs w:val="18"/>
          <w:color w:val="auto"/>
        </w:rPr>
      </w:pPr>
    </w:p>
    <w:p>
      <w:pPr>
        <w:ind w:left="2432" w:hanging="487"/>
        <w:spacing w:after="0"/>
        <w:tabs>
          <w:tab w:leader="none" w:pos="2432" w:val="left"/>
        </w:tabs>
        <w:numPr>
          <w:ilvl w:val="3"/>
          <w:numId w:val="168"/>
        </w:numPr>
        <w:rPr>
          <w:rFonts w:ascii="Arial" w:cs="Arial" w:eastAsia="Arial" w:hAnsi="Arial"/>
          <w:sz w:val="18"/>
          <w:szCs w:val="18"/>
          <w:color w:val="auto"/>
        </w:rPr>
      </w:pPr>
      <w:r>
        <w:rPr>
          <w:rFonts w:ascii="Arial" w:cs="Arial" w:eastAsia="Arial" w:hAnsi="Arial"/>
          <w:sz w:val="18"/>
          <w:szCs w:val="18"/>
          <w:color w:val="auto"/>
        </w:rPr>
        <w:t>Providing information to the Compensation Committee of the Board of Directors;</w:t>
      </w:r>
    </w:p>
    <w:p>
      <w:pPr>
        <w:spacing w:after="0" w:line="225" w:lineRule="exact"/>
        <w:rPr>
          <w:rFonts w:ascii="Arial" w:cs="Arial" w:eastAsia="Arial" w:hAnsi="Arial"/>
          <w:sz w:val="18"/>
          <w:szCs w:val="18"/>
          <w:color w:val="auto"/>
        </w:rPr>
      </w:pPr>
    </w:p>
    <w:p>
      <w:pPr>
        <w:ind w:left="2432" w:right="160" w:hanging="487"/>
        <w:spacing w:after="0" w:line="277" w:lineRule="auto"/>
        <w:tabs>
          <w:tab w:leader="none" w:pos="2439" w:val="left"/>
        </w:tabs>
        <w:numPr>
          <w:ilvl w:val="3"/>
          <w:numId w:val="168"/>
        </w:numPr>
        <w:rPr>
          <w:rFonts w:ascii="Arial" w:cs="Arial" w:eastAsia="Arial" w:hAnsi="Arial"/>
          <w:sz w:val="18"/>
          <w:szCs w:val="18"/>
          <w:color w:val="auto"/>
        </w:rPr>
      </w:pPr>
      <w:r>
        <w:rPr>
          <w:rFonts w:ascii="Arial" w:cs="Arial" w:eastAsia="Arial" w:hAnsi="Arial"/>
          <w:sz w:val="18"/>
          <w:szCs w:val="18"/>
          <w:color w:val="auto"/>
        </w:rPr>
        <w:t>Recommending eligibility rules, individual bonus target assignments and the relative weights of Company and Individual performance;</w:t>
      </w:r>
    </w:p>
    <w:p>
      <w:pPr>
        <w:spacing w:after="0" w:line="170" w:lineRule="exact"/>
        <w:rPr>
          <w:rFonts w:ascii="Arial" w:cs="Arial" w:eastAsia="Arial" w:hAnsi="Arial"/>
          <w:sz w:val="18"/>
          <w:szCs w:val="18"/>
          <w:color w:val="auto"/>
        </w:rPr>
      </w:pPr>
    </w:p>
    <w:p>
      <w:pPr>
        <w:ind w:left="2432" w:hanging="487"/>
        <w:spacing w:after="0"/>
        <w:tabs>
          <w:tab w:leader="none" w:pos="2432" w:val="left"/>
        </w:tabs>
        <w:numPr>
          <w:ilvl w:val="3"/>
          <w:numId w:val="168"/>
        </w:numPr>
        <w:rPr>
          <w:rFonts w:ascii="Arial" w:cs="Arial" w:eastAsia="Arial" w:hAnsi="Arial"/>
          <w:sz w:val="18"/>
          <w:szCs w:val="18"/>
          <w:color w:val="auto"/>
        </w:rPr>
      </w:pPr>
      <w:r>
        <w:rPr>
          <w:rFonts w:ascii="Arial" w:cs="Arial" w:eastAsia="Arial" w:hAnsi="Arial"/>
          <w:sz w:val="18"/>
          <w:szCs w:val="18"/>
          <w:color w:val="auto"/>
        </w:rPr>
        <w:t>Establishing performance standards;</w:t>
      </w:r>
    </w:p>
    <w:p>
      <w:pPr>
        <w:spacing w:after="0" w:line="225" w:lineRule="exact"/>
        <w:rPr>
          <w:rFonts w:ascii="Arial" w:cs="Arial" w:eastAsia="Arial" w:hAnsi="Arial"/>
          <w:sz w:val="18"/>
          <w:szCs w:val="18"/>
          <w:color w:val="auto"/>
        </w:rPr>
      </w:pPr>
    </w:p>
    <w:p>
      <w:pPr>
        <w:ind w:left="2432" w:hanging="487"/>
        <w:spacing w:after="0"/>
        <w:tabs>
          <w:tab w:leader="none" w:pos="2432" w:val="left"/>
        </w:tabs>
        <w:numPr>
          <w:ilvl w:val="3"/>
          <w:numId w:val="168"/>
        </w:numPr>
        <w:rPr>
          <w:rFonts w:ascii="Arial" w:cs="Arial" w:eastAsia="Arial" w:hAnsi="Arial"/>
          <w:sz w:val="18"/>
          <w:szCs w:val="18"/>
          <w:color w:val="auto"/>
        </w:rPr>
      </w:pPr>
      <w:r>
        <w:rPr>
          <w:rFonts w:ascii="Arial" w:cs="Arial" w:eastAsia="Arial" w:hAnsi="Arial"/>
          <w:sz w:val="18"/>
          <w:szCs w:val="18"/>
          <w:color w:val="auto"/>
        </w:rPr>
        <w:t>Adjusting financial accruals as necessary;</w:t>
      </w:r>
    </w:p>
    <w:p>
      <w:pPr>
        <w:spacing w:after="0" w:line="225" w:lineRule="exact"/>
        <w:rPr>
          <w:rFonts w:ascii="Arial" w:cs="Arial" w:eastAsia="Arial" w:hAnsi="Arial"/>
          <w:sz w:val="18"/>
          <w:szCs w:val="18"/>
          <w:color w:val="auto"/>
        </w:rPr>
      </w:pPr>
    </w:p>
    <w:p>
      <w:pPr>
        <w:ind w:left="2432" w:right="600" w:hanging="487"/>
        <w:spacing w:after="0" w:line="277" w:lineRule="auto"/>
        <w:tabs>
          <w:tab w:leader="none" w:pos="2443" w:val="left"/>
        </w:tabs>
        <w:numPr>
          <w:ilvl w:val="3"/>
          <w:numId w:val="168"/>
        </w:numPr>
        <w:rPr>
          <w:rFonts w:ascii="Arial" w:cs="Arial" w:eastAsia="Arial" w:hAnsi="Arial"/>
          <w:sz w:val="18"/>
          <w:szCs w:val="18"/>
          <w:color w:val="auto"/>
        </w:rPr>
      </w:pPr>
      <w:r>
        <w:rPr>
          <w:rFonts w:ascii="Arial" w:cs="Arial" w:eastAsia="Arial" w:hAnsi="Arial"/>
          <w:sz w:val="18"/>
          <w:szCs w:val="18"/>
          <w:color w:val="auto"/>
        </w:rPr>
        <w:t>Facilitating the collection of aggregate and group payment recommendations for review by the President and CEO, according to the pool assigned by the Compensation Committee of the Board of Directors;</w:t>
      </w:r>
    </w:p>
    <w:p>
      <w:pPr>
        <w:spacing w:after="0" w:line="170" w:lineRule="exact"/>
        <w:rPr>
          <w:rFonts w:ascii="Arial" w:cs="Arial" w:eastAsia="Arial" w:hAnsi="Arial"/>
          <w:sz w:val="18"/>
          <w:szCs w:val="18"/>
          <w:color w:val="auto"/>
        </w:rPr>
      </w:pPr>
    </w:p>
    <w:p>
      <w:pPr>
        <w:ind w:left="2432" w:hanging="487"/>
        <w:spacing w:after="0"/>
        <w:tabs>
          <w:tab w:leader="none" w:pos="2432" w:val="left"/>
        </w:tabs>
        <w:numPr>
          <w:ilvl w:val="3"/>
          <w:numId w:val="168"/>
        </w:numPr>
        <w:rPr>
          <w:rFonts w:ascii="Arial" w:cs="Arial" w:eastAsia="Arial" w:hAnsi="Arial"/>
          <w:sz w:val="18"/>
          <w:szCs w:val="18"/>
          <w:color w:val="auto"/>
        </w:rPr>
      </w:pPr>
      <w:r>
        <w:rPr>
          <w:rFonts w:ascii="Arial" w:cs="Arial" w:eastAsia="Arial" w:hAnsi="Arial"/>
          <w:sz w:val="18"/>
          <w:szCs w:val="18"/>
          <w:color w:val="auto"/>
        </w:rPr>
        <w:t>Reviewing and verifying all proposed payments before such payments are made;</w:t>
      </w:r>
    </w:p>
    <w:p>
      <w:pPr>
        <w:spacing w:after="0" w:line="225" w:lineRule="exact"/>
        <w:rPr>
          <w:rFonts w:ascii="Arial" w:cs="Arial" w:eastAsia="Arial" w:hAnsi="Arial"/>
          <w:sz w:val="18"/>
          <w:szCs w:val="18"/>
          <w:color w:val="auto"/>
        </w:rPr>
      </w:pPr>
    </w:p>
    <w:p>
      <w:pPr>
        <w:ind w:left="2432" w:right="140" w:hanging="487"/>
        <w:spacing w:after="0" w:line="277" w:lineRule="auto"/>
        <w:tabs>
          <w:tab w:leader="none" w:pos="2453" w:val="left"/>
        </w:tabs>
        <w:numPr>
          <w:ilvl w:val="3"/>
          <w:numId w:val="168"/>
        </w:numPr>
        <w:rPr>
          <w:rFonts w:ascii="Arial" w:cs="Arial" w:eastAsia="Arial" w:hAnsi="Arial"/>
          <w:sz w:val="18"/>
          <w:szCs w:val="18"/>
          <w:color w:val="auto"/>
        </w:rPr>
      </w:pPr>
      <w:r>
        <w:rPr>
          <w:rFonts w:ascii="Arial" w:cs="Arial" w:eastAsia="Arial" w:hAnsi="Arial"/>
          <w:sz w:val="18"/>
          <w:szCs w:val="18"/>
          <w:color w:val="auto"/>
        </w:rPr>
        <w:t>Determining the extent to which internal transfers, promotions, changes in full-or-part-time status and approved leaves of absence impact accruals, targets and actual rewards; and</w:t>
      </w:r>
    </w:p>
    <w:p>
      <w:pPr>
        <w:spacing w:after="0" w:line="170" w:lineRule="exact"/>
        <w:rPr>
          <w:rFonts w:ascii="Arial" w:cs="Arial" w:eastAsia="Arial" w:hAnsi="Arial"/>
          <w:sz w:val="18"/>
          <w:szCs w:val="18"/>
          <w:color w:val="auto"/>
        </w:rPr>
      </w:pPr>
    </w:p>
    <w:p>
      <w:pPr>
        <w:ind w:left="2432" w:right="380" w:hanging="487"/>
        <w:spacing w:after="0" w:line="342" w:lineRule="auto"/>
        <w:tabs>
          <w:tab w:leader="none" w:pos="2439" w:val="left"/>
        </w:tabs>
        <w:numPr>
          <w:ilvl w:val="3"/>
          <w:numId w:val="168"/>
        </w:numPr>
        <w:rPr>
          <w:rFonts w:ascii="Arial" w:cs="Arial" w:eastAsia="Arial" w:hAnsi="Arial"/>
          <w:sz w:val="16"/>
          <w:szCs w:val="16"/>
          <w:color w:val="auto"/>
        </w:rPr>
      </w:pPr>
      <w:r>
        <w:rPr>
          <w:rFonts w:ascii="Arial" w:cs="Arial" w:eastAsia="Arial" w:hAnsi="Arial"/>
          <w:sz w:val="16"/>
          <w:szCs w:val="16"/>
          <w:color w:val="auto"/>
        </w:rPr>
        <w:t>Interpreting the Bonus Program document and establishing, adopting, or amending any provisions as are necessary for proper administration, consulting where appropriate with the Compensation Committee of the Board of Directors.</w:t>
      </w:r>
    </w:p>
    <w:p>
      <w:pPr>
        <w:spacing w:after="0" w:line="119" w:lineRule="exact"/>
        <w:rPr>
          <w:rFonts w:ascii="Arial" w:cs="Arial" w:eastAsia="Arial" w:hAnsi="Arial"/>
          <w:sz w:val="16"/>
          <w:szCs w:val="16"/>
          <w:color w:val="auto"/>
        </w:rPr>
      </w:pPr>
    </w:p>
    <w:p>
      <w:pPr>
        <w:ind w:left="492" w:hanging="492"/>
        <w:spacing w:after="0"/>
        <w:tabs>
          <w:tab w:leader="none" w:pos="49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Important Details:</w:t>
      </w:r>
    </w:p>
    <w:p>
      <w:pPr>
        <w:spacing w:after="0" w:line="225" w:lineRule="exact"/>
        <w:rPr>
          <w:rFonts w:ascii="Arial" w:cs="Arial" w:eastAsia="Arial" w:hAnsi="Arial"/>
          <w:sz w:val="18"/>
          <w:szCs w:val="18"/>
          <w:b w:val="1"/>
          <w:bCs w:val="1"/>
          <w:color w:val="auto"/>
        </w:rPr>
      </w:pPr>
    </w:p>
    <w:p>
      <w:pPr>
        <w:ind w:left="992" w:right="80" w:hanging="499"/>
        <w:spacing w:after="0" w:line="282" w:lineRule="auto"/>
        <w:tabs>
          <w:tab w:leader="none" w:pos="991"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Essent is an employer at will. </w:t>
      </w:r>
      <w:r>
        <w:rPr>
          <w:rFonts w:ascii="Arial" w:cs="Arial" w:eastAsia="Arial" w:hAnsi="Arial"/>
          <w:sz w:val="18"/>
          <w:szCs w:val="18"/>
          <w:color w:val="auto"/>
        </w:rPr>
        <w:t>Participation in the Bonus Program or any enhancement of the Bonus Program does not impact this fact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Neither the Bonus Program nor any future enhancement will be deemed a contract for employment.</w:t>
      </w:r>
    </w:p>
    <w:p>
      <w:pPr>
        <w:spacing w:after="0" w:line="161" w:lineRule="exact"/>
        <w:rPr>
          <w:rFonts w:ascii="Arial" w:cs="Arial" w:eastAsia="Arial" w:hAnsi="Arial"/>
          <w:sz w:val="18"/>
          <w:szCs w:val="18"/>
          <w:color w:val="auto"/>
        </w:rPr>
      </w:pPr>
    </w:p>
    <w:p>
      <w:pPr>
        <w:ind w:left="992" w:right="500" w:hanging="499"/>
        <w:spacing w:after="0" w:line="282" w:lineRule="auto"/>
        <w:tabs>
          <w:tab w:leader="none" w:pos="1001"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The Bonus Program may be amended, suspended or terminated at any time without notice </w:t>
      </w:r>
      <w:r>
        <w:rPr>
          <w:rFonts w:ascii="Arial" w:cs="Arial" w:eastAsia="Arial" w:hAnsi="Arial"/>
          <w:sz w:val="18"/>
          <w:szCs w:val="18"/>
          <w:color w:val="auto"/>
        </w:rPr>
        <w:t>upon the approval of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of Directors.</w:t>
      </w:r>
    </w:p>
    <w:p>
      <w:pPr>
        <w:sectPr>
          <w:pgSz w:w="11900" w:h="16838" w:orient="portrait"/>
          <w:cols w:equalWidth="0" w:num="1">
            <w:col w:w="11332"/>
          </w:cols>
          <w:pgMar w:left="248" w:top="125" w:right="319" w:bottom="111" w:gutter="0" w:footer="0" w:header="0"/>
        </w:sectPr>
      </w:pPr>
    </w:p>
    <w:p>
      <w:pPr>
        <w:spacing w:after="0" w:line="166" w:lineRule="exact"/>
        <w:rPr>
          <w:sz w:val="20"/>
          <w:szCs w:val="20"/>
          <w:color w:val="auto"/>
        </w:rPr>
      </w:pPr>
    </w:p>
    <w:p>
      <w:pPr>
        <w:jc w:val="center"/>
        <w:ind w:right="-71"/>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125" w:right="319" w:bottom="111" w:gutter="0" w:footer="0" w:header="0"/>
          <w:type w:val="continuous"/>
        </w:sectPr>
      </w:pPr>
    </w:p>
    <w:bookmarkStart w:id="194" w:name="page195"/>
    <w:bookmarkEnd w:id="194"/>
    <w:p>
      <w:pPr>
        <w:ind w:left="500" w:hanging="499"/>
        <w:spacing w:after="0"/>
        <w:tabs>
          <w:tab w:leader="none" w:pos="50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225" w:lineRule="exact"/>
        <w:rPr>
          <w:rFonts w:ascii="Arial" w:cs="Arial" w:eastAsia="Arial" w:hAnsi="Arial"/>
          <w:sz w:val="18"/>
          <w:szCs w:val="18"/>
          <w:color w:val="auto"/>
        </w:rPr>
      </w:pPr>
    </w:p>
    <w:p>
      <w:pPr>
        <w:ind w:left="980" w:right="400" w:hanging="500"/>
        <w:spacing w:after="0" w:line="282" w:lineRule="auto"/>
        <w:tabs>
          <w:tab w:leader="none" w:pos="98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If a Participant’s employment is terminated (voluntarily or involuntarily) </w:t>
      </w:r>
      <w:r>
        <w:rPr>
          <w:rFonts w:ascii="Arial" w:cs="Arial" w:eastAsia="Arial" w:hAnsi="Arial"/>
          <w:sz w:val="18"/>
          <w:szCs w:val="18"/>
          <w:b w:val="1"/>
          <w:bCs w:val="1"/>
          <w:color w:val="auto"/>
        </w:rPr>
        <w:t>prior to the awarding</w:t>
      </w:r>
      <w:r>
        <w:rPr>
          <w:rFonts w:ascii="Arial" w:cs="Arial" w:eastAsia="Arial" w:hAnsi="Arial"/>
          <w:sz w:val="18"/>
          <w:szCs w:val="18"/>
          <w:color w:val="auto"/>
        </w:rPr>
        <w:t xml:space="preserve"> or payment of any bonus under the Bonus Program, the Participant will not be entitled to any award or payment under the Bonus Program.</w:t>
      </w:r>
    </w:p>
    <w:p>
      <w:pPr>
        <w:spacing w:after="0" w:line="161" w:lineRule="exact"/>
        <w:rPr>
          <w:rFonts w:ascii="Arial" w:cs="Arial" w:eastAsia="Arial" w:hAnsi="Arial"/>
          <w:sz w:val="18"/>
          <w:szCs w:val="18"/>
          <w:color w:val="auto"/>
        </w:rPr>
      </w:pPr>
    </w:p>
    <w:p>
      <w:pPr>
        <w:jc w:val="both"/>
        <w:ind w:left="980" w:right="520" w:hanging="500"/>
        <w:spacing w:after="0" w:line="347" w:lineRule="auto"/>
        <w:tabs>
          <w:tab w:leader="none" w:pos="99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If a Participant’s employment is terminated (voluntarily or involuntarily) </w:t>
      </w:r>
      <w:r>
        <w:rPr>
          <w:rFonts w:ascii="Arial" w:cs="Arial" w:eastAsia="Arial" w:hAnsi="Arial"/>
          <w:sz w:val="16"/>
          <w:szCs w:val="16"/>
          <w:b w:val="1"/>
          <w:bCs w:val="1"/>
          <w:color w:val="auto"/>
        </w:rPr>
        <w:t>prior to payment</w:t>
      </w:r>
      <w:r>
        <w:rPr>
          <w:rFonts w:ascii="Arial" w:cs="Arial" w:eastAsia="Arial" w:hAnsi="Arial"/>
          <w:sz w:val="16"/>
          <w:szCs w:val="16"/>
          <w:color w:val="auto"/>
        </w:rPr>
        <w:t xml:space="preserve"> of an awarded bonus under the Bonus Program, the Participant will not be entitled to any award or payment under the Bonus Program and will forfeit any such payment.</w:t>
      </w:r>
    </w:p>
    <w:p>
      <w:pPr>
        <w:spacing w:after="0" w:line="116" w:lineRule="exact"/>
        <w:rPr>
          <w:rFonts w:ascii="Arial" w:cs="Arial" w:eastAsia="Arial" w:hAnsi="Arial"/>
          <w:sz w:val="16"/>
          <w:szCs w:val="16"/>
          <w:color w:val="auto"/>
        </w:rPr>
      </w:pPr>
    </w:p>
    <w:p>
      <w:pPr>
        <w:ind w:left="980" w:right="340" w:hanging="500"/>
        <w:spacing w:after="0" w:line="282" w:lineRule="auto"/>
        <w:tabs>
          <w:tab w:leader="none" w:pos="100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If a Participant’s employment is terminated (voluntarily or involuntarily) </w:t>
      </w:r>
      <w:r>
        <w:rPr>
          <w:rFonts w:ascii="Arial" w:cs="Arial" w:eastAsia="Arial" w:hAnsi="Arial"/>
          <w:sz w:val="18"/>
          <w:szCs w:val="18"/>
          <w:b w:val="1"/>
          <w:bCs w:val="1"/>
          <w:color w:val="auto"/>
        </w:rPr>
        <w:t>prior to the vesting</w:t>
      </w:r>
      <w:r>
        <w:rPr>
          <w:rFonts w:ascii="Arial" w:cs="Arial" w:eastAsia="Arial" w:hAnsi="Arial"/>
          <w:sz w:val="18"/>
          <w:szCs w:val="18"/>
          <w:color w:val="auto"/>
        </w:rPr>
        <w:t xml:space="preserve"> of any shares issued as a portion of an award under the Bonus Program, such shares will be forfeited by the Participant.</w:t>
      </w:r>
    </w:p>
    <w:p>
      <w:pPr>
        <w:spacing w:after="0" w:line="161" w:lineRule="exact"/>
        <w:rPr>
          <w:rFonts w:ascii="Arial" w:cs="Arial" w:eastAsia="Arial" w:hAnsi="Arial"/>
          <w:sz w:val="18"/>
          <w:szCs w:val="18"/>
          <w:color w:val="auto"/>
        </w:rPr>
      </w:pPr>
    </w:p>
    <w:p>
      <w:pPr>
        <w:ind w:left="500" w:right="200" w:hanging="499"/>
        <w:spacing w:after="0" w:line="282" w:lineRule="auto"/>
        <w:tabs>
          <w:tab w:leader="none" w:pos="509"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The Committee and the Compensation Committee retain the right </w:t>
      </w:r>
      <w:r>
        <w:rPr>
          <w:rFonts w:ascii="Arial" w:cs="Arial" w:eastAsia="Arial" w:hAnsi="Arial"/>
          <w:sz w:val="18"/>
          <w:szCs w:val="18"/>
          <w:color w:val="auto"/>
        </w:rPr>
        <w:t>to make equitable judgments with regard to the awarding, funding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of awards under the Bonus Program.</w:t>
      </w:r>
    </w:p>
    <w:p>
      <w:pPr>
        <w:spacing w:after="0" w:line="161" w:lineRule="exact"/>
        <w:rPr>
          <w:rFonts w:ascii="Arial" w:cs="Arial" w:eastAsia="Arial" w:hAnsi="Arial"/>
          <w:sz w:val="18"/>
          <w:szCs w:val="18"/>
          <w:color w:val="auto"/>
        </w:rPr>
      </w:pPr>
    </w:p>
    <w:p>
      <w:pPr>
        <w:ind w:left="500" w:right="40" w:hanging="499"/>
        <w:spacing w:after="0" w:line="282" w:lineRule="auto"/>
        <w:tabs>
          <w:tab w:leader="none" w:pos="512"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Taxes and other deductions will be withheld </w:t>
      </w:r>
      <w:r>
        <w:rPr>
          <w:rFonts w:ascii="Arial" w:cs="Arial" w:eastAsia="Arial" w:hAnsi="Arial"/>
          <w:sz w:val="18"/>
          <w:szCs w:val="18"/>
          <w:color w:val="auto"/>
        </w:rPr>
        <w:t>as required by law and in compliance with Essent’s internal policies. Cash payments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 of any Participant’s base salary.</w:t>
      </w:r>
    </w:p>
    <w:p>
      <w:pPr>
        <w:spacing w:after="0" w:line="161" w:lineRule="exact"/>
        <w:rPr>
          <w:rFonts w:ascii="Arial" w:cs="Arial" w:eastAsia="Arial" w:hAnsi="Arial"/>
          <w:sz w:val="18"/>
          <w:szCs w:val="18"/>
          <w:color w:val="auto"/>
        </w:rPr>
      </w:pPr>
    </w:p>
    <w:p>
      <w:pPr>
        <w:ind w:left="500" w:hanging="499"/>
        <w:spacing w:after="0" w:line="314" w:lineRule="auto"/>
        <w:tabs>
          <w:tab w:leader="none" w:pos="506"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Repurchase of Shares. </w:t>
      </w:r>
      <w:r>
        <w:rPr>
          <w:rFonts w:ascii="Arial" w:cs="Arial" w:eastAsia="Arial" w:hAnsi="Arial"/>
          <w:sz w:val="16"/>
          <w:szCs w:val="16"/>
          <w:color w:val="auto"/>
        </w:rPr>
        <w:t>As a condition to the receipt of shares upon vesting, the Participant will make such arrangements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may require for the satisfaction of any federal, state, local or foreign withholding obligations that may arise in connection with such shares. The Participant may satisfy the withholding requirement by making a payment in cash, or by having shares withheld from the share award.</w:t>
      </w:r>
    </w:p>
    <w:p>
      <w:pPr>
        <w:spacing w:after="0" w:line="142" w:lineRule="exact"/>
        <w:rPr>
          <w:rFonts w:ascii="Arial" w:cs="Arial" w:eastAsia="Arial" w:hAnsi="Arial"/>
          <w:sz w:val="16"/>
          <w:szCs w:val="16"/>
          <w:color w:val="auto"/>
        </w:rPr>
      </w:pPr>
    </w:p>
    <w:p>
      <w:pPr>
        <w:ind w:left="500" w:hanging="499"/>
        <w:spacing w:after="0" w:line="282" w:lineRule="auto"/>
        <w:tabs>
          <w:tab w:leader="none" w:pos="522"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401(k). </w:t>
      </w:r>
      <w:r>
        <w:rPr>
          <w:rFonts w:ascii="Arial" w:cs="Arial" w:eastAsia="Arial" w:hAnsi="Arial"/>
          <w:sz w:val="18"/>
          <w:szCs w:val="18"/>
          <w:color w:val="auto"/>
        </w:rPr>
        <w:t>Deductions for the 401(k) Savings Plan will be taken at the Participant’s deferral rate in effect at the time of payment. Any change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deferral rate must be made at least five (5) days prior to the check date. Payments subject to</w:t>
      </w:r>
    </w:p>
    <w:p>
      <w:pPr>
        <w:spacing w:after="0" w:line="1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applicable laws and regulations and 401(k) plan laws, requirements and constraints.</w:t>
      </w:r>
    </w:p>
    <w:p>
      <w:pPr>
        <w:spacing w:after="0" w:line="221" w:lineRule="exact"/>
        <w:rPr>
          <w:sz w:val="20"/>
          <w:szCs w:val="20"/>
          <w:color w:val="auto"/>
        </w:rPr>
      </w:pPr>
    </w:p>
    <w:p>
      <w:pPr>
        <w:ind w:left="500" w:right="120" w:hanging="499"/>
        <w:spacing w:after="0" w:line="282" w:lineRule="auto"/>
        <w:tabs>
          <w:tab w:leader="none" w:pos="509"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Life Insurance and Other Benefits. </w:t>
      </w:r>
      <w:r>
        <w:rPr>
          <w:rFonts w:ascii="Arial" w:cs="Arial" w:eastAsia="Arial" w:hAnsi="Arial"/>
          <w:sz w:val="18"/>
          <w:szCs w:val="18"/>
          <w:color w:val="auto"/>
        </w:rPr>
        <w:t>Participant’s base salary will remain the basis for life insurance, accidental death and disability and long</w:t>
      </w:r>
      <w:r>
        <w:rPr>
          <w:rFonts w:ascii="Arial" w:cs="Arial" w:eastAsia="Arial" w:hAnsi="Arial"/>
          <w:sz w:val="18"/>
          <w:szCs w:val="18"/>
          <w:b w:val="1"/>
          <w:bCs w:val="1"/>
          <w:color w:val="auto"/>
        </w:rPr>
        <w:t xml:space="preserve"> </w:t>
      </w:r>
      <w:r>
        <w:rPr>
          <w:rFonts w:ascii="Arial" w:cs="Arial" w:eastAsia="Arial" w:hAnsi="Arial"/>
          <w:sz w:val="18"/>
          <w:szCs w:val="18"/>
          <w:color w:val="auto"/>
        </w:rPr>
        <w:t>and short term disability. The annual bonus will not increase the level of these benefits.</w:t>
      </w:r>
    </w:p>
    <w:p>
      <w:pPr>
        <w:spacing w:after="0" w:line="161" w:lineRule="exact"/>
        <w:rPr>
          <w:rFonts w:ascii="Arial" w:cs="Arial" w:eastAsia="Arial" w:hAnsi="Arial"/>
          <w:sz w:val="18"/>
          <w:szCs w:val="18"/>
          <w:color w:val="auto"/>
        </w:rPr>
      </w:pPr>
    </w:p>
    <w:p>
      <w:pPr>
        <w:ind w:left="520" w:hanging="519"/>
        <w:spacing w:after="0"/>
        <w:tabs>
          <w:tab w:leader="none" w:pos="52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Leave of Absence. </w:t>
      </w:r>
      <w:r>
        <w:rPr>
          <w:rFonts w:ascii="Arial" w:cs="Arial" w:eastAsia="Arial" w:hAnsi="Arial"/>
          <w:sz w:val="16"/>
          <w:szCs w:val="16"/>
          <w:color w:val="auto"/>
        </w:rPr>
        <w:t>Participant’s bonus will be pro-rated for any time away from work for approved leave of absence in excess of two weeks.</w:t>
      </w:r>
    </w:p>
    <w:p>
      <w:pPr>
        <w:spacing w:after="0" w:line="248" w:lineRule="exact"/>
        <w:rPr>
          <w:rFonts w:ascii="Arial" w:cs="Arial" w:eastAsia="Arial" w:hAnsi="Arial"/>
          <w:sz w:val="16"/>
          <w:szCs w:val="16"/>
          <w:color w:val="auto"/>
        </w:rPr>
      </w:pPr>
    </w:p>
    <w:p>
      <w:pPr>
        <w:jc w:val="both"/>
        <w:ind w:left="500" w:right="60" w:hanging="499"/>
        <w:spacing w:after="0" w:line="266" w:lineRule="auto"/>
        <w:tabs>
          <w:tab w:leader="none" w:pos="509"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409A Compliance. </w:t>
      </w:r>
      <w:r>
        <w:rPr>
          <w:rFonts w:ascii="Arial" w:cs="Arial" w:eastAsia="Arial" w:hAnsi="Arial"/>
          <w:sz w:val="18"/>
          <w:szCs w:val="18"/>
          <w:color w:val="auto"/>
        </w:rPr>
        <w:t>This Bonus Program is intended to comply with the short term deferral rule set forth in the regulations under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Internal Revenue Code of 1986, as amended (“Code”) in order to avoid application of Section 409A to this Bonus Program. This Bonus Program shall be administered in accordance with Section 409A of the Code.</w:t>
      </w:r>
    </w:p>
    <w:p>
      <w:pPr>
        <w:spacing w:after="0" w:line="176" w:lineRule="exact"/>
        <w:rPr>
          <w:rFonts w:ascii="Arial" w:cs="Arial" w:eastAsia="Arial" w:hAnsi="Arial"/>
          <w:sz w:val="18"/>
          <w:szCs w:val="18"/>
          <w:color w:val="auto"/>
        </w:rPr>
      </w:pPr>
    </w:p>
    <w:p>
      <w:pPr>
        <w:ind w:left="500" w:right="160" w:hanging="499"/>
        <w:spacing w:after="0" w:line="282" w:lineRule="auto"/>
        <w:tabs>
          <w:tab w:leader="none" w:pos="509"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Conflict. </w:t>
      </w:r>
      <w:r>
        <w:rPr>
          <w:rFonts w:ascii="Arial" w:cs="Arial" w:eastAsia="Arial" w:hAnsi="Arial"/>
          <w:sz w:val="18"/>
          <w:szCs w:val="18"/>
          <w:color w:val="auto"/>
        </w:rPr>
        <w:t>In the event of a conflict between the terms of this Bonus Program and the terms of a Participant’s individual employment or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terms of the applicable employment or award agreement shall control.</w:t>
      </w:r>
    </w:p>
    <w:p>
      <w:pPr>
        <w:spacing w:after="0" w:line="161" w:lineRule="exact"/>
        <w:rPr>
          <w:rFonts w:ascii="Arial" w:cs="Arial" w:eastAsia="Arial" w:hAnsi="Arial"/>
          <w:sz w:val="18"/>
          <w:szCs w:val="18"/>
          <w:color w:val="auto"/>
        </w:rPr>
      </w:pPr>
    </w:p>
    <w:p>
      <w:pPr>
        <w:ind w:left="500" w:right="200" w:hanging="499"/>
        <w:spacing w:after="0" w:line="347" w:lineRule="auto"/>
        <w:tabs>
          <w:tab w:leader="none" w:pos="523"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Grant Notice. </w:t>
      </w:r>
      <w:r>
        <w:rPr>
          <w:rFonts w:ascii="Arial" w:cs="Arial" w:eastAsia="Arial" w:hAnsi="Arial"/>
          <w:sz w:val="16"/>
          <w:szCs w:val="16"/>
          <w:color w:val="auto"/>
        </w:rPr>
        <w:t>Each grant of shares pursuant to this Bonus Program shall be evidenced by a Restricted Stock Grant Notice</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herein as an “award agreement”) containing such terms, consistent with this Bonus Program, as the Committee shall determine.</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337" w:right="279" w:bottom="1440" w:gutter="0" w:footer="0" w:header="0"/>
        </w:sectPr>
      </w:pPr>
    </w:p>
    <w:bookmarkStart w:id="195" w:name="page196"/>
    <w:bookmarkEnd w:id="195"/>
    <w:p>
      <w:pPr>
        <w:spacing w:after="0"/>
        <w:rPr>
          <w:rFonts w:ascii="Arial" w:cs="Arial" w:eastAsia="Arial" w:hAnsi="Arial"/>
          <w:sz w:val="22"/>
          <w:szCs w:val="22"/>
          <w:color w:val="0000EE"/>
        </w:rPr>
      </w:pPr>
      <w:hyperlink w:anchor="page1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740" w:type="dxa"/>
            <w:vAlign w:val="bottom"/>
            <w:gridSpan w:val="2"/>
          </w:tcPr>
          <w:p>
            <w:pPr>
              <w:jc w:val="center"/>
              <w:ind w:right="2357"/>
              <w:spacing w:after="0"/>
              <w:rPr>
                <w:sz w:val="20"/>
                <w:szCs w:val="20"/>
                <w:color w:val="auto"/>
              </w:rPr>
            </w:pPr>
            <w:r>
              <w:rPr>
                <w:rFonts w:ascii="Arial" w:cs="Arial" w:eastAsia="Arial" w:hAnsi="Arial"/>
                <w:sz w:val="18"/>
                <w:szCs w:val="18"/>
                <w:b w:val="1"/>
                <w:bCs w:val="1"/>
                <w:color w:val="auto"/>
                <w:w w:val="88"/>
              </w:rPr>
              <w:t>Essent Group Ltd.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740" w:type="dxa"/>
            <w:vAlign w:val="bottom"/>
            <w:gridSpan w:val="2"/>
          </w:tcPr>
          <w:p>
            <w:pPr>
              <w:jc w:val="center"/>
              <w:ind w:right="2337"/>
              <w:spacing w:after="0"/>
              <w:rPr>
                <w:sz w:val="20"/>
                <w:szCs w:val="20"/>
                <w:color w:val="auto"/>
              </w:rPr>
            </w:pPr>
            <w:r>
              <w:rPr>
                <w:rFonts w:ascii="Arial" w:cs="Arial" w:eastAsia="Arial" w:hAnsi="Arial"/>
                <w:sz w:val="18"/>
                <w:szCs w:val="18"/>
                <w:b w:val="1"/>
                <w:bCs w:val="1"/>
                <w:color w:val="auto"/>
                <w:w w:val="86"/>
              </w:rPr>
              <w:t>List of Subsidiaries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4"/>
              </w:rPr>
              <w:t>Jurisdiction of</w:t>
            </w:r>
          </w:p>
        </w:tc>
        <w:tc>
          <w:tcPr>
            <w:tcW w:w="0" w:type="dxa"/>
            <w:vAlign w:val="bottom"/>
          </w:tcPr>
          <w:p>
            <w:pPr>
              <w:spacing w:after="0"/>
              <w:rPr>
                <w:sz w:val="1"/>
                <w:szCs w:val="1"/>
                <w:color w:val="auto"/>
              </w:rPr>
            </w:pPr>
          </w:p>
        </w:tc>
      </w:tr>
      <w:tr>
        <w:trPr>
          <w:trHeight w:val="161"/>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5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Incorporation/Formation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Essent Reinsurance Ltd.</w:t>
            </w:r>
          </w:p>
        </w:tc>
        <w:tc>
          <w:tcPr>
            <w:tcW w:w="5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Essent US Holdings, Inc.</w:t>
            </w:r>
          </w:p>
        </w:tc>
        <w:tc>
          <w:tcPr>
            <w:tcW w:w="5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Essent Guaranty of PA, Inc.(1)</w:t>
            </w:r>
          </w:p>
        </w:tc>
        <w:tc>
          <w:tcPr>
            <w:tcW w:w="5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8"/>
                <w:szCs w:val="18"/>
                <w:color w:val="auto"/>
              </w:rPr>
              <w:t>CUW Solutions, LLC(2)</w:t>
            </w:r>
          </w:p>
        </w:tc>
        <w:tc>
          <w:tcPr>
            <w:tcW w:w="5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Essent Guaranty, Inc.(3)</w:t>
            </w:r>
          </w:p>
        </w:tc>
        <w:tc>
          <w:tcPr>
            <w:tcW w:w="52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Pennsylvania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color w:val="auto"/>
              </w:rPr>
              <w:t>Essent Solutions, LLC(4)</w:t>
            </w:r>
          </w:p>
        </w:tc>
        <w:tc>
          <w:tcPr>
            <w:tcW w:w="5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96">
        <w:r>
          <w:rPr>
            <w:rFonts w:ascii="Arial" w:cs="Arial" w:eastAsia="Arial" w:hAnsi="Arial"/>
            <w:sz w:val="16"/>
            <w:szCs w:val="16"/>
            <w:u w:val="single" w:color="auto"/>
            <w:color w:val="0000EE"/>
          </w:rPr>
          <w:t>Exhibit 21.1</w:t>
        </w:r>
      </w:hyperlink>
    </w:p>
    <w:p>
      <w:pPr>
        <w:spacing w:after="0" w:line="248" w:lineRule="exact"/>
        <w:rPr>
          <w:sz w:val="20"/>
          <w:szCs w:val="20"/>
          <w:color w:val="auto"/>
        </w:rPr>
      </w:pPr>
    </w:p>
    <w:p>
      <w:pPr>
        <w:spacing w:after="0"/>
        <w:rPr>
          <w:rFonts w:ascii="Arial" w:cs="Arial" w:eastAsia="Arial" w:hAnsi="Arial"/>
          <w:sz w:val="16"/>
          <w:szCs w:val="16"/>
          <w:u w:val="single" w:color="auto"/>
          <w:color w:val="0000EE"/>
        </w:rPr>
      </w:pPr>
      <w:hyperlink w:anchor="page196">
        <w:r>
          <w:rPr>
            <w:rFonts w:ascii="Arial" w:cs="Arial" w:eastAsia="Arial" w:hAnsi="Arial"/>
            <w:sz w:val="16"/>
            <w:szCs w:val="16"/>
            <w:u w:val="single" w:color="auto"/>
            <w:color w:val="0000EE"/>
          </w:rPr>
          <w:t>Essent Group Ltd.</w:t>
        </w:r>
      </w:hyperlink>
    </w:p>
    <w:p>
      <w:pPr>
        <w:spacing w:after="0" w:line="38" w:lineRule="exact"/>
        <w:rPr>
          <w:sz w:val="20"/>
          <w:szCs w:val="20"/>
          <w:color w:val="auto"/>
        </w:rPr>
      </w:pPr>
    </w:p>
    <w:p>
      <w:pPr>
        <w:spacing w:after="0"/>
        <w:rPr>
          <w:rFonts w:ascii="Arial" w:cs="Arial" w:eastAsia="Arial" w:hAnsi="Arial"/>
          <w:sz w:val="16"/>
          <w:szCs w:val="16"/>
          <w:u w:val="single" w:color="auto"/>
          <w:color w:val="0000EE"/>
        </w:rPr>
      </w:pPr>
      <w:hyperlink w:anchor="page196">
        <w:r>
          <w:rPr>
            <w:rFonts w:ascii="Arial" w:cs="Arial" w:eastAsia="Arial" w:hAnsi="Arial"/>
            <w:sz w:val="16"/>
            <w:szCs w:val="16"/>
            <w:u w:val="single" w:color="auto"/>
            <w:color w:val="0000EE"/>
          </w:rPr>
          <w:t>List of Subsidiaries</w:t>
        </w:r>
      </w:hyperlink>
    </w:p>
    <w:p>
      <w:pPr>
        <w:sectPr>
          <w:pgSz w:w="11900" w:h="16838" w:orient="portrait"/>
          <w:cols w:equalWidth="0" w:num="1">
            <w:col w:w="10219"/>
          </w:cols>
          <w:pgMar w:left="240" w:top="820" w:right="1440" w:bottom="1440" w:gutter="0" w:footer="0" w:header="0"/>
        </w:sectPr>
      </w:pPr>
    </w:p>
    <w:bookmarkStart w:id="197" w:name="page198"/>
    <w:bookmarkEnd w:id="197"/>
    <w:p>
      <w:pPr>
        <w:spacing w:after="0"/>
        <w:rPr>
          <w:rFonts w:ascii="Arial" w:cs="Arial" w:eastAsia="Arial" w:hAnsi="Arial"/>
          <w:sz w:val="22"/>
          <w:szCs w:val="22"/>
          <w:color w:val="0000EE"/>
        </w:rPr>
      </w:pPr>
      <w:hyperlink w:anchor="page1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hereby consent to the incorporation by reference in the Registration Statement on Form S-8 (Registration No. 333-192092) of Essent Group Ltd. of our report dated March 7, 2014 relating to the financial statements and financial statement schedules which appear in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8">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199" w:name="page200"/>
    <w:bookmarkEnd w:id="199"/>
    <w:p>
      <w:pPr>
        <w:spacing w:after="0"/>
        <w:rPr>
          <w:rFonts w:ascii="Arial" w:cs="Arial" w:eastAsia="Arial" w:hAnsi="Arial"/>
          <w:sz w:val="22"/>
          <w:szCs w:val="22"/>
          <w:color w:val="0000EE"/>
        </w:rPr>
      </w:pPr>
      <w:hyperlink w:anchor="page2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39" w:lineRule="exact"/>
        <w:rPr>
          <w:sz w:val="20"/>
          <w:szCs w:val="20"/>
          <w:color w:val="auto"/>
        </w:rPr>
      </w:pPr>
    </w:p>
    <w:p>
      <w:pPr>
        <w:ind w:left="540" w:hanging="532"/>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52" w:lineRule="exact"/>
        <w:rPr>
          <w:rFonts w:ascii="Arial" w:cs="Arial" w:eastAsia="Arial" w:hAnsi="Arial"/>
          <w:sz w:val="18"/>
          <w:szCs w:val="18"/>
          <w:color w:val="auto"/>
        </w:rPr>
      </w:pPr>
    </w:p>
    <w:p>
      <w:pPr>
        <w:jc w:val="both"/>
        <w:ind w:left="540" w:right="100" w:hanging="532"/>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640" w:hanging="532"/>
        <w:spacing w:after="0" w:line="268"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7959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Chairman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00">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01" w:name="page202"/>
    <w:bookmarkEnd w:id="201"/>
    <w:p>
      <w:pPr>
        <w:spacing w:after="0"/>
        <w:rPr>
          <w:rFonts w:ascii="Arial" w:cs="Arial" w:eastAsia="Arial" w:hAnsi="Arial"/>
          <w:sz w:val="22"/>
          <w:szCs w:val="22"/>
          <w:color w:val="0000EE"/>
        </w:rPr>
      </w:pPr>
      <w:hyperlink w:anchor="page20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39" w:lineRule="exact"/>
        <w:rPr>
          <w:sz w:val="20"/>
          <w:szCs w:val="20"/>
          <w:color w:val="auto"/>
        </w:rPr>
      </w:pPr>
    </w:p>
    <w:p>
      <w:pPr>
        <w:ind w:left="540" w:hanging="53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52" w:lineRule="exact"/>
        <w:rPr>
          <w:rFonts w:ascii="Arial" w:cs="Arial" w:eastAsia="Arial" w:hAnsi="Arial"/>
          <w:sz w:val="18"/>
          <w:szCs w:val="18"/>
          <w:color w:val="auto"/>
        </w:rPr>
      </w:pPr>
    </w:p>
    <w:p>
      <w:pPr>
        <w:jc w:val="both"/>
        <w:ind w:left="540" w:right="10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64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61886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02">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1" w:right="1440" w:bottom="1440" w:gutter="0" w:footer="0" w:header="0"/>
        </w:sectPr>
      </w:pPr>
    </w:p>
    <w:bookmarkStart w:id="203" w:name="page204"/>
    <w:bookmarkEnd w:id="203"/>
    <w:p>
      <w:pPr>
        <w:spacing w:after="0"/>
        <w:rPr>
          <w:rFonts w:ascii="Arial" w:cs="Arial" w:eastAsia="Arial" w:hAnsi="Arial"/>
          <w:sz w:val="22"/>
          <w:szCs w:val="22"/>
          <w:color w:val="0000EE"/>
        </w:rPr>
      </w:pPr>
      <w:hyperlink w:anchor="page20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right="340"/>
        <w:spacing w:after="0" w:line="27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8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208" w:lineRule="exact"/>
        <w:rPr>
          <w:sz w:val="20"/>
          <w:szCs w:val="20"/>
          <w:color w:val="auto"/>
        </w:rPr>
      </w:pPr>
    </w:p>
    <w:p>
      <w:pPr>
        <w:ind w:left="1080" w:right="200" w:hanging="532"/>
        <w:spacing w:after="0" w:line="268"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2013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right="180" w:firstLine="548"/>
        <w:spacing w:after="0" w:line="501"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10, 2014</w:t>
      </w:r>
    </w:p>
    <w:p>
      <w:pPr>
        <w:spacing w:after="0"/>
        <w:rPr>
          <w:rFonts w:ascii="Arial" w:cs="Arial" w:eastAsia="Arial" w:hAnsi="Arial"/>
          <w:sz w:val="18"/>
          <w:szCs w:val="18"/>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7959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7959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204">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o"/>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1)"/>
      <w:numFmt w:val="lowerRoman"/>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1."/>
      <w:numFmt w:val="decimal"/>
      <w:start w:val="1"/>
    </w:lvl>
  </w:abstractNum>
  <w:abstractNum w:abstractNumId="31">
    <w:nsid w:val="3FA62ACA"/>
    <w:multiLevelType w:val="hybridMultilevel"/>
    <w:lvl w:ilvl="0">
      <w:lvlJc w:val="left"/>
      <w:lvlText w:val="(%1)"/>
      <w:numFmt w:val="decimal"/>
      <w:start w:val="1"/>
    </w:lvl>
  </w:abstractNum>
  <w:abstractNum w:abstractNumId="32">
    <w:nsid w:val="14FCE74E"/>
    <w:multiLevelType w:val="hybridMultilevel"/>
    <w:lvl w:ilvl="0">
      <w:lvlJc w:val="left"/>
      <w:lvlText w:val="(%1)"/>
      <w:numFmt w:val="decimal"/>
      <w:start w:val="1"/>
    </w:lvl>
  </w:abstractNum>
  <w:abstractNum w:abstractNumId="33">
    <w:nsid w:val="6A3DD3E8"/>
    <w:multiLevelType w:val="hybridMultilevel"/>
    <w:lvl w:ilvl="0">
      <w:lvlJc w:val="left"/>
      <w:lvlText w:val="(%1)"/>
      <w:numFmt w:val="lowerRoman"/>
      <w:start w:val="3"/>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1)"/>
      <w:numFmt w:val="decimal"/>
      <w:start w:val="2"/>
    </w:lvl>
  </w:abstractNum>
  <w:abstractNum w:abstractNumId="38">
    <w:nsid w:val="5092CA79"/>
    <w:multiLevelType w:val="hybridMultilevel"/>
    <w:lvl w:ilvl="0">
      <w:lvlJc w:val="left"/>
      <w:lvlText w:val="(%1)"/>
      <w:numFmt w:val="decimal"/>
      <w:start w:val="4"/>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1."/>
      <w:numFmt w:val="decimal"/>
      <w:start w:val="270"/>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1)"/>
      <w:numFmt w:val="decimal"/>
      <w:start w:val="1"/>
    </w:lvl>
  </w:abstractNum>
  <w:abstractNum w:abstractNumId="49">
    <w:nsid w:val="7C58FD05"/>
    <w:multiLevelType w:val="hybridMultilevel"/>
    <w:lvl w:ilvl="0">
      <w:lvlJc w:val="left"/>
      <w:lvlText w:val="(%1)"/>
      <w:numFmt w:val="decimal"/>
      <w:start w:val="1"/>
    </w:lvl>
  </w:abstractNum>
  <w:abstractNum w:abstractNumId="50">
    <w:nsid w:val="23D86AAC"/>
    <w:multiLevelType w:val="hybridMultilevel"/>
    <w:lvl w:ilvl="0">
      <w:lvlJc w:val="left"/>
      <w:lvlText w:val="(%1)"/>
      <w:numFmt w:val="decimal"/>
      <w:start w:val="1"/>
    </w:lvl>
  </w:abstractNum>
  <w:abstractNum w:abstractNumId="51">
    <w:nsid w:val="45E6D486"/>
    <w:multiLevelType w:val="hybridMultilevel"/>
    <w:lvl w:ilvl="0">
      <w:lvlJc w:val="left"/>
      <w:lvlText w:val="(%1)"/>
      <w:numFmt w:val="decimal"/>
      <w:start w:val="1"/>
    </w:lvl>
  </w:abstractNum>
  <w:abstractNum w:abstractNumId="52">
    <w:nsid w:val="5C10FE21"/>
    <w:multiLevelType w:val="hybridMultilevel"/>
    <w:lvl w:ilvl="0">
      <w:lvlJc w:val="left"/>
      <w:lvlText w:val="(%1)"/>
      <w:numFmt w:val="decimal"/>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1)"/>
      <w:numFmt w:val="decimal"/>
      <w:start w:val="1"/>
    </w:lvl>
  </w:abstractNum>
  <w:abstractNum w:abstractNumId="56">
    <w:nsid w:val="78DF6A55"/>
    <w:multiLevelType w:val="hybridMultilevel"/>
    <w:lvl w:ilvl="0">
      <w:lvlJc w:val="left"/>
      <w:lvlText w:val="(%1)"/>
      <w:numFmt w:val="decimal"/>
      <w:start w:val="1"/>
    </w:lvl>
  </w:abstractNum>
  <w:abstractNum w:abstractNumId="57">
    <w:nsid w:val="39B7AAA2"/>
    <w:multiLevelType w:val="hybridMultilevel"/>
    <w:lvl w:ilvl="0">
      <w:lvlJc w:val="left"/>
      <w:lvlText w:val="(%1)"/>
      <w:numFmt w:val="decimal"/>
      <w:start w:val="1"/>
    </w:lvl>
  </w:abstractNum>
  <w:abstractNum w:abstractNumId="58">
    <w:nsid w:val="2B0D8DBE"/>
    <w:multiLevelType w:val="hybridMultilevel"/>
    <w:lvl w:ilvl="0">
      <w:lvlJc w:val="left"/>
      <w:lvlText w:val="(%1)"/>
      <w:numFmt w:val="decimal"/>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1)"/>
      <w:numFmt w:val="lowerLetter"/>
      <w:start w:val="1"/>
    </w:lvl>
    <w:lvl w:ilvl="1">
      <w:lvlJc w:val="left"/>
      <w:lvlText w:val="%2."/>
      <w:numFmt w:val="decimal"/>
      <w:start w:val="1"/>
    </w:lvl>
  </w:abstractNum>
  <w:abstractNum w:abstractNumId="63">
    <w:nsid w:val="4C9B0904"/>
    <w:multiLevelType w:val="hybridMultilevel"/>
    <w:lvl w:ilvl="0">
      <w:lvlJc w:val="left"/>
      <w:lvlText w:val="%1."/>
      <w:numFmt w:val="decimal"/>
      <w:start w:val="1"/>
    </w:lvl>
  </w:abstractNum>
  <w:abstractNum w:abstractNumId="64">
    <w:nsid w:val="6AA7B75C"/>
    <w:multiLevelType w:val="hybridMultilevel"/>
    <w:lvl w:ilvl="0">
      <w:lvlJc w:val="left"/>
      <w:lvlText w:val="(%1)"/>
      <w:numFmt w:val="lowerLetter"/>
      <w:start w:val="1"/>
    </w:lvl>
    <w:lvl w:ilvl="1">
      <w:lvlJc w:val="left"/>
      <w:lvlText w:val="(%2)"/>
      <w:numFmt w:val="lowerRoman"/>
      <w:start w:val="1"/>
    </w:lvl>
  </w:abstractNum>
  <w:abstractNum w:abstractNumId="65">
    <w:nsid w:val="1DF029D3"/>
    <w:multiLevelType w:val="hybridMultilevel"/>
    <w:lvl w:ilvl="0">
      <w:lvlJc w:val="left"/>
      <w:lvlText w:val="%1."/>
      <w:numFmt w:val="decimal"/>
      <w:start w:val="2"/>
    </w:lvl>
  </w:abstractNum>
  <w:abstractNum w:abstractNumId="66">
    <w:nsid w:val="5675FF36"/>
    <w:multiLevelType w:val="hybridMultilevel"/>
    <w:lvl w:ilvl="0">
      <w:lvlJc w:val="left"/>
      <w:lvlText w:val="%1."/>
      <w:numFmt w:val="decimal"/>
      <w:start w:val="4"/>
    </w:lvl>
    <w:lvl w:ilvl="1">
      <w:lvlJc w:val="left"/>
      <w:lvlText w:val="(%2)"/>
      <w:numFmt w:val="lowerLetter"/>
      <w:start w:val="1"/>
    </w:lvl>
  </w:abstractNum>
  <w:abstractNum w:abstractNumId="67">
    <w:nsid w:val="3DD15094"/>
    <w:multiLevelType w:val="hybridMultilevel"/>
    <w:lvl w:ilvl="0">
      <w:lvlJc w:val="left"/>
      <w:lvlText w:val="(%1)"/>
      <w:numFmt w:val="lowerLetter"/>
      <w:start w:val="1"/>
    </w:lvl>
  </w:abstractNum>
  <w:abstractNum w:abstractNumId="68">
    <w:nsid w:val="3DB012B3"/>
    <w:multiLevelType w:val="hybridMultilevel"/>
    <w:lvl w:ilvl="0">
      <w:lvlJc w:val="left"/>
      <w:lvlText w:val="(%1)"/>
      <w:numFmt w:val="lowerLetter"/>
      <w:start w:val="3"/>
    </w:lvl>
  </w:abstractNum>
  <w:abstractNum w:abstractNumId="69">
    <w:nsid w:val="2708C9AF"/>
    <w:multiLevelType w:val="hybridMultilevel"/>
    <w:lvl w:ilvl="0">
      <w:lvlJc w:val="left"/>
      <w:lvlText w:val="%1."/>
      <w:numFmt w:val="decimal"/>
      <w:start w:val="5"/>
    </w:lvl>
  </w:abstractNum>
  <w:abstractNum w:abstractNumId="70">
    <w:nsid w:val="5B25ACE2"/>
    <w:multiLevelType w:val="hybridMultilevel"/>
    <w:lvl w:ilvl="0">
      <w:lvlJc w:val="left"/>
      <w:lvlText w:val="%1."/>
      <w:numFmt w:val="decimal"/>
      <w:start w:val="6"/>
    </w:lvl>
  </w:abstractNum>
  <w:abstractNum w:abstractNumId="71">
    <w:nsid w:val="175DFCF0"/>
    <w:multiLevelType w:val="hybridMultilevel"/>
    <w:lvl w:ilvl="0">
      <w:lvlJc w:val="left"/>
      <w:lvlText w:val="%1."/>
      <w:numFmt w:val="decimal"/>
      <w:start w:val="7"/>
    </w:lvl>
  </w:abstractNum>
  <w:abstractNum w:abstractNumId="72">
    <w:nsid w:val="4F97E3E4"/>
    <w:multiLevelType w:val="hybridMultilevel"/>
    <w:lvl w:ilvl="0">
      <w:lvlJc w:val="left"/>
      <w:lvlText w:val="(%1)"/>
      <w:numFmt w:val="lowerLetter"/>
      <w:start w:val="1"/>
    </w:lvl>
  </w:abstractNum>
  <w:abstractNum w:abstractNumId="73">
    <w:nsid w:val="53B0A9E"/>
    <w:multiLevelType w:val="hybridMultilevel"/>
    <w:lvl w:ilvl="0">
      <w:lvlJc w:val="left"/>
      <w:lvlText w:val="%1."/>
      <w:numFmt w:val="decimal"/>
      <w:start w:val="8"/>
    </w:lvl>
  </w:abstractNum>
  <w:abstractNum w:abstractNumId="74">
    <w:nsid w:val="34FD6B4F"/>
    <w:multiLevelType w:val="hybridMultilevel"/>
    <w:lvl w:ilvl="0">
      <w:lvlJc w:val="left"/>
      <w:lvlText w:val="%1."/>
      <w:numFmt w:val="decimal"/>
      <w:start w:val="9"/>
    </w:lvl>
  </w:abstractNum>
  <w:abstractNum w:abstractNumId="75">
    <w:nsid w:val="5915FF32"/>
    <w:multiLevelType w:val="hybridMultilevel"/>
    <w:lvl w:ilvl="0">
      <w:lvlJc w:val="left"/>
      <w:lvlText w:val="%1."/>
      <w:numFmt w:val="decimal"/>
      <w:start w:val="12"/>
    </w:lvl>
  </w:abstractNum>
  <w:abstractNum w:abstractNumId="76">
    <w:nsid w:val="56438D15"/>
    <w:multiLevelType w:val="hybridMultilevel"/>
    <w:lvl w:ilvl="0">
      <w:lvlJc w:val="left"/>
      <w:lvlText w:val="%1."/>
      <w:numFmt w:val="decimal"/>
      <w:start w:val="13"/>
    </w:lvl>
  </w:abstractNum>
  <w:abstractNum w:abstractNumId="77">
    <w:nsid w:val="519E3149"/>
    <w:multiLevelType w:val="hybridMultilevel"/>
    <w:lvl w:ilvl="0">
      <w:lvlJc w:val="left"/>
      <w:lvlText w:val="%1."/>
      <w:numFmt w:val="decimal"/>
      <w:start w:val="15"/>
    </w:lvl>
  </w:abstractNum>
  <w:abstractNum w:abstractNumId="78">
    <w:nsid w:val="2C6E4AFD"/>
    <w:multiLevelType w:val="hybridMultilevel"/>
    <w:lvl w:ilvl="0">
      <w:lvlJc w:val="left"/>
      <w:lvlText w:val="%1."/>
      <w:numFmt w:val="decimal"/>
      <w:start w:val="17"/>
    </w:lvl>
  </w:abstractNum>
  <w:abstractNum w:abstractNumId="79">
    <w:nsid w:val="17A1B582"/>
    <w:multiLevelType w:val="hybridMultilevel"/>
    <w:lvl w:ilvl="0">
      <w:lvlJc w:val="left"/>
      <w:lvlText w:val="%1."/>
      <w:numFmt w:val="decimal"/>
      <w:start w:val="18"/>
    </w:lvl>
  </w:abstractNum>
  <w:abstractNum w:abstractNumId="80">
    <w:nsid w:val="4DF72E4E"/>
    <w:multiLevelType w:val="hybridMultilevel"/>
    <w:lvl w:ilvl="0">
      <w:lvlJc w:val="left"/>
      <w:lvlText w:val="%1."/>
      <w:numFmt w:val="decimal"/>
      <w:start w:val="19"/>
    </w:lvl>
  </w:abstractNum>
  <w:abstractNum w:abstractNumId="81">
    <w:nsid w:val="5046B5A9"/>
    <w:multiLevelType w:val="hybridMultilevel"/>
    <w:lvl w:ilvl="0">
      <w:lvlJc w:val="left"/>
      <w:lvlText w:val="%1."/>
      <w:numFmt w:val="decimal"/>
      <w:start w:val="23"/>
    </w:lvl>
    <w:lvl w:ilvl="1">
      <w:lvlJc w:val="left"/>
      <w:lvlText w:val="(%2)"/>
      <w:numFmt w:val="lowerLetter"/>
      <w:start w:val="1"/>
    </w:lvl>
  </w:abstractNum>
  <w:abstractNum w:abstractNumId="82">
    <w:nsid w:val="5D888A08"/>
    <w:multiLevelType w:val="hybridMultilevel"/>
    <w:lvl w:ilvl="0">
      <w:lvlJc w:val="left"/>
      <w:lvlText w:val="(%1)"/>
      <w:numFmt w:val="lowerLetter"/>
      <w:start w:val="4"/>
    </w:lvl>
  </w:abstractNum>
  <w:abstractNum w:abstractNumId="83">
    <w:nsid w:val="2A082C70"/>
    <w:multiLevelType w:val="hybridMultilevel"/>
    <w:lvl w:ilvl="0">
      <w:lvlJc w:val="left"/>
      <w:lvlText w:val="%1."/>
      <w:numFmt w:val="decimal"/>
      <w:start w:val="24"/>
    </w:lvl>
    <w:lvl w:ilvl="1">
      <w:lvlJc w:val="left"/>
      <w:lvlText w:val="(%2)"/>
      <w:numFmt w:val="lowerLetter"/>
      <w:start w:val="1"/>
    </w:lvl>
  </w:abstractNum>
  <w:abstractNum w:abstractNumId="84">
    <w:nsid w:val="5EC6AFD4"/>
    <w:multiLevelType w:val="hybridMultilevel"/>
    <w:lvl w:ilvl="0">
      <w:lvlJc w:val="left"/>
      <w:lvlText w:val="(%1)"/>
      <w:numFmt w:val="lowerLetter"/>
      <w:start w:val="3"/>
    </w:lvl>
    <w:lvl w:ilvl="1">
      <w:lvlJc w:val="left"/>
      <w:lvlText w:val="(%2)"/>
      <w:numFmt w:val="lowerRoman"/>
      <w:start w:val="1"/>
    </w:lvl>
  </w:abstractNum>
  <w:abstractNum w:abstractNumId="85">
    <w:nsid w:val="19E21BB2"/>
    <w:multiLevelType w:val="hybridMultilevel"/>
    <w:lvl w:ilvl="0">
      <w:lvlJc w:val="left"/>
      <w:lvlText w:val="(%1)"/>
      <w:numFmt w:val="lowerRoman"/>
      <w:start w:val="4"/>
    </w:lvl>
  </w:abstractNum>
  <w:abstractNum w:abstractNumId="86">
    <w:nsid w:val="75E0858A"/>
    <w:multiLevelType w:val="hybridMultilevel"/>
    <w:lvl w:ilvl="0">
      <w:lvlJc w:val="left"/>
      <w:lvlText w:val="(%1)"/>
      <w:numFmt w:val="lowerLetter"/>
      <w:start w:val="4"/>
    </w:lvl>
  </w:abstractNum>
  <w:abstractNum w:abstractNumId="87">
    <w:nsid w:val="57A61A29"/>
    <w:multiLevelType w:val="hybridMultilevel"/>
    <w:lvl w:ilvl="0">
      <w:lvlJc w:val="left"/>
      <w:lvlText w:val="(%1)"/>
      <w:numFmt w:val="lowerLetter"/>
      <w:start w:val="1"/>
    </w:lvl>
  </w:abstractNum>
  <w:abstractNum w:abstractNumId="88">
    <w:nsid w:val="5399C654"/>
    <w:multiLevelType w:val="hybridMultilevel"/>
    <w:lvl w:ilvl="0">
      <w:lvlJc w:val="left"/>
      <w:lvlText w:val="(%1)"/>
      <w:numFmt w:val="lowerLetter"/>
      <w:start w:val="4"/>
    </w:lvl>
  </w:abstractNum>
  <w:abstractNum w:abstractNumId="89">
    <w:nsid w:val="20EE1348"/>
    <w:multiLevelType w:val="hybridMultilevel"/>
    <w:lvl w:ilvl="0">
      <w:lvlJc w:val="left"/>
      <w:lvlText w:val="(%1)"/>
      <w:numFmt w:val="lowerLetter"/>
      <w:start w:val="1"/>
    </w:lvl>
  </w:abstractNum>
  <w:abstractNum w:abstractNumId="90">
    <w:nsid w:val="4427069A"/>
    <w:multiLevelType w:val="hybridMultilevel"/>
    <w:lvl w:ilvl="0">
      <w:lvlJc w:val="left"/>
      <w:lvlText w:val="(%1)"/>
      <w:numFmt w:val="lowerLetter"/>
      <w:start w:val="2"/>
    </w:lvl>
  </w:abstractNum>
  <w:abstractNum w:abstractNumId="91">
    <w:nsid w:val="B37E80A"/>
    <w:multiLevelType w:val="hybridMultilevel"/>
    <w:lvl w:ilvl="0">
      <w:lvlJc w:val="left"/>
      <w:lvlText w:val="%1."/>
      <w:numFmt w:val="decimal"/>
      <w:start w:val="25"/>
    </w:lvl>
  </w:abstractNum>
  <w:abstractNum w:abstractNumId="92">
    <w:nsid w:val="2157F6BC"/>
    <w:multiLevelType w:val="hybridMultilevel"/>
    <w:lvl w:ilvl="0">
      <w:lvlJc w:val="left"/>
      <w:lvlText w:val="%1."/>
      <w:numFmt w:val="decimal"/>
      <w:start w:val="27"/>
    </w:lvl>
  </w:abstractNum>
  <w:abstractNum w:abstractNumId="93">
    <w:nsid w:val="704E1DD5"/>
    <w:multiLevelType w:val="hybridMultilevel"/>
    <w:lvl w:ilvl="0">
      <w:lvlJc w:val="left"/>
      <w:lvlText w:val="%1."/>
      <w:numFmt w:val="decimal"/>
      <w:start w:val="29"/>
    </w:lvl>
  </w:abstractNum>
  <w:abstractNum w:abstractNumId="94">
    <w:nsid w:val="57D2F10E"/>
    <w:multiLevelType w:val="hybridMultilevel"/>
    <w:lvl w:ilvl="0">
      <w:lvlJc w:val="left"/>
      <w:lvlText w:val="%1."/>
      <w:numFmt w:val="decimal"/>
      <w:start w:val="30"/>
    </w:lvl>
    <w:lvl w:ilvl="1">
      <w:lvlJc w:val="left"/>
      <w:lvlText w:val="(%2)"/>
      <w:numFmt w:val="lowerLetter"/>
      <w:start w:val="1"/>
    </w:lvl>
  </w:abstractNum>
  <w:abstractNum w:abstractNumId="95">
    <w:nsid w:val="BFFAE18"/>
    <w:multiLevelType w:val="hybridMultilevel"/>
    <w:lvl w:ilvl="0">
      <w:lvlJc w:val="left"/>
      <w:lvlText w:val="%1."/>
      <w:numFmt w:val="decimal"/>
      <w:start w:val="31"/>
    </w:lvl>
  </w:abstractNum>
  <w:abstractNum w:abstractNumId="96">
    <w:nsid w:val="E3E47A8"/>
    <w:multiLevelType w:val="hybridMultilevel"/>
    <w:lvl w:ilvl="0">
      <w:lvlJc w:val="left"/>
      <w:lvlText w:val="%1."/>
      <w:numFmt w:val="decimal"/>
      <w:start w:val="33"/>
    </w:lvl>
  </w:abstractNum>
  <w:abstractNum w:abstractNumId="97">
    <w:nsid w:val="2E48F044"/>
    <w:multiLevelType w:val="hybridMultilevel"/>
    <w:lvl w:ilvl="0">
      <w:lvlJc w:val="left"/>
      <w:lvlText w:val="%1."/>
      <w:numFmt w:val="decimal"/>
      <w:start w:val="34"/>
    </w:lvl>
  </w:abstractNum>
  <w:abstractNum w:abstractNumId="98">
    <w:nsid w:val="49D0FEAC"/>
    <w:multiLevelType w:val="hybridMultilevel"/>
    <w:lvl w:ilvl="0">
      <w:lvlJc w:val="left"/>
      <w:lvlText w:val="%1."/>
      <w:numFmt w:val="decimal"/>
      <w:start w:val="36"/>
    </w:lvl>
  </w:abstractNum>
  <w:abstractNum w:abstractNumId="99">
    <w:nsid w:val="4BEE5A5B"/>
    <w:multiLevelType w:val="hybridMultilevel"/>
    <w:lvl w:ilvl="0">
      <w:lvlJc w:val="left"/>
      <w:lvlText w:val="%1."/>
      <w:numFmt w:val="decimal"/>
      <w:start w:val="38"/>
    </w:lvl>
  </w:abstractNum>
  <w:abstractNum w:abstractNumId="100">
    <w:nsid w:val="5551B9F3"/>
    <w:multiLevelType w:val="hybridMultilevel"/>
    <w:lvl w:ilvl="0">
      <w:lvlJc w:val="left"/>
      <w:lvlText w:val="%1."/>
      <w:numFmt w:val="decimal"/>
      <w:start w:val="39"/>
    </w:lvl>
  </w:abstractNum>
  <w:abstractNum w:abstractNumId="101">
    <w:nsid w:val="24F6AB8E"/>
    <w:multiLevelType w:val="hybridMultilevel"/>
    <w:lvl w:ilvl="0">
      <w:lvlJc w:val="left"/>
      <w:lvlText w:val="%1."/>
      <w:numFmt w:val="decimal"/>
      <w:start w:val="40"/>
    </w:lvl>
  </w:abstractNum>
  <w:abstractNum w:abstractNumId="102">
    <w:nsid w:val="634C574C"/>
    <w:multiLevelType w:val="hybridMultilevel"/>
    <w:lvl w:ilvl="0">
      <w:lvlJc w:val="left"/>
      <w:lvlText w:val="(%1)"/>
      <w:numFmt w:val="lowerLetter"/>
      <w:start w:val="1"/>
    </w:lvl>
  </w:abstractNum>
  <w:abstractNum w:abstractNumId="103">
    <w:nsid w:val="24E99DD7"/>
    <w:multiLevelType w:val="hybridMultilevel"/>
    <w:lvl w:ilvl="0">
      <w:lvlJc w:val="left"/>
      <w:lvlText w:val="%1."/>
      <w:numFmt w:val="decimal"/>
      <w:start w:val="41"/>
    </w:lvl>
  </w:abstractNum>
  <w:abstractNum w:abstractNumId="104">
    <w:nsid w:val="2A31B62D"/>
    <w:multiLevelType w:val="hybridMultilevel"/>
    <w:lvl w:ilvl="0">
      <w:lvlJc w:val="left"/>
      <w:lvlText w:val="(%1)"/>
      <w:numFmt w:val="lowerLetter"/>
      <w:start w:val="1"/>
    </w:lvl>
  </w:abstractNum>
  <w:abstractNum w:abstractNumId="105">
    <w:nsid w:val="1849C29B"/>
    <w:multiLevelType w:val="hybridMultilevel"/>
    <w:lvl w:ilvl="0">
      <w:lvlJc w:val="left"/>
      <w:lvlText w:val="%1."/>
      <w:numFmt w:val="decimal"/>
      <w:start w:val="42"/>
    </w:lvl>
  </w:abstractNum>
  <w:abstractNum w:abstractNumId="106">
    <w:nsid w:val="7DFF9D09"/>
    <w:multiLevelType w:val="hybridMultilevel"/>
    <w:lvl w:ilvl="0">
      <w:lvlJc w:val="left"/>
      <w:lvlText w:val="%1."/>
      <w:numFmt w:val="decimal"/>
      <w:start w:val="43"/>
    </w:lvl>
  </w:abstractNum>
  <w:abstractNum w:abstractNumId="107">
    <w:nsid w:val="754342"/>
    <w:multiLevelType w:val="hybridMultilevel"/>
    <w:lvl w:ilvl="0">
      <w:lvlJc w:val="left"/>
      <w:lvlText w:val="%1."/>
      <w:numFmt w:val="decimal"/>
      <w:start w:val="44"/>
    </w:lvl>
  </w:abstractNum>
  <w:abstractNum w:abstractNumId="108">
    <w:nsid w:val="69E7F3E5"/>
    <w:multiLevelType w:val="hybridMultilevel"/>
    <w:lvl w:ilvl="0">
      <w:lvlJc w:val="left"/>
      <w:lvlText w:val="%1."/>
      <w:numFmt w:val="decimal"/>
      <w:start w:val="45"/>
    </w:lvl>
  </w:abstractNum>
  <w:abstractNum w:abstractNumId="109">
    <w:nsid w:val="2A6DE806"/>
    <w:multiLevelType w:val="hybridMultilevel"/>
    <w:lvl w:ilvl="0">
      <w:lvlJc w:val="left"/>
      <w:lvlText w:val="%1."/>
      <w:numFmt w:val="decimal"/>
      <w:start w:val="46"/>
    </w:lvl>
  </w:abstractNum>
  <w:abstractNum w:abstractNumId="110">
    <w:nsid w:val="1816F8C4"/>
    <w:multiLevelType w:val="hybridMultilevel"/>
    <w:lvl w:ilvl="0">
      <w:lvlJc w:val="left"/>
      <w:lvlText w:val="%1."/>
      <w:numFmt w:val="decimal"/>
      <w:start w:val="49"/>
    </w:lvl>
  </w:abstractNum>
  <w:abstractNum w:abstractNumId="111">
    <w:nsid w:val="37DF2233"/>
    <w:multiLevelType w:val="hybridMultilevel"/>
    <w:lvl w:ilvl="0">
      <w:lvlJc w:val="left"/>
      <w:lvlText w:val="%1."/>
      <w:numFmt w:val="decimal"/>
      <w:start w:val="50"/>
    </w:lvl>
    <w:lvl w:ilvl="1">
      <w:lvlJc w:val="left"/>
      <w:lvlText w:val="(%2)"/>
      <w:numFmt w:val="lowerLetter"/>
      <w:start w:val="1"/>
    </w:lvl>
  </w:abstractNum>
  <w:abstractNum w:abstractNumId="112">
    <w:nsid w:val="7AB49DAF"/>
    <w:multiLevelType w:val="hybridMultilevel"/>
    <w:lvl w:ilvl="0">
      <w:lvlJc w:val="left"/>
      <w:lvlText w:val="(%1)"/>
      <w:numFmt w:val="lowerLetter"/>
      <w:start w:val="1"/>
    </w:lvl>
  </w:abstractNum>
  <w:abstractNum w:abstractNumId="113">
    <w:nsid w:val="759F82CD"/>
    <w:multiLevelType w:val="hybridMultilevel"/>
    <w:lvl w:ilvl="0">
      <w:lvlJc w:val="left"/>
      <w:lvlText w:val="%1."/>
      <w:numFmt w:val="decimal"/>
      <w:start w:val="51"/>
    </w:lvl>
  </w:abstractNum>
  <w:abstractNum w:abstractNumId="114">
    <w:nsid w:val="61E74EA3"/>
    <w:multiLevelType w:val="hybridMultilevel"/>
    <w:lvl w:ilvl="0">
      <w:lvlJc w:val="left"/>
      <w:lvlText w:val="%1."/>
      <w:numFmt w:val="decimal"/>
      <w:start w:val="53"/>
    </w:lvl>
    <w:lvl w:ilvl="1">
      <w:lvlJc w:val="left"/>
      <w:lvlText w:val="(%2)"/>
      <w:numFmt w:val="lowerLetter"/>
      <w:start w:val="1"/>
    </w:lvl>
  </w:abstractNum>
  <w:abstractNum w:abstractNumId="115">
    <w:nsid w:val="597B4D84"/>
    <w:multiLevelType w:val="hybridMultilevel"/>
    <w:lvl w:ilvl="0">
      <w:lvlJc w:val="left"/>
      <w:lvlText w:val="(%1)"/>
      <w:numFmt w:val="lowerLetter"/>
      <w:start w:val="3"/>
    </w:lvl>
  </w:abstractNum>
  <w:abstractNum w:abstractNumId="116">
    <w:nsid w:val="F819E7F"/>
    <w:multiLevelType w:val="hybridMultilevel"/>
    <w:lvl w:ilvl="0">
      <w:lvlJc w:val="left"/>
      <w:lvlText w:val="%1"/>
      <w:numFmt w:val="decimal"/>
      <w:start w:val="1"/>
    </w:lvl>
    <w:lvl w:ilvl="1">
      <w:lvlJc w:val="left"/>
      <w:lvlText w:val="(%2)"/>
      <w:numFmt w:val="lowerLetter"/>
      <w:start w:val="6"/>
    </w:lvl>
  </w:abstractNum>
  <w:abstractNum w:abstractNumId="117">
    <w:nsid w:val="57C7D42D"/>
    <w:multiLevelType w:val="hybridMultilevel"/>
    <w:lvl w:ilvl="0">
      <w:lvlJc w:val="left"/>
      <w:lvlText w:val="%1."/>
      <w:numFmt w:val="decimal"/>
      <w:start w:val="55"/>
    </w:lvl>
    <w:lvl w:ilvl="1">
      <w:lvlJc w:val="left"/>
      <w:lvlText w:val="%2"/>
      <w:numFmt w:val="lowerLetter"/>
      <w:start w:val="1"/>
    </w:lvl>
  </w:abstractNum>
  <w:abstractNum w:abstractNumId="118">
    <w:nsid w:val="312167AD"/>
    <w:multiLevelType w:val="hybridMultilevel"/>
    <w:lvl w:ilvl="0">
      <w:lvlJc w:val="left"/>
      <w:lvlText w:val="%1."/>
      <w:numFmt w:val="decimal"/>
      <w:start w:val="56"/>
    </w:lvl>
  </w:abstractNum>
  <w:abstractNum w:abstractNumId="119">
    <w:nsid w:val="631B64D4"/>
    <w:multiLevelType w:val="hybridMultilevel"/>
    <w:lvl w:ilvl="0">
      <w:lvlJc w:val="left"/>
      <w:lvlText w:val="%1."/>
      <w:numFmt w:val="decimal"/>
      <w:start w:val="61"/>
    </w:lvl>
  </w:abstractNum>
  <w:abstractNum w:abstractNumId="120">
    <w:nsid w:val="78B5E776"/>
    <w:multiLevelType w:val="hybridMultilevel"/>
    <w:lvl w:ilvl="0">
      <w:lvlJc w:val="left"/>
      <w:lvlText w:val="%1."/>
      <w:numFmt w:val="decimal"/>
      <w:start w:val="62"/>
    </w:lvl>
  </w:abstractNum>
  <w:abstractNum w:abstractNumId="121">
    <w:nsid w:val="75486E47"/>
    <w:multiLevelType w:val="hybridMultilevel"/>
    <w:lvl w:ilvl="0">
      <w:lvlJc w:val="left"/>
      <w:lvlText w:val="%1."/>
      <w:numFmt w:val="decimal"/>
      <w:start w:val="64"/>
    </w:lvl>
  </w:abstractNum>
  <w:abstractNum w:abstractNumId="122">
    <w:nsid w:val="6E534CDE"/>
    <w:multiLevelType w:val="hybridMultilevel"/>
    <w:lvl w:ilvl="0">
      <w:lvlJc w:val="left"/>
      <w:lvlText w:val="%1."/>
      <w:numFmt w:val="decimal"/>
      <w:start w:val="66"/>
    </w:lvl>
  </w:abstractNum>
  <w:abstractNum w:abstractNumId="123">
    <w:nsid w:val="1A0DDE32"/>
    <w:multiLevelType w:val="hybridMultilevel"/>
    <w:lvl w:ilvl="0">
      <w:lvlJc w:val="left"/>
      <w:lvlText w:val="%1."/>
      <w:numFmt w:val="decimal"/>
      <w:start w:val="69"/>
    </w:lvl>
  </w:abstractNum>
  <w:abstractNum w:abstractNumId="124">
    <w:nsid w:val="65968C1C"/>
    <w:multiLevelType w:val="hybridMultilevel"/>
    <w:lvl w:ilvl="0">
      <w:lvlJc w:val="left"/>
      <w:lvlText w:val="%1."/>
      <w:numFmt w:val="decimal"/>
      <w:start w:val="70"/>
    </w:lvl>
    <w:lvl w:ilvl="1">
      <w:lvlJc w:val="left"/>
      <w:lvlText w:val="(%2)"/>
      <w:numFmt w:val="lowerLetter"/>
      <w:start w:val="1"/>
    </w:lvl>
  </w:abstractNum>
  <w:abstractNum w:abstractNumId="125">
    <w:nsid w:val="46263DEC"/>
    <w:multiLevelType w:val="hybridMultilevel"/>
    <w:lvl w:ilvl="0">
      <w:lvlJc w:val="left"/>
      <w:lvlText w:val="%1."/>
      <w:numFmt w:val="decimal"/>
      <w:start w:val="73"/>
    </w:lvl>
    <w:lvl w:ilvl="1">
      <w:lvlJc w:val="left"/>
      <w:lvlText w:val="(%2)"/>
      <w:numFmt w:val="lowerLetter"/>
      <w:start w:val="1"/>
    </w:lvl>
  </w:abstractNum>
  <w:abstractNum w:abstractNumId="126">
    <w:nsid w:val="260D8C4A"/>
    <w:multiLevelType w:val="hybridMultilevel"/>
    <w:lvl w:ilvl="0">
      <w:lvlJc w:val="left"/>
      <w:lvlText w:val="%1."/>
      <w:numFmt w:val="decimal"/>
      <w:start w:val="74"/>
    </w:lvl>
  </w:abstractNum>
  <w:abstractNum w:abstractNumId="127">
    <w:nsid w:val="73D4D3C4"/>
    <w:multiLevelType w:val="hybridMultilevel"/>
    <w:lvl w:ilvl="0">
      <w:lvlJc w:val="left"/>
      <w:lvlText w:val="%1."/>
      <w:numFmt w:val="decimal"/>
      <w:start w:val="75"/>
    </w:lvl>
  </w:abstractNum>
  <w:abstractNum w:abstractNumId="128">
    <w:nsid w:val="746F2E30"/>
    <w:multiLevelType w:val="hybridMultilevel"/>
    <w:lvl w:ilvl="0">
      <w:lvlJc w:val="left"/>
      <w:lvlText w:val="%1."/>
      <w:numFmt w:val="decimal"/>
      <w:start w:val="77"/>
    </w:lvl>
  </w:abstractNum>
  <w:abstractNum w:abstractNumId="129">
    <w:nsid w:val="6FDE8AF6"/>
    <w:multiLevelType w:val="hybridMultilevel"/>
    <w:lvl w:ilvl="0">
      <w:lvlJc w:val="left"/>
      <w:lvlText w:val="%1."/>
      <w:numFmt w:val="decimal"/>
      <w:start w:val="81"/>
    </w:lvl>
  </w:abstractNum>
  <w:abstractNum w:abstractNumId="130">
    <w:nsid w:val="3FC32E20"/>
    <w:multiLevelType w:val="hybridMultilevel"/>
    <w:lvl w:ilvl="0">
      <w:lvlJc w:val="left"/>
      <w:lvlText w:val="%1."/>
      <w:numFmt w:val="decimal"/>
      <w:start w:val="83"/>
    </w:lvl>
  </w:abstractNum>
  <w:abstractNum w:abstractNumId="131">
    <w:nsid w:val="49C0E823"/>
    <w:multiLevelType w:val="hybridMultilevel"/>
    <w:lvl w:ilvl="0">
      <w:lvlJc w:val="left"/>
      <w:lvlText w:val="(%1)"/>
      <w:numFmt w:val="lowerRoman"/>
      <w:start w:val="1"/>
    </w:lvl>
  </w:abstractNum>
  <w:abstractNum w:abstractNumId="132">
    <w:nsid w:val="14D53685"/>
    <w:multiLevelType w:val="hybridMultilevel"/>
    <w:lvl w:ilvl="0">
      <w:lvlJc w:val="left"/>
      <w:lvlText w:val="%1"/>
      <w:numFmt w:val="lowerLetter"/>
      <w:start w:val="1"/>
    </w:lvl>
    <w:lvl w:ilvl="1">
      <w:lvlJc w:val="left"/>
      <w:lvlText w:val="(%2)"/>
      <w:numFmt w:val="lowerLetter"/>
      <w:start w:val="35"/>
    </w:lvl>
  </w:abstractNum>
  <w:abstractNum w:abstractNumId="133">
    <w:nsid w:val="230F856C"/>
    <w:multiLevelType w:val="hybridMultilevel"/>
    <w:lvl w:ilvl="0">
      <w:lvlJc w:val="left"/>
      <w:lvlText w:val="(%1)"/>
      <w:numFmt w:val="lowerLetter"/>
      <w:start w:val="2"/>
    </w:lvl>
    <w:lvl w:ilvl="1">
      <w:lvlJc w:val="left"/>
      <w:lvlText w:val="%2"/>
      <w:numFmt w:val="lowerLetter"/>
      <w:start w:val="1"/>
    </w:lvl>
  </w:abstractNum>
  <w:abstractNum w:abstractNumId="134">
    <w:nsid w:val="6EAA85FB"/>
    <w:multiLevelType w:val="hybridMultilevel"/>
    <w:lvl w:ilvl="0">
      <w:lvlJc w:val="left"/>
      <w:lvlText w:val="(%1)"/>
      <w:numFmt w:val="lowerRoman"/>
      <w:start w:val="1"/>
    </w:lvl>
    <w:lvl w:ilvl="1">
      <w:lvlJc w:val="left"/>
      <w:lvlText w:val="(%2)"/>
      <w:numFmt w:val="lowerLetter"/>
      <w:start w:val="1"/>
    </w:lvl>
  </w:abstractNum>
  <w:abstractNum w:abstractNumId="135">
    <w:nsid w:val="3F06ECB2"/>
    <w:multiLevelType w:val="hybridMultilevel"/>
    <w:lvl w:ilvl="0">
      <w:lvlJc w:val="left"/>
      <w:lvlText w:val="(%1)"/>
      <w:numFmt w:val="lowerLetter"/>
      <w:start w:val="3"/>
    </w:lvl>
  </w:abstractNum>
  <w:abstractNum w:abstractNumId="136">
    <w:nsid w:val="3B594807"/>
    <w:multiLevelType w:val="hybridMultilevel"/>
    <w:lvl w:ilvl="0">
      <w:lvlJc w:val="left"/>
      <w:lvlText w:val="(%1)"/>
      <w:numFmt w:val="lowerLetter"/>
      <w:start w:val="3"/>
    </w:lvl>
    <w:lvl w:ilvl="1">
      <w:lvlJc w:val="left"/>
      <w:lvlText w:val="(%2)"/>
      <w:numFmt w:val="lowerRoman"/>
      <w:start w:val="1"/>
    </w:lvl>
  </w:abstractNum>
  <w:abstractNum w:abstractNumId="137">
    <w:nsid w:val="6CAA2304"/>
    <w:multiLevelType w:val="hybridMultilevel"/>
    <w:lvl w:ilvl="0">
      <w:lvlJc w:val="left"/>
      <w:lvlText w:val="(%1)"/>
      <w:numFmt w:val="lowerLetter"/>
      <w:start w:val="1"/>
    </w:lvl>
  </w:abstractNum>
  <w:abstractNum w:abstractNumId="138">
    <w:nsid w:val="3F7C2FF4"/>
    <w:multiLevelType w:val="hybridMultilevel"/>
    <w:lvl w:ilvl="0">
      <w:lvlJc w:val="left"/>
      <w:lvlText w:val="(%1)"/>
      <w:numFmt w:val="lowerLetter"/>
      <w:start w:val="2"/>
    </w:lvl>
  </w:abstractNum>
  <w:abstractNum w:abstractNumId="139">
    <w:nsid w:val="25413BEC"/>
    <w:multiLevelType w:val="hybridMultilevel"/>
    <w:lvl w:ilvl="0">
      <w:lvlJc w:val="left"/>
      <w:lvlText w:val="(%1)"/>
      <w:numFmt w:val="lowerLetter"/>
      <w:start w:val="3"/>
    </w:lvl>
  </w:abstractNum>
  <w:abstractNum w:abstractNumId="140">
    <w:nsid w:val="17180B0B"/>
    <w:multiLevelType w:val="hybridMultilevel"/>
    <w:lvl w:ilvl="0">
      <w:lvlJc w:val="left"/>
      <w:lvlText w:val="(%1)"/>
      <w:numFmt w:val="lowerLetter"/>
      <w:start w:val="4"/>
    </w:lvl>
  </w:abstractNum>
  <w:abstractNum w:abstractNumId="141">
    <w:nsid w:val="579328B9"/>
    <w:multiLevelType w:val="hybridMultilevel"/>
    <w:lvl w:ilvl="0">
      <w:lvlJc w:val="left"/>
      <w:lvlText w:val="(%1)"/>
      <w:numFmt w:val="lowerRoman"/>
      <w:start w:val="4"/>
    </w:lvl>
  </w:abstractNum>
  <w:abstractNum w:abstractNumId="142">
    <w:nsid w:val="5D205E20"/>
    <w:multiLevelType w:val="hybridMultilevel"/>
    <w:lvl w:ilvl="0">
      <w:lvlJc w:val="left"/>
      <w:lvlText w:val="(%1)"/>
      <w:numFmt w:val="lowerRoman"/>
      <w:start w:val="5"/>
    </w:lvl>
  </w:abstractNum>
  <w:abstractNum w:abstractNumId="143">
    <w:nsid w:val="11CCA8BA"/>
    <w:multiLevelType w:val="hybridMultilevel"/>
    <w:lvl w:ilvl="0">
      <w:lvlJc w:val="left"/>
      <w:lvlText w:val="(%1)"/>
      <w:numFmt w:val="lowerRoman"/>
      <w:start w:val="6"/>
    </w:lvl>
  </w:abstractNum>
  <w:abstractNum w:abstractNumId="144">
    <w:nsid w:val="4D32AB86"/>
    <w:multiLevelType w:val="hybridMultilevel"/>
    <w:lvl w:ilvl="0">
      <w:lvlJc w:val="left"/>
      <w:lvlText w:val="(%1)"/>
      <w:numFmt w:val="lowerRoman"/>
      <w:start w:val="8"/>
    </w:lvl>
    <w:lvl w:ilvl="1">
      <w:lvlJc w:val="left"/>
      <w:lvlText w:val="(%2)"/>
      <w:numFmt w:val="lowerLetter"/>
      <w:start w:val="1"/>
    </w:lvl>
  </w:abstractNum>
  <w:abstractNum w:abstractNumId="145">
    <w:nsid w:val="3F07ACC3"/>
    <w:multiLevelType w:val="hybridMultilevel"/>
    <w:lvl w:ilvl="0">
      <w:lvlJc w:val="left"/>
      <w:lvlText w:val="(%1)"/>
      <w:numFmt w:val="lowerLetter"/>
      <w:start w:val="3"/>
    </w:lvl>
  </w:abstractNum>
  <w:abstractNum w:abstractNumId="146">
    <w:nsid w:val="6B47F63E"/>
    <w:multiLevelType w:val="hybridMultilevel"/>
    <w:lvl w:ilvl="0">
      <w:lvlJc w:val="left"/>
      <w:lvlText w:val="%1."/>
      <w:numFmt w:val="decimal"/>
      <w:start w:val="84"/>
    </w:lvl>
  </w:abstractNum>
  <w:abstractNum w:abstractNumId="147">
    <w:nsid w:val="5CB44A05"/>
    <w:multiLevelType w:val="hybridMultilevel"/>
    <w:lvl w:ilvl="0">
      <w:lvlJc w:val="left"/>
      <w:lvlText w:val="%1."/>
      <w:numFmt w:val="decimal"/>
      <w:start w:val="85"/>
    </w:lvl>
  </w:abstractNum>
  <w:abstractNum w:abstractNumId="148">
    <w:nsid w:val="16CF80F1"/>
    <w:multiLevelType w:val="hybridMultilevel"/>
    <w:lvl w:ilvl="0">
      <w:lvlJc w:val="left"/>
      <w:lvlText w:val="%1."/>
      <w:numFmt w:val="decimal"/>
      <w:start w:val="86"/>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lowerLetter"/>
      <w:start w:val="2"/>
    </w:lvl>
  </w:abstractNum>
  <w:abstractNum w:abstractNumId="151">
    <w:nsid w:val="F856867"/>
    <w:multiLevelType w:val="hybridMultilevel"/>
    <w:lvl w:ilvl="0">
      <w:lvlJc w:val="left"/>
      <w:lvlText w:val="(%1)"/>
      <w:numFmt w:val="lowerLetter"/>
      <w:start w:val="1"/>
    </w:lvl>
  </w:abstractNum>
  <w:abstractNum w:abstractNumId="152">
    <w:nsid w:val="11B1CC33"/>
    <w:multiLevelType w:val="hybridMultilevel"/>
    <w:lvl w:ilvl="0">
      <w:lvlJc w:val="left"/>
      <w:lvlText w:val="(%1)"/>
      <w:numFmt w:val="lowerLetter"/>
      <w:start w:val="1"/>
    </w:lvl>
  </w:abstractNum>
  <w:abstractNum w:abstractNumId="153">
    <w:nsid w:val="2E22FBB7"/>
    <w:multiLevelType w:val="hybridMultilevel"/>
    <w:lvl w:ilvl="0">
      <w:lvlJc w:val="left"/>
      <w:lvlText w:val="(%1)"/>
      <w:numFmt w:val="lowerLetter"/>
      <w:start w:val="2"/>
    </w:lvl>
  </w:abstractNum>
  <w:abstractNum w:abstractNumId="154">
    <w:nsid w:val="29934699"/>
    <w:multiLevelType w:val="hybridMultilevel"/>
    <w:lvl w:ilvl="0">
      <w:lvlJc w:val="left"/>
      <w:lvlText w:val="(%1)"/>
      <w:numFmt w:val="lowerLetter"/>
      <w:start w:val="1"/>
    </w:lvl>
  </w:abstractNum>
  <w:abstractNum w:abstractNumId="155">
    <w:nsid w:val="77485850"/>
    <w:multiLevelType w:val="hybridMultilevel"/>
    <w:lvl w:ilvl="0">
      <w:lvlJc w:val="left"/>
      <w:lvlText w:val="(%1)"/>
      <w:numFmt w:val="lowerLetter"/>
      <w:start w:val="2"/>
    </w:lvl>
  </w:abstractNum>
  <w:abstractNum w:abstractNumId="156">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57">
    <w:nsid w:val="4FA0D2E3"/>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58">
    <w:nsid w:val="6B1D2C14"/>
    <w:multiLevelType w:val="hybridMultilevel"/>
    <w:lvl w:ilvl="0">
      <w:lvlJc w:val="left"/>
      <w:lvlText w:val="(%1)"/>
      <w:numFmt w:val="decimal"/>
      <w:start w:val="3"/>
    </w:lvl>
  </w:abstractNum>
  <w:abstractNum w:abstractNumId="159">
    <w:nsid w:val="68B867D3"/>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60">
    <w:nsid w:val="3F7F5DD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61">
    <w:nsid w:val="2AE05A34"/>
    <w:multiLevelType w:val="hybridMultilevel"/>
    <w:lvl w:ilvl="0">
      <w:lvlJc w:val="left"/>
      <w:lvlText w:val="%1)"/>
      <w:numFmt w:val="lowerLetter"/>
      <w:start w:val="3"/>
    </w:lvl>
    <w:lvl w:ilvl="1">
      <w:lvlJc w:val="left"/>
      <w:lvlText w:val="%2."/>
      <w:numFmt w:val="lowerRoman"/>
      <w:start w:val="1"/>
    </w:lvl>
  </w:abstractNum>
  <w:abstractNum w:abstractNumId="162">
    <w:nsid w:val="32794FF7"/>
    <w:multiLevelType w:val="hybridMultilevel"/>
    <w:lvl w:ilvl="0">
      <w:lvlJc w:val="left"/>
      <w:lvlText w:val="%1)"/>
      <w:numFmt w:val="lowerLetter"/>
      <w:start w:val="8"/>
    </w:lvl>
  </w:abstractNum>
  <w:abstractNum w:abstractNumId="163">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64">
    <w:nsid w:val="4DEFDFA0"/>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65">
    <w:nsid w:val="2123D5F2"/>
    <w:multiLevelType w:val="hybridMultilevel"/>
    <w:lvl w:ilvl="0">
      <w:lvlJc w:val="left"/>
      <w:lvlText w:val="(%1)"/>
      <w:numFmt w:val="decimal"/>
      <w:start w:val="3"/>
    </w:lvl>
  </w:abstractNum>
  <w:abstractNum w:abstractNumId="166">
    <w:nsid w:val="135B811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67">
    <w:nsid w:val="94927A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68">
    <w:nsid w:val="DCDF8F6"/>
    <w:multiLevelType w:val="hybridMultilevel"/>
    <w:lvl w:ilvl="0">
      <w:lvlJc w:val="left"/>
      <w:lvlText w:val="%1)"/>
      <w:numFmt w:val="lowerLetter"/>
      <w:start w:val="3"/>
    </w:lvl>
    <w:lvl w:ilvl="1">
      <w:lvlJc w:val="left"/>
      <w:lvlText w:val="%2."/>
      <w:numFmt w:val="lowerRoman"/>
      <w:start w:val="1"/>
    </w:lvl>
  </w:abstractNum>
  <w:abstractNum w:abstractNumId="169">
    <w:nsid w:val="52D7B105"/>
    <w:multiLevelType w:val="hybridMultilevel"/>
    <w:lvl w:ilvl="0">
      <w:lvlJc w:val="left"/>
      <w:lvlText w:val="%1)"/>
      <w:numFmt w:val="lowerLetter"/>
      <w:start w:val="8"/>
    </w:lvl>
  </w:abstractNum>
  <w:abstractNum w:abstractNumId="170">
    <w:nsid w:val="2E8A6394"/>
    <w:multiLevelType w:val="hybridMultilevel"/>
    <w:lvl w:ilvl="0">
      <w:lvlJc w:val="left"/>
      <w:lvlText w:val="(%1)"/>
      <w:numFmt w:val="decimal"/>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lvl w:ilvl="1">
      <w:lvlJc w:val="left"/>
      <w:lvlText w:val="(%2)"/>
      <w:numFmt w:val="lowerLetter"/>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2020-01-26T11:06:59Z</dcterms:created>
  <dcterms:modified xsi:type="dcterms:W3CDTF">2020-01-26T11:06:59Z</dcterms:modified>
</cp:coreProperties>
</file>