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111125</wp:posOffset>
            </wp:positionV>
            <wp:extent cx="3075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77470</wp:posOffset>
            </wp:positionV>
            <wp:extent cx="3075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pacing w:after="0" w:line="32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8" w:lineRule="exact"/>
        <w:rPr>
          <w:sz w:val="24"/>
          <w:szCs w:val="24"/>
          <w:color w:val="auto"/>
        </w:rPr>
      </w:pPr>
    </w:p>
    <w:p>
      <w:pPr>
        <w:ind w:left="800" w:hanging="470"/>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March 31, 2026</w:t>
      </w:r>
    </w:p>
    <w:p>
      <w:pPr>
        <w:spacing w:after="0" w:line="135" w:lineRule="exact"/>
        <w:rPr>
          <w:sz w:val="24"/>
          <w:szCs w:val="24"/>
          <w:color w:val="auto"/>
        </w:rPr>
      </w:pPr>
    </w:p>
    <w:p>
      <w:pPr>
        <w:ind w:left="820" w:hanging="490"/>
        <w:spacing w:after="0"/>
        <w:tabs>
          <w:tab w:leader="none" w:pos="8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8"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123825</wp:posOffset>
            </wp:positionV>
            <wp:extent cx="3075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530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1" w:lineRule="exact"/>
        <w:rPr>
          <w:sz w:val="24"/>
          <w:szCs w:val="24"/>
          <w:color w:val="auto"/>
        </w:rPr>
      </w:pPr>
    </w:p>
    <w:tbl>
      <w:tblPr>
        <w:tblLayout w:type="fixed"/>
        <w:tblInd w:w="1720" w:type="dxa"/>
        <w:tblCellMar>
          <w:top w:w="0" w:type="dxa"/>
          <w:left w:w="0" w:type="dxa"/>
          <w:bottom w:w="0" w:type="dxa"/>
          <w:right w:w="0" w:type="dxa"/>
        </w:tblCellMar>
      </w:tblPr>
      <w:tr>
        <w:trPr>
          <w:trHeight w:val="374"/>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7"/>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24"/>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7"/>
        </w:trPr>
        <w:tc>
          <w:tcPr>
            <w:tcW w:w="208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4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49"/>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282"/>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4"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8" w:lineRule="exact"/>
        <w:rPr>
          <w:sz w:val="24"/>
          <w:szCs w:val="24"/>
          <w:color w:val="auto"/>
        </w:rPr>
      </w:pPr>
    </w:p>
    <w:p>
      <w:pPr>
        <w:jc w:val="both"/>
        <w:ind w:right="10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565"/>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6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 w:lineRule="exact"/>
        <w:rPr>
          <w:sz w:val="24"/>
          <w:szCs w:val="24"/>
          <w:color w:val="auto"/>
        </w:rPr>
      </w:pPr>
    </w:p>
    <w:p>
      <w:pPr>
        <w:ind w:right="280" w:firstLine="565"/>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4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April 30, 2026 was 92,152,860.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87"/>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9"/>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4"/>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20" w:type="dxa"/>
            <w:vAlign w:val="bottom"/>
            <w:gridSpan w:val="5"/>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Balance Sheets (Unaudited)</w:t>
            </w:r>
          </w:p>
        </w:tc>
        <w:tc>
          <w:tcPr>
            <w:tcW w:w="4060" w:type="dxa"/>
            <w:vAlign w:val="bottom"/>
            <w:gridSpan w:val="8"/>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840" w:type="dxa"/>
            <w:vAlign w:val="bottom"/>
            <w:gridSpan w:val="3"/>
          </w:tcPr>
          <w:p>
            <w:pPr>
              <w:spacing w:after="0"/>
              <w:rPr>
                <w:sz w:val="24"/>
                <w:szCs w:val="24"/>
                <w:color w:val="auto"/>
              </w:rPr>
            </w:pP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10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60" w:type="dxa"/>
            <w:vAlign w:val="bottom"/>
            <w:gridSpan w:val="4"/>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60" w:type="dxa"/>
            <w:vAlign w:val="bottom"/>
            <w:gridSpan w:val="4"/>
          </w:tcPr>
          <w:p>
            <w:pPr>
              <w:spacing w:after="0"/>
              <w:rPr>
                <w:sz w:val="24"/>
                <w:szCs w:val="24"/>
                <w:color w:val="auto"/>
              </w:rPr>
            </w:pP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68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1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("Essent Guaranty"), Essent Reinsurance Ltd. ("Essent Re"), and Essent Title Insurance, Inc. ("Essent Title"), as a combined entity, except where otherwise stated or where it is clear that the terms mean only Essent Group Ltd. exclusive of its subsidiaries.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right="260" w:firstLine="64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2025 filed with the Securities and Exchange Commission. These factors include, without limitation, the following:</w:t>
      </w:r>
    </w:p>
    <w:p>
      <w:pPr>
        <w:spacing w:after="0" w:line="185" w:lineRule="exact"/>
        <w:rPr>
          <w:sz w:val="20"/>
          <w:szCs w:val="20"/>
          <w:color w:val="auto"/>
        </w:rPr>
      </w:pPr>
    </w:p>
    <w:p>
      <w:pPr>
        <w:ind w:left="660" w:right="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0"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50"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9"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3"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10" w:lineRule="exact"/>
        <w:rPr>
          <w:sz w:val="20"/>
          <w:szCs w:val="20"/>
          <w:color w:val="auto"/>
        </w:rPr>
      </w:pPr>
    </w:p>
    <w:p>
      <w:pPr>
        <w:ind w:right="240" w:firstLine="646"/>
        <w:spacing w:after="0" w:line="265" w:lineRule="auto"/>
        <w:rPr>
          <w:sz w:val="20"/>
          <w:szCs w:val="20"/>
          <w:color w:val="auto"/>
        </w:rPr>
      </w:pPr>
      <w:r>
        <w:rPr>
          <w:rFonts w:ascii="Times New Roman" w:cs="Times New Roman" w:eastAsia="Times New Roman" w:hAnsi="Times New Roman"/>
          <w:sz w:val="18"/>
          <w:szCs w:val="18"/>
          <w:color w:val="auto"/>
        </w:rPr>
        <w:t>We intend to use our website as a means of disclosing material non-public information and for complying with our disclosure obligations under Regulation FD. Such disclosures will be included on our website in the "Events &amp; Presentations" section. Accordingly, investors should monitor such portion of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87"/>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7"/>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40" w:type="dxa"/>
            <w:vAlign w:val="bottom"/>
          </w:tcPr>
          <w:p>
            <w:pPr>
              <w:spacing w:after="0"/>
              <w:rPr>
                <w:sz w:val="19"/>
                <w:szCs w:val="19"/>
                <w:color w:val="auto"/>
              </w:rPr>
            </w:pPr>
          </w:p>
        </w:tc>
        <w:tc>
          <w:tcPr>
            <w:tcW w:w="79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260"/>
              <w:spacing w:after="0" w:line="175"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2026 — $5,644,178;</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 — $5,631,201)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5,455,593</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260"/>
              <w:spacing w:after="0" w:line="175"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2026 —</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$623,034; 2025 — $648,492)</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648,492</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invested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382,513</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6,486,598</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123,049</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51,267</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175"/>
        </w:trPr>
        <w:tc>
          <w:tcPr>
            <w:tcW w:w="40" w:type="dxa"/>
            <w:vAlign w:val="bottom"/>
          </w:tcPr>
          <w:p>
            <w:pPr>
              <w:spacing w:after="0"/>
              <w:rPr>
                <w:sz w:val="15"/>
                <w:szCs w:val="15"/>
                <w:color w:val="auto"/>
              </w:rPr>
            </w:pPr>
          </w:p>
        </w:tc>
        <w:tc>
          <w:tcPr>
            <w:tcW w:w="802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8"/>
                <w:szCs w:val="18"/>
                <w:color w:val="auto"/>
              </w:rPr>
              <w:t>Property, equipment and software (at cost, less accumulated depreciation of $72,348 in 2026 and $71,466 in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2"/>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6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49,189</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513,425</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78,153</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82,404</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7,569,768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7,441,003</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446,822</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premium reserve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91,730</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465,351</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495,301</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185,072</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1,684,276</w:t>
            </w:r>
          </w:p>
        </w:tc>
      </w:tr>
      <w:tr>
        <w:trPr>
          <w:trHeight w:val="209"/>
        </w:trPr>
        <w:tc>
          <w:tcPr>
            <w:tcW w:w="40" w:type="dxa"/>
            <w:vAlign w:val="bottom"/>
          </w:tcPr>
          <w:p>
            <w:pPr>
              <w:spacing w:after="0"/>
              <w:rPr>
                <w:sz w:val="18"/>
                <w:szCs w:val="18"/>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shd w:val="clear" w:color="auto" w:fill="CCEEFF"/>
          </w:tcPr>
          <w:p>
            <w:pPr>
              <w:ind w:left="440"/>
              <w:spacing w:after="0" w:line="175" w:lineRule="exact"/>
              <w:rPr>
                <w:sz w:val="20"/>
                <w:szCs w:val="20"/>
                <w:color w:val="auto"/>
              </w:rPr>
            </w:pPr>
            <w:r>
              <w:rPr>
                <w:rFonts w:ascii="Times New Roman" w:cs="Times New Roman" w:eastAsia="Times New Roman" w:hAnsi="Times New Roman"/>
                <w:sz w:val="18"/>
                <w:szCs w:val="18"/>
                <w:color w:val="auto"/>
              </w:rPr>
              <w:t>Authorized - 233,333; issued and outstanding - 93,073 shares in 2026 and 95,456</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2"/>
        </w:trPr>
        <w:tc>
          <w:tcPr>
            <w:tcW w:w="40" w:type="dxa"/>
            <w:vAlign w:val="bottom"/>
          </w:tcPr>
          <w:p>
            <w:pPr>
              <w:spacing w:after="0"/>
              <w:rPr>
                <w:sz w:val="21"/>
                <w:szCs w:val="21"/>
                <w:color w:val="auto"/>
              </w:rPr>
            </w:pPr>
          </w:p>
        </w:tc>
        <w:tc>
          <w:tcPr>
            <w:tcW w:w="80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shares in 2025</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40" w:type="dxa"/>
            <w:vAlign w:val="bottom"/>
          </w:tcPr>
          <w:p>
            <w:pPr>
              <w:spacing w:after="0"/>
              <w:rPr>
                <w:sz w:val="19"/>
                <w:szCs w:val="19"/>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649,895</w:t>
            </w:r>
          </w:p>
        </w:tc>
      </w:tr>
      <w:tr>
        <w:trPr>
          <w:trHeight w:val="229"/>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(151,985)</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5,257,385</w:t>
            </w:r>
          </w:p>
        </w:tc>
      </w:tr>
      <w:tr>
        <w:trPr>
          <w:trHeight w:val="222"/>
        </w:trPr>
        <w:tc>
          <w:tcPr>
            <w:tcW w:w="40" w:type="dxa"/>
            <w:vAlign w:val="bottom"/>
          </w:tcPr>
          <w:p>
            <w:pPr>
              <w:spacing w:after="0"/>
              <w:rPr>
                <w:sz w:val="19"/>
                <w:szCs w:val="19"/>
                <w:color w:val="auto"/>
              </w:rPr>
            </w:pPr>
          </w:p>
        </w:tc>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5,696,502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5,756,727</w:t>
            </w:r>
          </w:p>
        </w:tc>
      </w:tr>
      <w:tr>
        <w:trPr>
          <w:trHeight w:val="222"/>
        </w:trPr>
        <w:tc>
          <w:tcPr>
            <w:tcW w:w="40" w:type="dxa"/>
            <w:vAlign w:val="bottom"/>
          </w:tcPr>
          <w:p>
            <w:pPr>
              <w:spacing w:after="0"/>
              <w:rPr>
                <w:sz w:val="19"/>
                <w:szCs w:val="19"/>
                <w:color w:val="auto"/>
              </w:rPr>
            </w:pPr>
          </w:p>
        </w:tc>
        <w:tc>
          <w:tcPr>
            <w:tcW w:w="8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7,569,768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7,441,003</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2"/>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317,558</w:t>
            </w: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w:t>
            </w: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0" w:type="dxa"/>
            <w:vAlign w:val="bottom"/>
          </w:tcPr>
          <w:p>
            <w:pPr>
              <w:spacing w:after="0"/>
              <w:rPr>
                <w:sz w:val="1"/>
                <w:szCs w:val="1"/>
                <w:color w:val="auto"/>
              </w:rPr>
            </w:pPr>
          </w:p>
        </w:tc>
      </w:tr>
      <w:tr>
        <w:trPr>
          <w:trHeight w:val="247"/>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103,946</w:t>
            </w:r>
          </w:p>
        </w:tc>
        <w:tc>
          <w:tcPr>
            <w:tcW w:w="0" w:type="dxa"/>
            <w:vAlign w:val="bottom"/>
          </w:tcPr>
          <w:p>
            <w:pPr>
              <w:spacing w:after="0"/>
              <w:rPr>
                <w:sz w:val="1"/>
                <w:szCs w:val="1"/>
                <w:color w:val="auto"/>
              </w:rPr>
            </w:pPr>
          </w:p>
        </w:tc>
      </w:tr>
      <w:tr>
        <w:trPr>
          <w:trHeight w:val="256"/>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gridSpan w:val="2"/>
          </w:tcPr>
          <w:p>
            <w:pPr>
              <w:ind w:left="280"/>
              <w:spacing w:after="0" w:line="175" w:lineRule="exact"/>
              <w:rPr>
                <w:sz w:val="20"/>
                <w:szCs w:val="20"/>
                <w:color w:val="auto"/>
              </w:rPr>
            </w:pPr>
            <w:r>
              <w:rPr>
                <w:rFonts w:ascii="Times New Roman" w:cs="Times New Roman" w:eastAsia="Times New Roman" w:hAnsi="Times New Roman"/>
                <w:sz w:val="18"/>
                <w:szCs w:val="18"/>
                <w:color w:val="auto"/>
              </w:rPr>
              <w:t>Unrealized (depreciation) appreciation of investments, net of tax (benefit) expense of ($7,409)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0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$11,295 in the three months ended March 31, 2026 and 2025, respectively.</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0" w:type="dxa"/>
            <w:vAlign w:val="bottom"/>
          </w:tcPr>
          <w:p>
            <w:pPr>
              <w:spacing w:after="0"/>
              <w:rPr>
                <w:sz w:val="1"/>
                <w:szCs w:val="1"/>
                <w:color w:val="auto"/>
              </w:rPr>
            </w:pPr>
          </w:p>
        </w:tc>
      </w:tr>
      <w:tr>
        <w:trPr>
          <w:trHeight w:val="222"/>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(168,806)</w:t>
            </w:r>
          </w:p>
        </w:tc>
        <w:tc>
          <w:tcPr>
            <w:tcW w:w="0" w:type="dxa"/>
            <w:vAlign w:val="bottom"/>
          </w:tcPr>
          <w:p>
            <w:pPr>
              <w:spacing w:after="0"/>
              <w:rPr>
                <w:sz w:val="1"/>
                <w:szCs w:val="1"/>
                <w:color w:val="auto"/>
              </w:rPr>
            </w:pPr>
          </w:p>
        </w:tc>
      </w:tr>
      <w:tr>
        <w:trPr>
          <w:trHeight w:val="22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1,055,340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0" w:type="dxa"/>
            <w:vAlign w:val="bottom"/>
          </w:tcPr>
          <w:p>
            <w:pPr>
              <w:spacing w:after="0"/>
              <w:rPr>
                <w:sz w:val="1"/>
                <w:szCs w:val="1"/>
                <w:color w:val="auto"/>
              </w:rPr>
            </w:pPr>
          </w:p>
        </w:tc>
      </w:tr>
      <w:tr>
        <w:trPr>
          <w:trHeight w:val="22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0" w:type="dxa"/>
            <w:vAlign w:val="bottom"/>
          </w:tcPr>
          <w:p>
            <w:pPr>
              <w:spacing w:after="0"/>
              <w:rPr>
                <w:sz w:val="1"/>
                <w:szCs w:val="1"/>
                <w:color w:val="auto"/>
              </w:rPr>
            </w:pPr>
          </w:p>
        </w:tc>
      </w:tr>
      <w:tr>
        <w:trPr>
          <w:trHeight w:val="222"/>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4,834,675</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0" w:type="dxa"/>
            <w:vAlign w:val="bottom"/>
          </w:tcPr>
          <w:p>
            <w:pPr>
              <w:spacing w:after="0"/>
              <w:rPr>
                <w:sz w:val="1"/>
                <w:szCs w:val="1"/>
                <w:color w:val="auto"/>
              </w:rPr>
            </w:pPr>
          </w:p>
        </w:tc>
      </w:tr>
      <w:tr>
        <w:trPr>
          <w:trHeight w:val="22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5,659,306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7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175,433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27,787</w:t>
            </w:r>
          </w:p>
        </w:tc>
        <w:tc>
          <w:tcPr>
            <w:tcW w:w="0" w:type="dxa"/>
            <w:vAlign w:val="bottom"/>
          </w:tcPr>
          <w:p>
            <w:pPr>
              <w:spacing w:after="0"/>
              <w:rPr>
                <w:sz w:val="1"/>
                <w:szCs w:val="1"/>
                <w:color w:val="auto"/>
              </w:rPr>
            </w:pPr>
          </w:p>
        </w:tc>
      </w:tr>
      <w:tr>
        <w:trPr>
          <w:trHeight w:val="213"/>
        </w:trPr>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192,044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221,567</w:t>
            </w:r>
          </w:p>
        </w:tc>
        <w:tc>
          <w:tcPr>
            <w:tcW w:w="0" w:type="dxa"/>
            <w:vAlign w:val="bottom"/>
          </w:tcPr>
          <w:p>
            <w:pPr>
              <w:spacing w:after="0"/>
              <w:rPr>
                <w:sz w:val="1"/>
                <w:szCs w:val="1"/>
                <w:color w:val="auto"/>
              </w:rPr>
            </w:pPr>
          </w:p>
        </w:tc>
      </w:tr>
      <w:tr>
        <w:trPr>
          <w:trHeight w:val="90"/>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227,073</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(349,690)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and paydowns of investments available for sale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188,747</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0" w:type="dxa"/>
            <w:vAlign w:val="bottom"/>
          </w:tcPr>
          <w:p>
            <w:pPr>
              <w:spacing w:after="0"/>
              <w:rPr>
                <w:sz w:val="1"/>
                <w:szCs w:val="1"/>
                <w:color w:val="auto"/>
              </w:rPr>
            </w:pPr>
          </w:p>
        </w:tc>
      </w:tr>
      <w:tr>
        <w:trPr>
          <w:trHeight w:val="213"/>
        </w:trPr>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 and capitalization of internal-use software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6"/>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55,533</w:t>
            </w:r>
          </w:p>
        </w:tc>
        <w:tc>
          <w:tcPr>
            <w:tcW w:w="0" w:type="dxa"/>
            <w:vAlign w:val="bottom"/>
          </w:tcPr>
          <w:p>
            <w:pPr>
              <w:spacing w:after="0"/>
              <w:rPr>
                <w:sz w:val="1"/>
                <w:szCs w:val="1"/>
                <w:color w:val="auto"/>
              </w:rPr>
            </w:pPr>
          </w:p>
        </w:tc>
      </w:tr>
      <w:tr>
        <w:trPr>
          <w:trHeight w:val="90"/>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(168,850)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(200,514)</w:t>
            </w:r>
          </w:p>
        </w:tc>
        <w:tc>
          <w:tcPr>
            <w:tcW w:w="0" w:type="dxa"/>
            <w:vAlign w:val="bottom"/>
          </w:tcPr>
          <w:p>
            <w:pPr>
              <w:spacing w:after="0"/>
              <w:rPr>
                <w:sz w:val="1"/>
                <w:szCs w:val="1"/>
                <w:color w:val="auto"/>
              </w:rPr>
            </w:pPr>
          </w:p>
        </w:tc>
      </w:tr>
      <w:tr>
        <w:trPr>
          <w:trHeight w:val="90"/>
        </w:trPr>
        <w:tc>
          <w:tcPr>
            <w:tcW w:w="7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208,066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0" w:type="dxa"/>
            <w:vAlign w:val="bottom"/>
          </w:tcPr>
          <w:p>
            <w:pPr>
              <w:spacing w:after="0"/>
              <w:rPr>
                <w:sz w:val="1"/>
                <w:szCs w:val="1"/>
                <w:color w:val="auto"/>
              </w:rPr>
            </w:pPr>
          </w:p>
        </w:tc>
      </w:tr>
      <w:tr>
        <w:trPr>
          <w:trHeight w:val="108"/>
        </w:trPr>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equipment, and capitalized internal-use software costs included in other liabilities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7" w:lineRule="exact"/>
        <w:rPr>
          <w:sz w:val="20"/>
          <w:szCs w:val="20"/>
          <w:color w:val="auto"/>
        </w:rPr>
      </w:pPr>
    </w:p>
    <w:p>
      <w:pPr>
        <w:ind w:right="220" w:firstLine="646"/>
        <w:spacing w:after="0" w:line="259"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0" w:lineRule="exact"/>
        <w:rPr>
          <w:sz w:val="20"/>
          <w:szCs w:val="20"/>
          <w:color w:val="auto"/>
        </w:rPr>
      </w:pPr>
    </w:p>
    <w:p>
      <w:pPr>
        <w:ind w:right="220" w:firstLine="646"/>
        <w:spacing w:after="0" w:line="287"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7" w:lineRule="exact"/>
        <w:rPr>
          <w:sz w:val="20"/>
          <w:szCs w:val="20"/>
          <w:color w:val="auto"/>
        </w:rPr>
      </w:pPr>
    </w:p>
    <w:p>
      <w:pPr>
        <w:ind w:right="200" w:firstLine="646"/>
        <w:spacing w:after="0" w:line="259"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Essent Re also provides insurance and reinsurance to Freddie Mac and Fannie Mae. The following table summarizes the quota share reinsurance coverage that Essent Re has provided to Essent Guaranty for the respective NIW periods: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In 2016, Essent Re formed Essent Agency (Bermuda) Ltd., a wholly-owned subsidiary, which provides underwriting consulting services to third-party reinsurers. Effective January 1, 2026, Essent Re began reinsuring certain property and casualty risks.</w:t>
      </w:r>
    </w:p>
    <w:p>
      <w:pPr>
        <w:spacing w:after="0" w:line="190" w:lineRule="exact"/>
        <w:rPr>
          <w:sz w:val="20"/>
          <w:szCs w:val="20"/>
          <w:color w:val="auto"/>
        </w:rPr>
      </w:pPr>
    </w:p>
    <w:p>
      <w:pPr>
        <w:ind w:right="380" w:firstLine="646"/>
        <w:spacing w:after="0" w:line="259"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89" w:lineRule="exact"/>
        <w:rPr>
          <w:sz w:val="20"/>
          <w:szCs w:val="20"/>
          <w:color w:val="auto"/>
        </w:rPr>
      </w:pPr>
    </w:p>
    <w:p>
      <w:pPr>
        <w:jc w:val="both"/>
        <w:ind w:right="640" w:firstLine="404"/>
        <w:spacing w:after="0" w:line="249"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through Essent Title Insurance, Inc. ("Essent Title"), as well as title and settlement services. Our title insurance operations are headquartered in Radnor, Pennsylvania, with additional locations in Columbia, Missouri and Pittsburgh, Pennsylvania.</w:t>
      </w:r>
    </w:p>
    <w:p>
      <w:pPr>
        <w:spacing w:after="0" w:line="123" w:lineRule="exact"/>
        <w:rPr>
          <w:sz w:val="20"/>
          <w:szCs w:val="20"/>
          <w:color w:val="auto"/>
        </w:rPr>
      </w:pPr>
    </w:p>
    <w:p>
      <w:pPr>
        <w:ind w:right="140" w:firstLine="404"/>
        <w:spacing w:after="0" w:line="257" w:lineRule="auto"/>
        <w:rPr>
          <w:sz w:val="20"/>
          <w:szCs w:val="20"/>
          <w:color w:val="auto"/>
        </w:rPr>
      </w:pPr>
      <w:r>
        <w:rPr>
          <w:rFonts w:ascii="Times New Roman" w:cs="Times New Roman" w:eastAsia="Times New Roman" w:hAnsi="Times New Roman"/>
          <w:sz w:val="18"/>
          <w:szCs w:val="18"/>
          <w:color w:val="auto"/>
        </w:rPr>
        <w:t>We have two reportable business segments: Mortgage Insurance and Reinsurance. Our Mortgage Insurance segment offers private mortgage insurance for residential first-lien mortgages secured by residential properties located in the United States through our U.S. mortgage insurance subsidiary, Essent Guaranty, and also offers other credit risk management solutions, including contract underwriting, to our customers. Our Reinsurance segment reinsures U.S. mortgage risk in the GSE credit risk transfer market through our Bermuda-based reinsurance subsidiary, Essent Re, and also provides underwriting consulting services to third-party reinsurers. Effective January 1, 2026, Essent Re began reinsuring certain property and casualty risks.</w:t>
      </w:r>
    </w:p>
    <w:p>
      <w:pPr>
        <w:spacing w:after="0" w:line="102"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included in our Annual Report on Form 10-K for the year ended December 31, 2025,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2026 prior to the issuance of these condensed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58"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spacing w:after="0" w:line="121" w:lineRule="exact"/>
        <w:rPr>
          <w:sz w:val="20"/>
          <w:szCs w:val="20"/>
          <w:color w:val="auto"/>
        </w:rPr>
      </w:pPr>
    </w:p>
    <w:p>
      <w:pPr>
        <w:ind w:firstLine="40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currently evaluating the impact that the ASU will have on our consolidated financial statements.</w:t>
      </w:r>
    </w:p>
    <w:p>
      <w:pPr>
        <w:spacing w:after="0" w:line="106" w:lineRule="exact"/>
        <w:rPr>
          <w:sz w:val="20"/>
          <w:szCs w:val="20"/>
          <w:color w:val="auto"/>
        </w:rPr>
      </w:pPr>
    </w:p>
    <w:p>
      <w:pPr>
        <w:ind w:right="120" w:firstLine="40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 (In thousands)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336,951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1,218,289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643,303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485,204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896,021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623,034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6,267,212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6,048,244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4"/>
        </w:trPr>
        <w:tc>
          <w:tcPr>
            <w:tcW w:w="44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373,567</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(76,750)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641,153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(213,293)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c>
          <w:tcPr>
            <w:tcW w:w="1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80" w:firstLine="646"/>
        <w:spacing w:after="0" w:line="259"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March 31, 2026,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2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122,918</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181,792</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332,065</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17,456</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96,713</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143,674</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350,840</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608,683</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0" w:type="dxa"/>
            <w:vAlign w:val="bottom"/>
          </w:tcPr>
          <w:p>
            <w:pPr>
              <w:spacing w:after="0"/>
              <w:rPr>
                <w:sz w:val="1"/>
                <w:szCs w:val="1"/>
                <w:color w:val="auto"/>
              </w:rPr>
            </w:pPr>
          </w:p>
        </w:tc>
      </w:tr>
      <w:tr>
        <w:trPr>
          <w:trHeight w:val="20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122,989</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597,500</w:t>
            </w:r>
          </w:p>
        </w:tc>
        <w:tc>
          <w:tcPr>
            <w:tcW w:w="0" w:type="dxa"/>
            <w:vAlign w:val="bottom"/>
          </w:tcPr>
          <w:p>
            <w:pPr>
              <w:spacing w:after="0"/>
              <w:rPr>
                <w:sz w:val="1"/>
                <w:szCs w:val="1"/>
                <w:color w:val="auto"/>
              </w:rPr>
            </w:pPr>
          </w:p>
        </w:tc>
      </w:tr>
      <w:tr>
        <w:trPr>
          <w:trHeight w:val="229"/>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1,046,456</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169,763</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1,936,708</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1,143,120</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462,048</w:t>
            </w:r>
          </w:p>
        </w:tc>
        <w:tc>
          <w:tcPr>
            <w:tcW w:w="0" w:type="dxa"/>
            <w:vAlign w:val="bottom"/>
          </w:tcPr>
          <w:p>
            <w:pPr>
              <w:spacing w:after="0"/>
              <w:rPr>
                <w:sz w:val="1"/>
                <w:szCs w:val="1"/>
                <w:color w:val="auto"/>
              </w:rPr>
            </w:pPr>
          </w:p>
        </w:tc>
      </w:tr>
      <w:tr>
        <w:trPr>
          <w:trHeight w:val="222"/>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887,866</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0" w:type="dxa"/>
            <w:vAlign w:val="bottom"/>
          </w:tcPr>
          <w:p>
            <w:pPr>
              <w:spacing w:after="0"/>
              <w:rPr>
                <w:sz w:val="1"/>
                <w:szCs w:val="1"/>
                <w:color w:val="auto"/>
              </w:rPr>
            </w:pPr>
          </w:p>
        </w:tc>
      </w:tr>
      <w:tr>
        <w:trPr>
          <w:trHeight w:val="247"/>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6,267,212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6,048,244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60" w:firstLine="646"/>
        <w:spacing w:after="0" w:line="280"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1,640,731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3,752,808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(236,447)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(54,547)</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2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(213,293)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At March 31, 2026 and December 31, 2025, we held 2,256 and 1,763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2026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March 31, 2026 had investment-grade ratings. We concluded that gross unrealized losses noted above were primarily associated with the changes in interest rates subsequent to purchase rather than due to credit impairment. There were no impairments recorded in the three months ended March 31, 2026 or 2025.</w:t>
      </w:r>
    </w:p>
    <w:p>
      <w:pPr>
        <w:spacing w:after="0" w:line="212" w:lineRule="exact"/>
        <w:rPr>
          <w:sz w:val="20"/>
          <w:szCs w:val="20"/>
          <w:color w:val="auto"/>
        </w:rPr>
      </w:pPr>
    </w:p>
    <w:p>
      <w:pPr>
        <w:ind w:right="140" w:firstLine="646"/>
        <w:spacing w:after="0" w:line="254" w:lineRule="auto"/>
        <w:rPr>
          <w:sz w:val="20"/>
          <w:szCs w:val="20"/>
          <w:color w:val="auto"/>
        </w:rPr>
      </w:pPr>
      <w:r>
        <w:rPr>
          <w:rFonts w:ascii="Times New Roman" w:cs="Times New Roman" w:eastAsia="Times New Roman" w:hAnsi="Times New Roman"/>
          <w:sz w:val="18"/>
          <w:szCs w:val="18"/>
          <w:color w:val="auto"/>
        </w:rPr>
        <w:t>The Company's other invested assets at March 31, 2026 and December 31, 2025 totaled $394.3 million and $382.5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15"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$183.5 million as of March 31, 2026 and $180.0 million as of December 31, 2025. The majority of these investments were in limited partnerships invested primarily in real estate and technology. At March 31, 2026, maximum future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funding commitments were $58.0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consent from the general partner of individual limited partnerships.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$8.9 million at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$8.7 million at December 31, 2025. In connection with its insurance and reinsurance activities, Essent Re is required to maintain assets in trusts for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its contractual counterparties. The fair value of the investments on deposit in these trusts was $1.0 billion at both March 31, 2026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Essent Guaranty is also required to maintain assets on deposit for the benefit of the sponsor of a fixed income investment commitment.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assets on deposit was $5.2 million at both March 31, 2026 and December 31, 2025.</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7"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In the ordinary course of business, our mortgage insurance subsidiary uses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 Our reinsurance subsidiary reinsures certain property and casualty risks and assumes premium from the ceding insurers for the reinsurance coverage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written and earned is comprised of the following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3"/>
        </w:trPr>
        <w:tc>
          <w:tcPr>
            <w:tcW w:w="21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5"/>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8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274,867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272,394</w:t>
            </w:r>
          </w:p>
        </w:tc>
      </w:tr>
      <w:tr>
        <w:trPr>
          <w:trHeight w:val="229"/>
        </w:trPr>
        <w:tc>
          <w:tcPr>
            <w:tcW w:w="8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(34,123)</w:t>
            </w:r>
          </w:p>
        </w:tc>
      </w:tr>
      <w:tr>
        <w:trPr>
          <w:trHeight w:val="247"/>
        </w:trPr>
        <w:tc>
          <w:tcPr>
            <w:tcW w:w="8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1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29"/>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279,610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279,971</w:t>
            </w:r>
          </w:p>
        </w:tc>
      </w:tr>
      <w:tr>
        <w:trPr>
          <w:trHeight w:val="229"/>
        </w:trPr>
        <w:tc>
          <w:tcPr>
            <w:tcW w:w="8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(34,123)</w:t>
            </w:r>
          </w:p>
        </w:tc>
      </w:tr>
      <w:tr>
        <w:trPr>
          <w:trHeight w:val="247"/>
        </w:trPr>
        <w:tc>
          <w:tcPr>
            <w:tcW w:w="8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245,848</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4" w:lineRule="exact"/>
        <w:rPr>
          <w:sz w:val="20"/>
          <w:szCs w:val="20"/>
          <w:color w:val="auto"/>
        </w:rPr>
      </w:pPr>
    </w:p>
    <w:p>
      <w:pPr>
        <w:ind w:right="340" w:firstLine="179"/>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outward quota share reinsurance agreements with panels of third-party reinsurers ("QSR" agreements). Each of the third-party reinsurers has a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March 31, 2026:</w:t>
      </w: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8080" w:type="dxa"/>
            <w:vAlign w:val="bottom"/>
            <w:gridSpan w:val="3"/>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0" w:type="dxa"/>
            <w:vAlign w:val="bottom"/>
          </w:tcPr>
          <w:p>
            <w:pPr>
              <w:spacing w:after="0"/>
              <w:rPr>
                <w:sz w:val="1"/>
                <w:szCs w:val="1"/>
                <w:color w:val="auto"/>
              </w:rPr>
            </w:pPr>
          </w:p>
        </w:tc>
      </w:tr>
      <w:tr>
        <w:trPr>
          <w:trHeight w:val="194"/>
        </w:trPr>
        <w:tc>
          <w:tcPr>
            <w:tcW w:w="1780" w:type="dxa"/>
            <w:vAlign w:val="bottom"/>
            <w:gridSpan w:val="2"/>
            <w:vMerge w:val="continue"/>
          </w:tcPr>
          <w:p>
            <w:pPr>
              <w:spacing w:after="0"/>
              <w:rPr>
                <w:sz w:val="16"/>
                <w:szCs w:val="16"/>
                <w:color w:val="auto"/>
              </w:rPr>
            </w:pPr>
          </w:p>
        </w:tc>
        <w:tc>
          <w:tcPr>
            <w:tcW w:w="8080" w:type="dxa"/>
            <w:vAlign w:val="bottom"/>
            <w:gridSpan w:val="3"/>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QSR-2025</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QSR-2026</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2026 -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36% of premiums on singles policies and 18% on all other policies.</w:t>
      </w:r>
    </w:p>
    <w:p>
      <w:pPr>
        <w:spacing w:after="0" w:line="2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Total risk in force (RIF) ceded under the QSR agreements was $10.5 billion as of March 31, 2026. During the fourth quarter of 2025, Essent also entered into a forward quota share transaction covering 20% of the risk of all eligible policies written by Essent Guaranty, Inc. in calendar year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4"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Essent Guaranty has entered into fully collateralized outward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w:t>
      </w: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5" w:lineRule="exact"/>
        <w:rPr>
          <w:sz w:val="20"/>
          <w:szCs w:val="20"/>
          <w:color w:val="auto"/>
        </w:rPr>
      </w:pPr>
    </w:p>
    <w:p>
      <w:pPr>
        <w:ind w:right="20" w:firstLine="404"/>
        <w:spacing w:after="0" w:line="257" w:lineRule="auto"/>
        <w:rPr>
          <w:sz w:val="20"/>
          <w:szCs w:val="20"/>
          <w:color w:val="auto"/>
        </w:rPr>
      </w:pPr>
      <w:r>
        <w:rPr>
          <w:rFonts w:ascii="Times New Roman" w:cs="Times New Roman" w:eastAsia="Times New Roman" w:hAnsi="Times New Roman"/>
          <w:sz w:val="18"/>
          <w:szCs w:val="18"/>
          <w:color w:val="auto"/>
        </w:rPr>
        <w:t>Essent Guaranty has also entered into outward reinsurance agreements with panels of reinsurers that provide excess of loss coverage on new insurance written from January 1, 2019 through August 31, 2019 and from October 1, 2021 through December 31, 2025.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24"/>
                <w:szCs w:val="24"/>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2"/>
                <w:szCs w:val="12"/>
                <w:color w:val="auto"/>
              </w:rPr>
            </w:pPr>
          </w:p>
        </w:tc>
        <w:tc>
          <w:tcPr>
            <w:tcW w:w="102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5"/>
        </w:trPr>
        <w:tc>
          <w:tcPr>
            <w:tcW w:w="1740" w:type="dxa"/>
            <w:vAlign w:val="bottom"/>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60" w:type="dxa"/>
            <w:vAlign w:val="bottom"/>
          </w:tcPr>
          <w:p>
            <w:pPr>
              <w:spacing w:after="0"/>
              <w:rPr>
                <w:sz w:val="16"/>
                <w:szCs w:val="16"/>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 2020 - Mar.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17,192,389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4,799,485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275,746</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Apr. 2021 - Sep. 2021</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23,399,809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269,613</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18"/>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2021 - Jul. 2022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23,407,727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288,498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2028</w:t>
            </w:r>
          </w:p>
        </w:tc>
        <w:tc>
          <w:tcPr>
            <w:tcW w:w="0" w:type="dxa"/>
            <w:vAlign w:val="bottom"/>
          </w:tcPr>
          <w:p>
            <w:pPr>
              <w:spacing w:after="0"/>
              <w:rPr>
                <w:sz w:val="1"/>
                <w:szCs w:val="1"/>
                <w:color w:val="auto"/>
              </w:rPr>
            </w:pPr>
          </w:p>
        </w:tc>
      </w:tr>
      <w:tr>
        <w:trPr>
          <w:trHeight w:val="213"/>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2022 - Jun. 2023</w:t>
            </w:r>
          </w:p>
        </w:tc>
        <w:tc>
          <w:tcPr>
            <w:tcW w:w="1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23,806,743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268,187</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2028</w:t>
            </w:r>
          </w:p>
        </w:tc>
        <w:tc>
          <w:tcPr>
            <w:tcW w:w="0" w:type="dxa"/>
            <w:vAlign w:val="bottom"/>
          </w:tcPr>
          <w:p>
            <w:pPr>
              <w:spacing w:after="0"/>
              <w:rPr>
                <w:sz w:val="1"/>
                <w:szCs w:val="1"/>
                <w:color w:val="auto"/>
              </w:rPr>
            </w:pPr>
          </w:p>
        </w:tc>
      </w:tr>
      <w:tr>
        <w:trPr>
          <w:trHeight w:val="215"/>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2024-1</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2023 - Jul. 2024</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23,066,718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6,394,625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253,795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2029</w:t>
            </w:r>
          </w:p>
        </w:tc>
        <w:tc>
          <w:tcPr>
            <w:tcW w:w="0" w:type="dxa"/>
            <w:vAlign w:val="bottom"/>
          </w:tcPr>
          <w:p>
            <w:pPr>
              <w:spacing w:after="0"/>
              <w:rPr>
                <w:sz w:val="1"/>
                <w:szCs w:val="1"/>
                <w:color w:val="auto"/>
              </w:rPr>
            </w:pPr>
          </w:p>
        </w:tc>
      </w:tr>
      <w:tr>
        <w:trPr>
          <w:trHeight w:val="211"/>
        </w:trPr>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110,873,386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30,948,331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791,728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1,355,839</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24"/>
                <w:szCs w:val="24"/>
                <w:color w:val="auto"/>
              </w:rPr>
            </w:pPr>
          </w:p>
        </w:tc>
        <w:tc>
          <w:tcPr>
            <w:tcW w:w="10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1"/>
                <w:szCs w:val="11"/>
                <w:color w:val="auto"/>
              </w:rPr>
            </w:pPr>
          </w:p>
        </w:tc>
        <w:tc>
          <w:tcPr>
            <w:tcW w:w="100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8"/>
        </w:trPr>
        <w:tc>
          <w:tcPr>
            <w:tcW w:w="1660" w:type="dxa"/>
            <w:vAlign w:val="bottom"/>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60" w:type="dxa"/>
            <w:vAlign w:val="bottom"/>
          </w:tcPr>
          <w:p>
            <w:pPr>
              <w:spacing w:after="0"/>
              <w:rPr>
                <w:sz w:val="16"/>
                <w:szCs w:val="16"/>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2019 - Aug. 2019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4,621,398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210,230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Oct. 2021 - Dec. 2022</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53,242,769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14,741,381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465,688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8"/>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Jan. 2023 - Dec. 2023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30,307,586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355,763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2029</w:t>
            </w:r>
          </w:p>
        </w:tc>
        <w:tc>
          <w:tcPr>
            <w:tcW w:w="0" w:type="dxa"/>
            <w:vAlign w:val="bottom"/>
          </w:tcPr>
          <w:p>
            <w:pPr>
              <w:spacing w:after="0"/>
              <w:rPr>
                <w:sz w:val="1"/>
                <w:szCs w:val="1"/>
                <w:color w:val="auto"/>
              </w:rPr>
            </w:pPr>
          </w:p>
        </w:tc>
      </w:tr>
      <w:tr>
        <w:trPr>
          <w:trHeight w:val="213"/>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2024-1</w:t>
            </w: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Jan. 2024 - Dec. 2024</w:t>
            </w:r>
          </w:p>
        </w:tc>
        <w:tc>
          <w:tcPr>
            <w:tcW w:w="2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33,498,856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9,232,623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329,277</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5"/>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2025-1</w:t>
            </w:r>
          </w:p>
        </w:tc>
        <w:tc>
          <w:tcPr>
            <w:tcW w:w="2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Jan. 2025 - Dec. 2025</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41,645,386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11,037,984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80,821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343,234</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2031</w:t>
            </w:r>
          </w:p>
        </w:tc>
        <w:tc>
          <w:tcPr>
            <w:tcW w:w="0" w:type="dxa"/>
            <w:vAlign w:val="bottom"/>
          </w:tcPr>
          <w:p>
            <w:pPr>
              <w:spacing w:after="0"/>
              <w:rPr>
                <w:sz w:val="1"/>
                <w:szCs w:val="1"/>
                <w:color w:val="auto"/>
              </w:rPr>
            </w:pPr>
          </w:p>
        </w:tc>
      </w:tr>
      <w:tr>
        <w:trPr>
          <w:trHeight w:val="211"/>
        </w:trPr>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163,315,995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44,667,637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336,080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1,704,192</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 April 2025, Essent entered into an excess of loss transaction effective July 1, 2026 with a panel of highly rated third-party reinsurers covering 20% of all eligible policies written by Essent Guaranty, Inc. in calendar year 2026.</w:t>
      </w:r>
    </w:p>
    <w:p>
      <w:pPr>
        <w:spacing w:after="0" w:line="202"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17"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4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178,351</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121,243</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196,750</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220,773</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00" w:firstLine="404"/>
        <w:spacing w:after="0" w:line="311" w:lineRule="auto"/>
        <w:rPr>
          <w:sz w:val="20"/>
          <w:szCs w:val="20"/>
          <w:color w:val="auto"/>
        </w:rPr>
      </w:pPr>
      <w:r>
        <w:rPr>
          <w:rFonts w:ascii="Times New Roman" w:cs="Times New Roman" w:eastAsia="Times New Roman" w:hAnsi="Times New Roman"/>
          <w:sz w:val="17"/>
          <w:szCs w:val="17"/>
          <w:color w:val="auto"/>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three months ended March 31:</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7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49,497</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(18,210)</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31,287</w:t>
            </w:r>
          </w:p>
        </w:tc>
      </w:tr>
      <w:tr>
        <w:trPr>
          <w:trHeight w:val="20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r>
      <w:tr>
        <w:trPr>
          <w:trHeight w:val="222"/>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316,203</w:t>
            </w: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 net of unpaid claims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w:t>
            </w:r>
          </w:p>
        </w:tc>
      </w:tr>
      <w:tr>
        <w:trPr>
          <w:trHeight w:val="22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356,653</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$14.5 million was paid for incurred claims and claim adjustment expenses attributable to insured events of prior years. There has been $25.2 million of favorable prior year development during the three months ended March 31, 2026. Net reserves remaining as of March 31, 2026 for prior years are $350.9 million as a result of re-estimation of unpaid losses and loss adjustment expenses. For the three months ended March 31, 2025, $7.1 million was paid for incurred claims and claim adjustment expenses attributable to insured events of prior years. There was $18.2 million of favorable prior year development during the three months ended March 31, 2025. Net reserves remaining as of March 31, 2025 for prior years were $266.8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21" w:lineRule="exact"/>
        <w:rPr>
          <w:sz w:val="20"/>
          <w:szCs w:val="20"/>
          <w:color w:val="auto"/>
        </w:rPr>
      </w:pPr>
    </w:p>
    <w:p>
      <w:pPr>
        <w:ind w:right="80" w:firstLine="404"/>
        <w:spacing w:after="0" w:line="252"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March 31, 2026, the reserves established for the Hurricane Milton and Helene defaults are materially unchanged from December 31, 2024 as this amount continues to be our best estimate of the ultimate losses to be incurred for claims associated with those defaults.</w:t>
      </w:r>
    </w:p>
    <w:p>
      <w:pPr>
        <w:spacing w:after="0" w:line="123" w:lineRule="exact"/>
        <w:rPr>
          <w:sz w:val="20"/>
          <w:szCs w:val="20"/>
          <w:color w:val="auto"/>
        </w:rPr>
      </w:pPr>
    </w:p>
    <w:p>
      <w:pPr>
        <w:ind w:right="220" w:firstLine="404"/>
        <w:spacing w:after="0" w:line="259"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75 basis points during 2025. Mortgage interest rates remain elevated which has reduced home sale activity and may affect the options available to delinquent borrowers. It is reasonably possible that our estimate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losses could change in the near term as a result of changes in the economic environment, the impact of elevated mortgage interest rates on home sale activity, housing inventory and home prices.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7" w:lineRule="exact"/>
        <w:rPr>
          <w:sz w:val="20"/>
          <w:szCs w:val="20"/>
          <w:color w:val="auto"/>
        </w:rPr>
      </w:pPr>
    </w:p>
    <w:p>
      <w:pPr>
        <w:ind w:right="60" w:firstLine="404"/>
        <w:spacing w:after="0" w:line="259" w:lineRule="auto"/>
        <w:rPr>
          <w:sz w:val="20"/>
          <w:szCs w:val="20"/>
          <w:color w:val="auto"/>
        </w:rPr>
      </w:pPr>
      <w:r>
        <w:rPr>
          <w:rFonts w:ascii="Times New Roman" w:cs="Times New Roman" w:eastAsia="Times New Roman" w:hAnsi="Times New Roman"/>
          <w:sz w:val="18"/>
          <w:szCs w:val="18"/>
          <w:color w:val="auto"/>
        </w:rPr>
        <w:t>Essent Group has $500 million of 6.25% publicly issued senior notes (the “Senior Notes") that mature on July 1, 2029. Interest on the Senior Notes is payable semi-annually in arrears on January 1 and July 1 of each year. The Senior Notes are presented on the consolidated balance sheets net of an unamortized issuance discount of $1.2 million and $1.3 million and deferred issuance costs of $3.2 million and $3.4 million as of March 31, 2026 and December 31, 2025, respectively.</w:t>
      </w:r>
    </w:p>
    <w:p>
      <w:pPr>
        <w:spacing w:after="0" w:line="210" w:lineRule="exact"/>
        <w:rPr>
          <w:sz w:val="20"/>
          <w:szCs w:val="20"/>
          <w:color w:val="auto"/>
        </w:rPr>
      </w:pPr>
    </w:p>
    <w:p>
      <w:pPr>
        <w:ind w:right="60" w:firstLine="40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facility of up to $500 million of senior unsecured revolving loans (the “Revolving Credit Facility”) that mature on July 1, 2029. There were no borrowings on the Revolving Credit Facility in the three months ended March 31, 2026 or in the year ended December 31, 2025. A commitment fee is due quarterly on the average daily amount of the undrawn revolving commitment. The annual commitment fee rate as of March 31, 2026 was 0.175%, down from 0.225% as of March 31, 2025 due to the upgrade to our senior unsecured debt rating by Moody’s in August 2025. The Revolving Credit Facility also provides for an aggregate principal amount of up to $250 million in uncommitted incremental revolving credit facilities that may be exercised at the Company’s option, so long as the Company receives sufficient commitments from the bank lenders. The Revolving Credit Facility contains several covenants, including financial covenants relating to minimum net worth, maximum debt to capitalization level and Essent Guaranty's compliance with the PMIERs. The Company was in compliance with all financial covenants as of March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7" w:lineRule="exact"/>
        <w:rPr>
          <w:sz w:val="20"/>
          <w:szCs w:val="20"/>
          <w:color w:val="auto"/>
        </w:rPr>
      </w:pPr>
    </w:p>
    <w:p>
      <w:pPr>
        <w:ind w:right="40" w:firstLine="646"/>
        <w:spacing w:after="0" w:line="273" w:lineRule="auto"/>
        <w:rPr>
          <w:sz w:val="20"/>
          <w:szCs w:val="20"/>
          <w:color w:val="auto"/>
        </w:rPr>
      </w:pPr>
      <w:r>
        <w:rPr>
          <w:rFonts w:ascii="Times New Roman" w:cs="Times New Roman" w:eastAsia="Times New Roman" w:hAnsi="Times New Roman"/>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There were no payments related to these indemnifications in the three months ended March 31, 2026 or 2025. As of March 31, 2026, management believes any potential claims for indemnification related to contract underwriting services through March 31, 2026 are not material to our consolidated financial position or results of operations.</w:t>
      </w:r>
    </w:p>
    <w:p>
      <w:pPr>
        <w:spacing w:after="0" w:line="172"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7"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4"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2"/>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7"/>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240" w:firstLine="646"/>
        <w:spacing w:after="0" w:line="280" w:lineRule="auto"/>
        <w:rPr>
          <w:sz w:val="20"/>
          <w:szCs w:val="20"/>
          <w:color w:val="auto"/>
        </w:rPr>
      </w:pPr>
      <w:r>
        <w:rPr>
          <w:rFonts w:ascii="Times New Roman" w:cs="Times New Roman" w:eastAsia="Times New Roman" w:hAnsi="Times New Roman"/>
          <w:sz w:val="18"/>
          <w:szCs w:val="18"/>
          <w:color w:val="auto"/>
        </w:rPr>
        <w:t>In May 2026, the Board of Directors declared a quarterly cash dividend of $0.35 per common share payable on June 10, 2026 to shareholders of record on June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0" w:lineRule="exact"/>
        <w:rPr>
          <w:sz w:val="20"/>
          <w:szCs w:val="20"/>
          <w:color w:val="auto"/>
        </w:rPr>
      </w:pPr>
    </w:p>
    <w:p>
      <w:pPr>
        <w:ind w:firstLine="404"/>
        <w:spacing w:after="0" w:line="257" w:lineRule="auto"/>
        <w:rPr>
          <w:sz w:val="20"/>
          <w:szCs w:val="20"/>
          <w:color w:val="auto"/>
        </w:rPr>
      </w:pPr>
      <w:r>
        <w:rPr>
          <w:rFonts w:ascii="Times New Roman" w:cs="Times New Roman" w:eastAsia="Times New Roman" w:hAnsi="Times New Roman"/>
          <w:sz w:val="18"/>
          <w:szCs w:val="18"/>
          <w:color w:val="auto"/>
        </w:rPr>
        <w:t>In February 2025, the Board of Directors approved a share repurchase plan that authorized the Company to repurchase $500 million of common shares in the open market through December 31, 2026. In November 2025, the Board of Directors approved a share repurchase plan that authorizes the Company to repurchase an additional $500 million of common shares in the open market through December 31, 2027. From January 1, 2026 through March 31, 2026 the Company purchased 2,594,197 common shares at a cost of $157.0 million. The shares repurchased were recorded at cost and included in treasury stock. All treasury stock has been cancelled as of March 31, 2026.</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7"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In 2013, Essent Group's Board of Directors adopted, and Essent Group's shareholders </w:t>
      </w:r>
      <w:r>
        <w:rPr>
          <w:rFonts w:ascii="Times New Roman" w:cs="Times New Roman" w:eastAsia="Times New Roman" w:hAnsi="Times New Roman"/>
          <w:sz w:val="18"/>
          <w:szCs w:val="18"/>
          <w:color w:val="242021"/>
        </w:rPr>
        <w:t>approved, the Essent Group Ltd. 2013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March 31, 2026, there were 2.7 million common shares available for future grant under the 2013 Plan.</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3"/>
          </w:tcPr>
          <w:p>
            <w:pPr>
              <w:jc w:val="center"/>
              <w:ind w:right="6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tcPr>
          <w:p>
            <w:pPr>
              <w:jc w:val="center"/>
              <w:ind w:right="140"/>
              <w:spacing w:after="0" w:line="128"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00" w:type="dxa"/>
            <w:vAlign w:val="bottom"/>
            <w:gridSpan w:val="5"/>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9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900" w:type="dxa"/>
            <w:vAlign w:val="bottom"/>
            <w:gridSpan w:val="5"/>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1"/>
        </w:trPr>
        <w:tc>
          <w:tcPr>
            <w:tcW w:w="172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right="160" w:firstLine="444"/>
        <w:spacing w:after="0" w:line="255" w:lineRule="auto"/>
        <w:rPr>
          <w:sz w:val="20"/>
          <w:szCs w:val="20"/>
          <w:color w:val="auto"/>
        </w:rPr>
      </w:pPr>
      <w:r>
        <w:rPr>
          <w:rFonts w:ascii="Times New Roman" w:cs="Times New Roman" w:eastAsia="Times New Roman" w:hAnsi="Times New Roman"/>
          <w:sz w:val="18"/>
          <w:szCs w:val="18"/>
          <w:color w:val="auto"/>
        </w:rPr>
        <w:t>In February 2026, certain members of senior management were granted nonvested common shares under the 2013 Plan that are subject to performance-based vesting and common share units subject to time-based vesting. The time-based share units granted in February 2026 vest annually in three equal installments commencing on March 1 of the year following the grant year. The performance-based share awards granted in February 2026 vest based upon our compounded annual book value per share growth percentage and relative total shareholder return during a three-year performance period that commenced on January 1, 2026, and they vest on March 1, 2029. Shares were issued at the maximum 200% of target. The portion of these nonvested performance-based share awards that will be earned is as follows: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w:t>
            </w:r>
          </w:p>
        </w:tc>
        <w:tc>
          <w:tcPr>
            <w:tcW w:w="25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75%</w:t>
            </w:r>
          </w:p>
        </w:tc>
        <w:tc>
          <w:tcPr>
            <w:tcW w:w="25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9"/>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7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50%</w:t>
            </w:r>
          </w:p>
        </w:tc>
        <w:tc>
          <w:tcPr>
            <w:tcW w:w="2540" w:type="dxa"/>
            <w:vAlign w:val="bottom"/>
            <w:tcBorders>
              <w:bottom w:val="single" w:sz="8" w:color="CCEEFF"/>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020" w:type="dxa"/>
            <w:vAlign w:val="bottom"/>
          </w:tcPr>
          <w:p>
            <w:pPr>
              <w:jc w:val="center"/>
              <w:ind w:right="590"/>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25%</w:t>
            </w:r>
          </w:p>
        </w:tc>
        <w:tc>
          <w:tcPr>
            <w:tcW w:w="254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20" w:type="dxa"/>
            <w:vAlign w:val="bottom"/>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1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Certain time-and-performance based share awards and units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202"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3" w:lineRule="exact"/>
        <w:rPr>
          <w:sz w:val="20"/>
          <w:szCs w:val="20"/>
          <w:color w:val="auto"/>
        </w:rPr>
      </w:pPr>
    </w:p>
    <w:p>
      <w:pPr>
        <w:ind w:right="60" w:firstLine="444"/>
        <w:spacing w:after="0" w:line="280"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2025, in February 2026, time-based share units were issued to certain employees that vest in three equal installments on March 1, 2027, 2028 and 2029.</w:t>
      </w:r>
    </w:p>
    <w:p>
      <w:pPr>
        <w:spacing w:after="0" w:line="190" w:lineRule="exact"/>
        <w:rPr>
          <w:sz w:val="20"/>
          <w:szCs w:val="20"/>
          <w:color w:val="auto"/>
        </w:rPr>
      </w:pPr>
    </w:p>
    <w:p>
      <w:pPr>
        <w:ind w:right="360" w:firstLine="646"/>
        <w:spacing w:after="0" w:line="265"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2024, 2025 and 2026 contain a market condition and were valued based on analysis provided by a third-party valuation firm using a risk-neutral simulation taking into effect the vesting conditions of the grant.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$36.3 million and $30.8 million for the three months ended March 31, 2026 and 2025, respectively. As of March 31, 2026, there was $22.5 million of total unrecognized compensation expense related to nonvested shares or share units outstanding at March 31, 2026 and we expect to recognize the expense over a weighted average period of 2.36 years.</w:t>
      </w:r>
    </w:p>
    <w:p>
      <w:pPr>
        <w:spacing w:after="0" w:line="202" w:lineRule="exact"/>
        <w:rPr>
          <w:sz w:val="20"/>
          <w:szCs w:val="20"/>
          <w:color w:val="auto"/>
        </w:rPr>
      </w:pPr>
    </w:p>
    <w:p>
      <w:pPr>
        <w:ind w:right="200" w:firstLine="646"/>
        <w:spacing w:after="0" w:line="265"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225,521 in the three months ended March 31, 2026. The tendered shares were recorded at cost and included in treasury stock. All treasury stock has been cancelled as of March 31, 2026.</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was as follows:</w:t>
      </w:r>
    </w:p>
    <w:p>
      <w:pPr>
        <w:spacing w:after="0" w:line="42" w:lineRule="exact"/>
        <w:rPr>
          <w:sz w:val="20"/>
          <w:szCs w:val="20"/>
          <w:color w:val="auto"/>
        </w:rPr>
      </w:pPr>
    </w:p>
    <w:tbl>
      <w:tblPr>
        <w:tblLayout w:type="fixed"/>
        <w:tblInd w:w="214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4"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March 31, 2026, Essent Guaranty had unassigned surplus of approximately $329.5 million. As of March 31, 2026, Essent Guaranty could pay additional ordinary dividends in 2026 of $329.5 million. In April 2026, Essent Guaranty paid dividends of $50 million to its parent, Essent US Holdings, Inc. In the three months ended March 31, 2025, Essent Guaranty paid dividends of $65 million to its parent, Essent US Holdings, Inc.</w:t>
      </w:r>
    </w:p>
    <w:p>
      <w:pPr>
        <w:spacing w:after="0" w:line="215"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2026, Essent Re had total equity of $1.7 billion. In each of the three months ended March 31, 2026 and 2025, Essent Re paid dividends of $100 million to its parent, Essent Group Ltd.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2026, our insurance subsidiaries were in compliance with these rules, regulations and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7" w:lineRule="exact"/>
        <w:rPr>
          <w:sz w:val="20"/>
          <w:szCs w:val="20"/>
          <w:color w:val="auto"/>
        </w:rPr>
      </w:pPr>
    </w:p>
    <w:p>
      <w:pPr>
        <w:ind w:right="10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3"/>
        </w:trPr>
        <w:tc>
          <w:tcPr>
            <w:tcW w:w="43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5"/>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r>
      <w:tr>
        <w:trPr>
          <w:trHeight w:val="54"/>
        </w:trPr>
        <w:tc>
          <w:tcPr>
            <w:tcW w:w="43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102,881</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103,946</w:t>
            </w:r>
          </w:p>
        </w:tc>
      </w:tr>
      <w:tr>
        <w:trPr>
          <w:trHeight w:val="54"/>
        </w:trPr>
        <w:tc>
          <w:tcPr>
            <w:tcW w:w="438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896"/>
        </w:trPr>
        <w:tc>
          <w:tcPr>
            <w:tcW w:w="4380" w:type="dxa"/>
            <w:vAlign w:val="bottom"/>
          </w:tcPr>
          <w:p>
            <w:pPr>
              <w:spacing w:after="0"/>
              <w:rPr>
                <w:sz w:val="24"/>
                <w:szCs w:val="24"/>
                <w:color w:val="auto"/>
              </w:rPr>
            </w:pPr>
          </w:p>
        </w:tc>
        <w:tc>
          <w:tcPr>
            <w:tcW w:w="376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4"/>
        </w:trPr>
        <w:tc>
          <w:tcPr>
            <w:tcW w:w="43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82,248 and 112,727 antidilutive shares for the three months ended March 31, 2026 and 2025, respectively.</w:t>
      </w:r>
    </w:p>
    <w:p>
      <w:pPr>
        <w:spacing w:after="0" w:line="223" w:lineRule="exact"/>
        <w:rPr>
          <w:sz w:val="20"/>
          <w:szCs w:val="20"/>
          <w:color w:val="auto"/>
        </w:rPr>
      </w:pPr>
    </w:p>
    <w:p>
      <w:pPr>
        <w:ind w:right="220" w:firstLine="646"/>
        <w:spacing w:after="0" w:line="259"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2026, 2025 and 2024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2026 Performance-Based</w:t>
            </w:r>
          </w:p>
        </w:tc>
        <w:tc>
          <w:tcPr>
            <w:tcW w:w="19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2025 Performance-Based</w:t>
            </w: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680" w:type="dxa"/>
            <w:vAlign w:val="bottom"/>
          </w:tcPr>
          <w:p>
            <w:pPr>
              <w:spacing w:after="0"/>
              <w:rPr>
                <w:sz w:val="16"/>
                <w:szCs w:val="16"/>
                <w:color w:val="auto"/>
              </w:rPr>
            </w:pPr>
          </w:p>
        </w:tc>
        <w:tc>
          <w:tcPr>
            <w:tcW w:w="126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40" w:type="dxa"/>
            <w:vAlign w:val="bottom"/>
          </w:tcPr>
          <w:p>
            <w:pPr>
              <w:spacing w:after="0"/>
              <w:rPr>
                <w:sz w:val="16"/>
                <w:szCs w:val="16"/>
                <w:color w:val="auto"/>
              </w:rPr>
            </w:pPr>
          </w:p>
        </w:tc>
        <w:tc>
          <w:tcPr>
            <w:tcW w:w="126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00" w:type="dxa"/>
            <w:vAlign w:val="bottom"/>
          </w:tcPr>
          <w:p>
            <w:pPr>
              <w:spacing w:after="0"/>
              <w:rPr>
                <w:sz w:val="16"/>
                <w:szCs w:val="16"/>
                <w:color w:val="auto"/>
              </w:rPr>
            </w:pPr>
          </w:p>
        </w:tc>
        <w:tc>
          <w:tcPr>
            <w:tcW w:w="120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9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left="8"/>
              <w:spacing w:after="0" w:line="121"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ind w:left="88"/>
              <w:spacing w:after="0" w:line="121"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jc w:val="center"/>
              <w:ind w:left="51"/>
              <w:spacing w:after="0" w:line="121"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680" w:type="dxa"/>
            <w:vAlign w:val="bottom"/>
          </w:tcPr>
          <w:p>
            <w:pPr>
              <w:jc w:val="center"/>
              <w:ind w:left="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740" w:type="dxa"/>
            <w:vAlign w:val="bottom"/>
          </w:tcPr>
          <w:p>
            <w:pPr>
              <w:jc w:val="center"/>
              <w:ind w:left="68"/>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700" w:type="dxa"/>
            <w:vAlign w:val="bottom"/>
          </w:tcPr>
          <w:p>
            <w:pPr>
              <w:jc w:val="center"/>
              <w:ind w:left="3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0" w:type="dxa"/>
            <w:vAlign w:val="bottom"/>
          </w:tcPr>
          <w:p>
            <w:pPr>
              <w:spacing w:after="0"/>
              <w:rPr>
                <w:sz w:val="1"/>
                <w:szCs w:val="1"/>
                <w:color w:val="auto"/>
              </w:rPr>
            </w:pPr>
          </w:p>
        </w:tc>
      </w:tr>
      <w:tr>
        <w:trPr>
          <w:trHeight w:val="128"/>
        </w:trPr>
        <w:tc>
          <w:tcPr>
            <w:tcW w:w="32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100" w:type="dxa"/>
            <w:vAlign w:val="bottom"/>
            <w:vMerge w:val="restart"/>
          </w:tcPr>
          <w:p>
            <w:pPr>
              <w:spacing w:after="0"/>
              <w:rPr>
                <w:sz w:val="11"/>
                <w:szCs w:val="11"/>
                <w:color w:val="auto"/>
              </w:rPr>
            </w:pPr>
          </w:p>
        </w:tc>
        <w:tc>
          <w:tcPr>
            <w:tcW w:w="9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940" w:type="dxa"/>
            <w:vAlign w:val="bottom"/>
            <w:vMerge w:val="continue"/>
          </w:tcPr>
          <w:p>
            <w:pPr>
              <w:spacing w:after="0"/>
              <w:rPr>
                <w:sz w:val="11"/>
                <w:szCs w:val="11"/>
                <w:color w:val="auto"/>
              </w:rPr>
            </w:pPr>
          </w:p>
        </w:tc>
        <w:tc>
          <w:tcPr>
            <w:tcW w:w="680" w:type="dxa"/>
            <w:vAlign w:val="bottom"/>
          </w:tcPr>
          <w:p>
            <w:pPr>
              <w:jc w:val="center"/>
              <w:ind w:left="28"/>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40" w:type="dxa"/>
            <w:vAlign w:val="bottom"/>
          </w:tcPr>
          <w:p>
            <w:pPr>
              <w:jc w:val="center"/>
              <w:ind w:left="88"/>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00" w:type="dxa"/>
            <w:vAlign w:val="bottom"/>
          </w:tcPr>
          <w:p>
            <w:pPr>
              <w:jc w:val="center"/>
              <w:ind w:left="51"/>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6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9"/>
                <w:szCs w:val="19"/>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w w:val="98"/>
              </w:rPr>
              <w:t>50.5%</w:t>
            </w:r>
          </w:p>
        </w:tc>
        <w:tc>
          <w:tcPr>
            <w:tcW w:w="680" w:type="dxa"/>
            <w:vAlign w:val="bottom"/>
          </w:tcPr>
          <w:p>
            <w:pPr>
              <w:jc w:val="center"/>
              <w:ind w:left="28"/>
              <w:spacing w:after="0"/>
              <w:rPr>
                <w:sz w:val="20"/>
                <w:szCs w:val="20"/>
                <w:color w:val="auto"/>
              </w:rPr>
            </w:pPr>
            <w:r>
              <w:rPr>
                <w:rFonts w:ascii="Times New Roman" w:cs="Times New Roman" w:eastAsia="Times New Roman" w:hAnsi="Times New Roman"/>
                <w:sz w:val="18"/>
                <w:szCs w:val="18"/>
                <w:color w:val="auto"/>
                <w:w w:val="99"/>
              </w:rPr>
              <w:t>175%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740" w:type="dxa"/>
            <w:vAlign w:val="bottom"/>
          </w:tcPr>
          <w:p>
            <w:pPr>
              <w:jc w:val="center"/>
              <w:ind w:left="88"/>
              <w:spacing w:after="0"/>
              <w:rPr>
                <w:sz w:val="20"/>
                <w:szCs w:val="20"/>
                <w:color w:val="auto"/>
              </w:rPr>
            </w:pPr>
            <w:r>
              <w:rPr>
                <w:rFonts w:ascii="Times New Roman" w:cs="Times New Roman" w:eastAsia="Times New Roman" w:hAnsi="Times New Roman"/>
                <w:sz w:val="18"/>
                <w:szCs w:val="18"/>
                <w:color w:val="auto"/>
                <w:w w:val="99"/>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w:t>
            </w:r>
          </w:p>
        </w:tc>
        <w:tc>
          <w:tcPr>
            <w:tcW w:w="80" w:type="dxa"/>
            <w:vAlign w:val="bottom"/>
          </w:tcPr>
          <w:p>
            <w:pPr>
              <w:spacing w:after="0"/>
              <w:rPr>
                <w:sz w:val="19"/>
                <w:szCs w:val="19"/>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12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2025</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8"/>
                <w:szCs w:val="18"/>
                <w:color w:val="auto"/>
                <w:w w:val="99"/>
              </w:rPr>
              <w:t>200%</w:t>
            </w:r>
          </w:p>
        </w:tc>
        <w:tc>
          <w:tcPr>
            <w:tcW w:w="116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8"/>
                <w:szCs w:val="18"/>
                <w:color w:val="auto"/>
                <w:w w:val="99"/>
              </w:rPr>
              <w:t>103%</w:t>
            </w:r>
          </w:p>
        </w:tc>
        <w:tc>
          <w:tcPr>
            <w:tcW w:w="1180" w:type="dxa"/>
            <w:vAlign w:val="bottom"/>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w w:val="98"/>
              </w:rPr>
              <w:t>51.5%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3"/>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2023 performance based awards vested at 193% relative to target on March 1,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loss for the three months ended March 31, 2026 and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2"/>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
        </w:trPr>
        <w:tc>
          <w:tcPr>
            <w:tcW w:w="3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r>
      <w:tr>
        <w:trPr>
          <w:trHeight w:val="20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9"/>
        </w:trPr>
        <w:tc>
          <w:tcPr>
            <w:tcW w:w="3860" w:type="dxa"/>
            <w:vAlign w:val="bottom"/>
            <w:gridSpan w:val="2"/>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3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during the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71,595</w:t>
            </w:r>
          </w:p>
        </w:tc>
      </w:tr>
      <w:tr>
        <w:trPr>
          <w:trHeight w:val="175"/>
        </w:trPr>
        <w:tc>
          <w:tcPr>
            <w:tcW w:w="386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2"/>
        </w:trPr>
        <w:tc>
          <w:tcPr>
            <w:tcW w:w="38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2"/>
        </w:trPr>
        <w:tc>
          <w:tcPr>
            <w:tcW w:w="3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r>
      <w:tr>
        <w:trPr>
          <w:trHeight w:val="222"/>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71,738</w:t>
            </w:r>
          </w:p>
        </w:tc>
      </w:tr>
      <w:tr>
        <w:trPr>
          <w:trHeight w:val="247"/>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383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7" w:lineRule="exact"/>
        <w:rPr>
          <w:sz w:val="20"/>
          <w:szCs w:val="20"/>
          <w:color w:val="auto"/>
        </w:rPr>
      </w:pPr>
    </w:p>
    <w:p>
      <w:pPr>
        <w:ind w:right="160" w:firstLine="646"/>
        <w:spacing w:after="0" w:line="280"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7" w:lineRule="exact"/>
        <w:rPr>
          <w:sz w:val="20"/>
          <w:szCs w:val="20"/>
          <w:color w:val="auto"/>
        </w:rPr>
      </w:pPr>
    </w:p>
    <w:p>
      <w:pPr>
        <w:ind w:right="340" w:firstLine="646"/>
        <w:spacing w:after="0" w:line="259"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0" w:lineRule="exact"/>
        <w:rPr>
          <w:sz w:val="20"/>
          <w:szCs w:val="20"/>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3" w:lineRule="exact"/>
        <w:rPr>
          <w:rFonts w:ascii="Times New Roman" w:cs="Times New Roman" w:eastAsia="Times New Roman" w:hAnsi="Times New Roman"/>
          <w:sz w:val="18"/>
          <w:szCs w:val="18"/>
          <w:color w:val="auto"/>
        </w:rPr>
      </w:pPr>
    </w:p>
    <w:p>
      <w:pPr>
        <w:jc w:val="both"/>
        <w:ind w:left="660" w:right="80" w:hanging="330"/>
        <w:spacing w:after="0" w:line="26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7" w:lineRule="exact"/>
        <w:rPr>
          <w:sz w:val="20"/>
          <w:szCs w:val="20"/>
          <w:color w:val="auto"/>
        </w:rPr>
      </w:pPr>
    </w:p>
    <w:p>
      <w:pPr>
        <w:ind w:right="120" w:firstLine="646"/>
        <w:spacing w:after="0" w:line="276" w:lineRule="auto"/>
        <w:rPr>
          <w:sz w:val="20"/>
          <w:szCs w:val="20"/>
          <w:color w:val="auto"/>
        </w:rPr>
      </w:pPr>
      <w:r>
        <w:rPr>
          <w:rFonts w:ascii="Times New Roman" w:cs="Times New Roman" w:eastAsia="Times New Roman" w:hAnsi="Times New Roman"/>
          <w:sz w:val="17"/>
          <w:szCs w:val="17"/>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0" w:lineRule="exact"/>
        <w:rPr>
          <w:sz w:val="20"/>
          <w:szCs w:val="20"/>
          <w:color w:val="auto"/>
        </w:rPr>
      </w:pPr>
    </w:p>
    <w:p>
      <w:pPr>
        <w:ind w:left="660" w:right="20" w:hanging="330"/>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7"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 (In thousands)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332,065</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1,143,120</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608,683</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1,936,708</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462,048</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887,866</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6,048,244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 (In thousands)</w:t>
            </w:r>
          </w:p>
        </w:tc>
        <w:tc>
          <w:tcPr>
            <w:tcW w:w="220" w:type="dxa"/>
            <w:vAlign w:val="bottom"/>
          </w:tcPr>
          <w:p>
            <w:pPr>
              <w:spacing w:after="0"/>
              <w:rPr>
                <w:sz w:val="11"/>
                <w:szCs w:val="11"/>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369,712</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1,174,895</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610,411</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1,980,080</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464,105</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800,366</w:t>
            </w:r>
          </w:p>
        </w:tc>
        <w:tc>
          <w:tcPr>
            <w:tcW w:w="0" w:type="dxa"/>
            <w:vAlign w:val="bottom"/>
          </w:tcPr>
          <w:p>
            <w:pPr>
              <w:spacing w:after="0"/>
              <w:rPr>
                <w:sz w:val="1"/>
                <w:szCs w:val="1"/>
                <w:color w:val="auto"/>
              </w:rPr>
            </w:pPr>
          </w:p>
        </w:tc>
      </w:tr>
      <w:tr>
        <w:trPr>
          <w:trHeight w:val="229"/>
        </w:trPr>
        <w:tc>
          <w:tcPr>
            <w:tcW w:w="4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648,492</w:t>
            </w:r>
          </w:p>
        </w:tc>
        <w:tc>
          <w:tcPr>
            <w:tcW w:w="0" w:type="dxa"/>
            <w:vAlign w:val="bottom"/>
          </w:tcPr>
          <w:p>
            <w:pPr>
              <w:spacing w:after="0"/>
              <w:rPr>
                <w:sz w:val="1"/>
                <w:szCs w:val="1"/>
                <w:color w:val="auto"/>
              </w:rPr>
            </w:pPr>
          </w:p>
        </w:tc>
      </w:tr>
      <w:tr>
        <w:trPr>
          <w:trHeight w:val="247"/>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6,104,085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40" w:hanging="330"/>
        <w:spacing w:after="0" w:line="26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80" w:hanging="330"/>
        <w:spacing w:after="0" w:line="259"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4" w:lineRule="exact"/>
        <w:rPr>
          <w:sz w:val="20"/>
          <w:szCs w:val="20"/>
          <w:color w:val="auto"/>
        </w:rPr>
      </w:pPr>
    </w:p>
    <w:p>
      <w:pPr>
        <w:ind w:right="100" w:firstLine="646"/>
        <w:spacing w:after="0" w:line="259"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$495.6 million and $517.1 million, respectively, as of March 31, 2026. The carrying amount and estimated fair value of our senior notes was $495.3 million and $522.6 million, respectively, as of December 31, 2025. The fair value of our senior notes is estimated based on quoted market prices.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7"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three months ended March 31, 2026 and 2025 as well as statutory surplus and contingency reserve liability at March 31, 2026 and December 31, 2025: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80" w:type="dxa"/>
            <w:vAlign w:val="bottom"/>
            <w:gridSpan w:val="4"/>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6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106,009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0" w:type="dxa"/>
            <w:vAlign w:val="bottom"/>
          </w:tcPr>
          <w:p>
            <w:pPr>
              <w:spacing w:after="0"/>
              <w:rPr>
                <w:sz w:val="1"/>
                <w:szCs w:val="1"/>
                <w:color w:val="auto"/>
              </w:rPr>
            </w:pPr>
          </w:p>
        </w:tc>
      </w:tr>
      <w:tr>
        <w:trPr>
          <w:trHeight w:val="526"/>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24"/>
                <w:szCs w:val="24"/>
                <w:color w:val="auto"/>
              </w:rPr>
            </w:pPr>
          </w:p>
        </w:tc>
        <w:tc>
          <w:tcPr>
            <w:tcW w:w="17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7"/>
                <w:szCs w:val="17"/>
                <w:color w:val="auto"/>
              </w:rPr>
            </w:pPr>
          </w:p>
        </w:tc>
        <w:tc>
          <w:tcPr>
            <w:tcW w:w="172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6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1,034,815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951,100</w:t>
            </w:r>
          </w:p>
        </w:tc>
        <w:tc>
          <w:tcPr>
            <w:tcW w:w="0" w:type="dxa"/>
            <w:vAlign w:val="bottom"/>
          </w:tcPr>
          <w:p>
            <w:pPr>
              <w:spacing w:after="0"/>
              <w:rPr>
                <w:sz w:val="1"/>
                <w:szCs w:val="1"/>
                <w:color w:val="auto"/>
              </w:rPr>
            </w:pPr>
          </w:p>
        </w:tc>
      </w:tr>
      <w:tr>
        <w:trPr>
          <w:trHeight w:val="234"/>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40" w:type="dxa"/>
            <w:vAlign w:val="bottom"/>
          </w:tcPr>
          <w:p>
            <w:pPr>
              <w:spacing w:after="0"/>
              <w:rPr>
                <w:sz w:val="20"/>
                <w:szCs w:val="20"/>
                <w:color w:val="auto"/>
              </w:rPr>
            </w:pP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2,647,661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2,621,787</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180" w:firstLine="646"/>
        <w:spacing w:after="0" w:line="275" w:lineRule="auto"/>
        <w:rPr>
          <w:sz w:val="20"/>
          <w:szCs w:val="20"/>
          <w:color w:val="auto"/>
        </w:rPr>
      </w:pPr>
      <w:r>
        <w:rPr>
          <w:rFonts w:ascii="Times New Roman" w:cs="Times New Roman" w:eastAsia="Times New Roman" w:hAnsi="Times New Roman"/>
          <w:sz w:val="17"/>
          <w:szCs w:val="17"/>
          <w:color w:val="auto"/>
        </w:rPr>
        <w:t>Net income determined in accordance with statutory accounting practices differs from GAAP. In 2026 and 2025, the more significant differences between net income determined under statutory accounting practices and GAAP for Essent Guaranty relate to policy acquisition costs and income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spacing w:after="0" w:line="217" w:lineRule="exact"/>
        <w:rPr>
          <w:sz w:val="20"/>
          <w:szCs w:val="20"/>
          <w:color w:val="auto"/>
        </w:rPr>
      </w:pPr>
    </w:p>
    <w:p>
      <w:pPr>
        <w:ind w:right="700" w:firstLine="646"/>
        <w:spacing w:after="0" w:line="280" w:lineRule="auto"/>
        <w:rPr>
          <w:sz w:val="20"/>
          <w:szCs w:val="20"/>
          <w:color w:val="auto"/>
        </w:rPr>
      </w:pPr>
      <w:r>
        <w:rPr>
          <w:rFonts w:ascii="Times New Roman" w:cs="Times New Roman" w:eastAsia="Times New Roman" w:hAnsi="Times New Roman"/>
          <w:sz w:val="18"/>
          <w:szCs w:val="18"/>
          <w:color w:val="auto"/>
        </w:rPr>
        <w:t>At March 31, 2026 and December 31, 2025, the statutory capital of Essent Guaranty, which is defined as the total of statutory surplus and contingency reserves, was in excess of the statutory capital necessary to satisfy its regulatory requirements.</w:t>
      </w:r>
    </w:p>
    <w:p>
      <w:pPr>
        <w:spacing w:after="0" w:line="190"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ended March 31, 2025, and will become fully effective on September 30, 2026. As of March 31, 2026, Essent Guaranty, our GSE-approved mortgage insurance company, was in compliance with the PMIERs.</w:t>
      </w:r>
    </w:p>
    <w:p>
      <w:pPr>
        <w:spacing w:after="0" w:line="210"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three months ended March 31, 2026 and 2025, Essent Guaranty increased its contingency reserve by $66.3 million and $74.1 million, respectively. During the three months ended March 31, 2026 and 2025, Essent Guaranty released contingency reserves of $40.4 million and $34.9 million, respectively, to unassigned funds upon completion of the 120 month holding period.</w:t>
      </w:r>
    </w:p>
    <w:p>
      <w:pPr>
        <w:spacing w:after="0" w:line="210"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March 31, 2026, all such requirements were met.</w:t>
      </w:r>
    </w:p>
    <w:p>
      <w:pPr>
        <w:spacing w:after="0" w:line="210" w:lineRule="exact"/>
        <w:rPr>
          <w:sz w:val="20"/>
          <w:szCs w:val="20"/>
          <w:color w:val="auto"/>
        </w:rPr>
      </w:pPr>
    </w:p>
    <w:p>
      <w:pPr>
        <w:ind w:right="60" w:firstLine="646"/>
        <w:spacing w:after="0" w:line="259" w:lineRule="auto"/>
        <w:rPr>
          <w:sz w:val="20"/>
          <w:szCs w:val="20"/>
          <w:color w:val="auto"/>
        </w:rPr>
      </w:pPr>
      <w:r>
        <w:rPr>
          <w:rFonts w:ascii="Times New Roman" w:cs="Times New Roman" w:eastAsia="Times New Roman" w:hAnsi="Times New Roman"/>
          <w:sz w:val="18"/>
          <w:szCs w:val="18"/>
          <w:color w:val="auto"/>
        </w:rPr>
        <w:t>Essent Re's statutory capital and surplus was $1.7 billion as of both March 31, 2026 and December 31, 2025. Essent Re's statutory net income was $73.6 million and $79.5 million for the three months ended March 31, 2026 and 2025, respectively. Statutory capital and surplus as of March 31, 2026 and December 31, 2025 and statutory net income in the three months ended March 31, 2026 and 2025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160" w:lineRule="exact"/>
        <w:rPr>
          <w:sz w:val="20"/>
          <w:szCs w:val="20"/>
          <w:color w:val="auto"/>
        </w:rPr>
      </w:pPr>
    </w:p>
    <w:p>
      <w:pPr>
        <w:ind w:left="340" w:right="40" w:firstLine="484"/>
        <w:spacing w:after="0" w:line="259" w:lineRule="auto"/>
        <w:rPr>
          <w:sz w:val="20"/>
          <w:szCs w:val="20"/>
          <w:color w:val="auto"/>
        </w:rPr>
      </w:pPr>
      <w:r>
        <w:rPr>
          <w:rFonts w:ascii="Times New Roman" w:cs="Times New Roman" w:eastAsia="Times New Roman" w:hAnsi="Times New Roman"/>
          <w:sz w:val="18"/>
          <w:szCs w:val="18"/>
          <w:color w:val="auto"/>
        </w:rPr>
        <w:t>We have two reportable business segments: Mortgage Insurance and Reinsurance. Our Mortgage Insurance segment offers private mortgage insurance for mortgages secured by residential properties located in the United States. We provide private mortgage insurance on residential first-lien mortgage loans (“mortgage insurance”) through our mortgage insurance subsidiary, Essent Guaranty, Inc., which we refer to as "Essent Guaranty", and also offer other credit risk management solutions, including contract underwriting, to our customers.</w:t>
      </w:r>
    </w:p>
    <w:p>
      <w:pPr>
        <w:spacing w:after="0" w:line="102" w:lineRule="exact"/>
        <w:rPr>
          <w:sz w:val="20"/>
          <w:szCs w:val="20"/>
          <w:color w:val="auto"/>
        </w:rPr>
      </w:pPr>
    </w:p>
    <w:p>
      <w:pPr>
        <w:jc w:val="both"/>
        <w:ind w:left="340" w:right="140" w:firstLine="484"/>
        <w:spacing w:after="0" w:line="265" w:lineRule="auto"/>
        <w:rPr>
          <w:sz w:val="20"/>
          <w:szCs w:val="20"/>
          <w:color w:val="auto"/>
        </w:rPr>
      </w:pPr>
      <w:r>
        <w:rPr>
          <w:rFonts w:ascii="Times New Roman" w:cs="Times New Roman" w:eastAsia="Times New Roman" w:hAnsi="Times New Roman"/>
          <w:sz w:val="18"/>
          <w:szCs w:val="18"/>
          <w:color w:val="auto"/>
        </w:rPr>
        <w:t>Our Reinsurance segment reinsures U.S. mortgage risk in the GSE credit risk transfer market and provides underwriting consulting services to third-party reinsurers ("GSE and other risk share") through our wholly owned, Bermuda-based subsidiary, Essent Reinsurance Ltd., which we refer to as "Essent Re". Effective January 1, 2026, Essent Re began reinsuring certain property and casualty risks.</w:t>
      </w:r>
    </w:p>
    <w:p>
      <w:pPr>
        <w:spacing w:after="0" w:line="108" w:lineRule="exact"/>
        <w:rPr>
          <w:sz w:val="20"/>
          <w:szCs w:val="20"/>
          <w:color w:val="auto"/>
        </w:rPr>
      </w:pPr>
    </w:p>
    <w:p>
      <w:pPr>
        <w:ind w:left="340" w:firstLine="484"/>
        <w:spacing w:after="0" w:line="259"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spacing w:after="0" w:line="115" w:lineRule="exact"/>
        <w:rPr>
          <w:sz w:val="20"/>
          <w:szCs w:val="20"/>
          <w:color w:val="auto"/>
        </w:rPr>
      </w:pPr>
    </w:p>
    <w:p>
      <w:pPr>
        <w:ind w:left="340" w:right="20" w:firstLine="484"/>
        <w:spacing w:after="0" w:line="265"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95" w:lineRule="exact"/>
        <w:rPr>
          <w:sz w:val="20"/>
          <w:szCs w:val="20"/>
          <w:color w:val="auto"/>
        </w:rPr>
      </w:pPr>
    </w:p>
    <w:p>
      <w:pPr>
        <w:ind w:left="340" w:right="100" w:firstLine="484"/>
        <w:spacing w:after="0" w:line="259"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and Reinsurance segments through analysis of the loss ratio, expense ratio and combined ratio. We do not manage our segments by assets.</w:t>
      </w:r>
    </w:p>
    <w:p>
      <w:pPr>
        <w:spacing w:after="0" w:line="115" w:lineRule="exact"/>
        <w:rPr>
          <w:sz w:val="20"/>
          <w:szCs w:val="20"/>
          <w:color w:val="auto"/>
        </w:rPr>
      </w:pPr>
    </w:p>
    <w:p>
      <w:pPr>
        <w:ind w:left="340" w:right="340" w:firstLine="484"/>
        <w:spacing w:after="0" w:line="280" w:lineRule="auto"/>
        <w:rPr>
          <w:sz w:val="20"/>
          <w:szCs w:val="20"/>
          <w:color w:val="auto"/>
        </w:rPr>
      </w:pPr>
      <w:r>
        <w:rPr>
          <w:rFonts w:ascii="Times New Roman" w:cs="Times New Roman" w:eastAsia="Times New Roman" w:hAnsi="Times New Roman"/>
          <w:sz w:val="18"/>
          <w:szCs w:val="18"/>
          <w:color w:val="auto"/>
        </w:rPr>
        <w:t>As of March 31, 2026 and December 31, 2025, all goodwill is assigned to our title operating segment, which is included in our Corporate &amp; Other category. Goodwill was $48.8 million at both March 31, 2026 and December 31, 2025.</w:t>
      </w:r>
    </w:p>
    <w:p>
      <w:pPr>
        <w:spacing w:after="0" w:line="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connection with the reinsurance of certain property and casualty risks, acquisition costs deferred in our Reinsurance segment were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$53.8 million during the three months ended March 31, 2026 and the amortization of deferred acquisition costs in our Reinsurance segment was</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 million for the three months ended March 31, 2026.</w:t>
      </w:r>
    </w:p>
    <w:p>
      <w:pPr>
        <w:spacing w:after="0" w:line="1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58" w:lineRule="exact"/>
        <w:rPr>
          <w:sz w:val="20"/>
          <w:szCs w:val="20"/>
          <w:color w:val="auto"/>
        </w:rPr>
      </w:pPr>
    </w:p>
    <w:p>
      <w:pPr>
        <w:ind w:left="340" w:right="180" w:firstLine="484"/>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and Reinsurance segments include software, professional fees, travel, and occupancy costs. The accounting policies of our operating segments are the same as those described in the summary of significant accounting policies in our Form 10-K. We do not have inter-segment transactions.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9"/>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0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12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80" w:type="dxa"/>
            <w:vAlign w:val="bottom"/>
          </w:tcPr>
          <w:p>
            <w:pPr>
              <w:spacing w:after="0"/>
              <w:rPr>
                <w:sz w:val="11"/>
                <w:szCs w:val="11"/>
                <w:color w:val="auto"/>
              </w:rPr>
            </w:pPr>
          </w:p>
        </w:tc>
        <w:tc>
          <w:tcPr>
            <w:tcW w:w="100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8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2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premiums earned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215,663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29,310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260,093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218,124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15,734</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245,848</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42,357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58,210</w:t>
            </w:r>
          </w:p>
        </w:tc>
        <w:tc>
          <w:tcPr>
            <w:tcW w:w="0" w:type="dxa"/>
            <w:vAlign w:val="bottom"/>
          </w:tcPr>
          <w:p>
            <w:pPr>
              <w:spacing w:after="0"/>
              <w:rPr>
                <w:sz w:val="1"/>
                <w:szCs w:val="1"/>
                <w:color w:val="auto"/>
              </w:rPr>
            </w:pPr>
          </w:p>
        </w:tc>
      </w:t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Realized investment gains (losses), net</w:t>
            </w:r>
          </w:p>
        </w:tc>
        <w:tc>
          <w:tcPr>
            <w:tcW w:w="16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other invested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2,953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6,273</w:t>
            </w:r>
          </w:p>
        </w:tc>
        <w:tc>
          <w:tcPr>
            <w:tcW w:w="0" w:type="dxa"/>
            <w:vAlign w:val="bottom"/>
          </w:tcPr>
          <w:p>
            <w:pPr>
              <w:spacing w:after="0"/>
              <w:rPr>
                <w:sz w:val="1"/>
                <w:szCs w:val="1"/>
                <w:color w:val="auto"/>
              </w:rPr>
            </w:pPr>
          </w:p>
        </w:tc>
      </w:tr>
      <w:tr>
        <w:trPr>
          <w:trHeight w:val="195"/>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265,337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35,951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336,072</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265,570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23,527</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28,461</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317,558</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Losses and expenses: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losses and LAE</w:t>
            </w:r>
          </w:p>
        </w:tc>
        <w:tc>
          <w:tcPr>
            <w:tcW w:w="16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37,620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30,720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31,287</w:t>
            </w:r>
          </w:p>
        </w:tc>
        <w:tc>
          <w:tcPr>
            <w:tcW w:w="0" w:type="dxa"/>
            <w:vAlign w:val="bottom"/>
          </w:tcPr>
          <w:p>
            <w:pPr>
              <w:spacing w:after="0"/>
              <w:rPr>
                <w:sz w:val="1"/>
                <w:szCs w:val="1"/>
                <w:color w:val="auto"/>
              </w:rPr>
            </w:pPr>
          </w:p>
        </w:tc>
      </w:tr>
      <w:tr>
        <w:trPr>
          <w:trHeight w:val="277"/>
        </w:trPr>
        <w:tc>
          <w:tcPr>
            <w:tcW w:w="2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6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16,617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18,610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39,692</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 and other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5,992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0" w:type="dxa"/>
            <w:vAlign w:val="bottom"/>
          </w:tcPr>
          <w:p>
            <w:pPr>
              <w:spacing w:after="0"/>
              <w:rPr>
                <w:sz w:val="1"/>
                <w:szCs w:val="1"/>
                <w:color w:val="auto"/>
              </w:rPr>
            </w:pPr>
          </w:p>
        </w:tc>
      </w:tr>
      <w:tr>
        <w:trPr>
          <w:trHeight w:val="19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costs, net (3)</w:t>
            </w:r>
          </w:p>
        </w:tc>
        <w:tc>
          <w:tcPr>
            <w:tcW w:w="16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(7,378)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0" w:type="dxa"/>
            <w:vAlign w:val="bottom"/>
          </w:tcPr>
          <w:p>
            <w:pPr>
              <w:spacing w:after="0"/>
              <w:rPr>
                <w:sz w:val="1"/>
                <w:szCs w:val="1"/>
                <w:color w:val="auto"/>
              </w:rPr>
            </w:pPr>
          </w:p>
        </w:tc>
      </w:tr>
      <w:tr>
        <w:trPr>
          <w:trHeight w:val="147"/>
        </w:trPr>
        <w:tc>
          <w:tcPr>
            <w:tcW w:w="25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underwriting and operating</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30,602</w:t>
            </w:r>
          </w:p>
        </w:tc>
        <w:tc>
          <w:tcPr>
            <w:tcW w:w="0" w:type="dxa"/>
            <w:vAlign w:val="bottom"/>
          </w:tcPr>
          <w:p>
            <w:pPr>
              <w:spacing w:after="0"/>
              <w:rPr>
                <w:sz w:val="1"/>
                <w:szCs w:val="1"/>
                <w:color w:val="auto"/>
              </w:rPr>
            </w:pPr>
          </w:p>
        </w:tc>
      </w:tr>
      <w:tr>
        <w:trPr>
          <w:trHeight w:val="198"/>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5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3"/>
                <w:szCs w:val="13"/>
                <w:b w:val="1"/>
                <w:bCs w:val="1"/>
                <w:color w:val="auto"/>
              </w:rPr>
              <w:t>Net operating expenses before</w:t>
            </w:r>
          </w:p>
        </w:tc>
        <w:tc>
          <w:tcPr>
            <w:tcW w:w="160" w:type="dxa"/>
            <w:vAlign w:val="bottom"/>
          </w:tcPr>
          <w:p>
            <w:pPr>
              <w:spacing w:after="0"/>
              <w:rPr>
                <w:sz w:val="10"/>
                <w:szCs w:val="10"/>
                <w:color w:val="auto"/>
              </w:rPr>
            </w:pP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26,065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9,925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72,983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28,134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2,457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71,124</w:t>
            </w:r>
          </w:p>
        </w:tc>
        <w:tc>
          <w:tcPr>
            <w:tcW w:w="0" w:type="dxa"/>
            <w:vAlign w:val="bottom"/>
          </w:tcPr>
          <w:p>
            <w:pPr>
              <w:spacing w:after="0"/>
              <w:rPr>
                <w:sz w:val="1"/>
                <w:szCs w:val="1"/>
                <w:color w:val="auto"/>
              </w:rPr>
            </w:pPr>
          </w:p>
        </w:tc>
      </w:tr>
      <w:tr>
        <w:trPr>
          <w:trHeight w:val="194"/>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allocations</w:t>
            </w: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expense allocations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11,542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 after allocations</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37,607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10,476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72,983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40,938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2,667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71,124</w:t>
            </w:r>
          </w:p>
        </w:tc>
        <w:tc>
          <w:tcPr>
            <w:tcW w:w="0" w:type="dxa"/>
            <w:vAlign w:val="bottom"/>
          </w:tcPr>
          <w:p>
            <w:pPr>
              <w:spacing w:after="0"/>
              <w:rPr>
                <w:sz w:val="1"/>
                <w:szCs w:val="1"/>
                <w:color w:val="auto"/>
              </w:rPr>
            </w:pPr>
          </w:p>
        </w:tc>
      </w:tr>
      <w:tr>
        <w:trPr>
          <w:trHeight w:val="21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0" w:type="dxa"/>
            <w:vAlign w:val="bottom"/>
          </w:tcPr>
          <w:p>
            <w:pPr>
              <w:spacing w:after="0"/>
              <w:rPr>
                <w:sz w:val="1"/>
                <w:szCs w:val="1"/>
                <w:color w:val="auto"/>
              </w:rPr>
            </w:pPr>
          </w:p>
        </w:tc>
      </w:tr>
      <w:tr>
        <w:trPr>
          <w:trHeight w:val="19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190,110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15,546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206,725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193,912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20,857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(7,770)</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206,999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ratio (1)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 ratio (2)</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 ratio</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31" w:lineRule="exact"/>
        <w:rPr>
          <w:rFonts w:ascii="Times New Roman" w:cs="Times New Roman" w:eastAsia="Times New Roman" w:hAnsi="Times New Roman"/>
          <w:sz w:val="14"/>
          <w:szCs w:val="14"/>
          <w:b w:val="1"/>
          <w:bCs w:val="1"/>
          <w:color w:val="auto"/>
        </w:rPr>
      </w:pPr>
    </w:p>
    <w:p>
      <w:pPr>
        <w:ind w:left="220" w:hanging="195"/>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40" w:lineRule="exact"/>
        <w:rPr>
          <w:rFonts w:ascii="Times New Roman" w:cs="Times New Roman" w:eastAsia="Times New Roman" w:hAnsi="Times New Roman"/>
          <w:sz w:val="14"/>
          <w:szCs w:val="14"/>
          <w:b w:val="1"/>
          <w:bCs w:val="1"/>
          <w:color w:val="auto"/>
        </w:rPr>
      </w:pPr>
    </w:p>
    <w:p>
      <w:pPr>
        <w:ind w:left="20" w:right="3840" w:firstLine="5"/>
        <w:spacing w:after="0" w:line="257" w:lineRule="auto"/>
        <w:tabs>
          <w:tab w:leader="none" w:pos="223"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Acquisition costs are net of ceding commissions earned on outward reinsurance and include ceding commissions incurred on reinsurance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95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282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our audited consolidated financial statements and related notes included in our Annual Report on Form 10-K as of and for the year ended December 31, 2025 as filed with the Securities and Exchange Commission and referred to herein as the “Annual Report,” and our condensed consolidated financial statements and related notes as of and for the three months ended March 31, 2026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360" w:firstLine="646"/>
        <w:spacing w:after="0" w:line="265"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two reportable segments: Mortgage Insurance and Reinsurance.</w:t>
      </w:r>
    </w:p>
    <w:p>
      <w:pPr>
        <w:spacing w:after="0" w:line="202" w:lineRule="exact"/>
        <w:rPr>
          <w:sz w:val="20"/>
          <w:szCs w:val="20"/>
          <w:color w:val="auto"/>
        </w:rPr>
      </w:pPr>
    </w:p>
    <w:p>
      <w:pPr>
        <w:ind w:right="180" w:firstLine="646"/>
        <w:spacing w:after="0" w:line="245"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$11.1 billion for the three months ended March 31, 2026 compared to approximately $9.9 billion for the three months ended March 31, 2025. The financial strength ratings of Essent Guaranty are A2 with a stable outlook by Moody’s Ratings (“Moody's”), A- with a stable outlook by S&amp;P Global Ratings (“S&amp;P”) and A (Excellent) with a stable outlook by A.M. Best Ratings Services, Inc. ("AM Best").</w:t>
      </w:r>
    </w:p>
    <w:p>
      <w:pPr>
        <w:spacing w:after="0" w:line="114" w:lineRule="exact"/>
        <w:rPr>
          <w:sz w:val="20"/>
          <w:szCs w:val="20"/>
          <w:color w:val="auto"/>
        </w:rPr>
      </w:pPr>
    </w:p>
    <w:p>
      <w:pPr>
        <w:ind w:right="100" w:firstLine="404"/>
        <w:spacing w:after="0" w:line="257"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which we refer to as "Essent Re", we reinsure U.S. mortgage risk in the GSE credit risk transfer market and also provide underwriting consulting services to third-party reinsurers. As of March 31, 2026, Essent Re provided insurance or reinsurance relating to GSE and other mortgage risk share transactions covering approximately $2.1 billion of risk. Essent Re also reinsures Essent Guaranty’s NIW under a quota share reinsurance agreement. Effective January 1, 2026, Essent Re began reinsuring certain property and casualty risks. The financial strength ratings of Essent Re are A- with a stable outlook by S&amp;P and A (Excellent) with a stable outlook by AM Best.</w:t>
      </w:r>
    </w:p>
    <w:p>
      <w:pPr>
        <w:spacing w:after="0" w:line="102" w:lineRule="exact"/>
        <w:rPr>
          <w:sz w:val="20"/>
          <w:szCs w:val="20"/>
          <w:color w:val="auto"/>
        </w:rPr>
      </w:pPr>
    </w:p>
    <w:p>
      <w:pPr>
        <w:ind w:firstLine="404"/>
        <w:spacing w:after="0" w:line="265"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through Essent Title Insurance, Inc., which we refer to as "Essent Title", as well as title and settlement services. Title insurance operations are included in the Corporate &amp; Other category.</w:t>
      </w:r>
    </w:p>
    <w:p>
      <w:pPr>
        <w:spacing w:after="0" w:line="94" w:lineRule="exact"/>
        <w:rPr>
          <w:sz w:val="20"/>
          <w:szCs w:val="20"/>
          <w:color w:val="auto"/>
        </w:rPr>
      </w:pPr>
    </w:p>
    <w:p>
      <w:pPr>
        <w:ind w:right="540" w:firstLine="646"/>
        <w:spacing w:after="0" w:line="280" w:lineRule="auto"/>
        <w:rPr>
          <w:sz w:val="20"/>
          <w:szCs w:val="20"/>
          <w:color w:val="auto"/>
        </w:rPr>
      </w:pPr>
      <w:r>
        <w:rPr>
          <w:rFonts w:ascii="Times New Roman" w:cs="Times New Roman" w:eastAsia="Times New Roman" w:hAnsi="Times New Roman"/>
          <w:sz w:val="18"/>
          <w:szCs w:val="18"/>
          <w:color w:val="auto"/>
        </w:rPr>
        <w:t>We have a highly experienced, talented team with 520 employees as of March 31, 2026. Our holding company and reinsurance business are domiciled in Bermuda. Our U.S. mortgage insurance and title insurance operations are headquartered in Radnor, Pennsylvania.</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60" w:lineRule="exact"/>
        <w:rPr>
          <w:sz w:val="20"/>
          <w:szCs w:val="20"/>
          <w:color w:val="auto"/>
        </w:rPr>
      </w:pPr>
    </w:p>
    <w:p>
      <w:pPr>
        <w:ind w:right="200" w:firstLine="404"/>
        <w:spacing w:after="0" w:line="257"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reduced the target federal funds rate by 100 basis points in 2024 and by another 75 basis points during 2025.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102" w:lineRule="exact"/>
        <w:rPr>
          <w:sz w:val="20"/>
          <w:szCs w:val="20"/>
          <w:color w:val="auto"/>
        </w:rPr>
      </w:pPr>
    </w:p>
    <w:p>
      <w:pPr>
        <w:ind w:right="180" w:firstLine="404"/>
        <w:spacing w:after="0" w:line="257"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 expectations for the amount of ultimate losses on these delinquencies.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Ongoing geopolitical tensions and military conflicts in the Middle East, including the conflict involving Iran, may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adversely affect our operations as it relates to the conflict's impact on the interest rate environment, consumer habits, as well as conflict-related events that could lead to future property and casualty losses in our Reinsurance segment.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7"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60" w:lineRule="exact"/>
        <w:rPr>
          <w:sz w:val="20"/>
          <w:szCs w:val="20"/>
          <w:color w:val="auto"/>
        </w:rPr>
      </w:pPr>
    </w:p>
    <w:p>
      <w:pPr>
        <w:ind w:right="60" w:firstLine="404"/>
        <w:spacing w:after="0" w:line="265"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imposes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108" w:lineRule="exact"/>
        <w:rPr>
          <w:sz w:val="20"/>
          <w:szCs w:val="20"/>
          <w:color w:val="auto"/>
        </w:rPr>
      </w:pPr>
    </w:p>
    <w:p>
      <w:pPr>
        <w:ind w:right="240" w:firstLine="404"/>
        <w:spacing w:after="0" w:line="255" w:lineRule="auto"/>
        <w:rPr>
          <w:sz w:val="20"/>
          <w:szCs w:val="20"/>
          <w:color w:val="auto"/>
        </w:rPr>
      </w:pPr>
      <w:r>
        <w:rPr>
          <w:rFonts w:ascii="Times New Roman" w:cs="Times New Roman" w:eastAsia="Times New Roman" w:hAnsi="Times New Roman"/>
          <w:sz w:val="18"/>
          <w:szCs w:val="18"/>
          <w:color w:val="auto"/>
        </w:rPr>
        <w:t>Although our annual revenue meets the CIT threshold for "in-scope" (€750M), our Bermuda companies are not "in scope" because of a statutory exception for entities having “limited international presence” or "LIP". We currently meet the criteria for the LIP exception, which is available to our Bermuda companies for a period of five years, or when the LIP criteria are no longer met, whichever is sooner. The LIP exemption criteria are subject to interpretation of existing Bermuda law, as well as any related new regulations that may be issued by the Government of Bermuda. Also, future strategic business decisions could impact qualification for the LIP exception. Accordingly, no assurances can be made that we will continue meeting the LIP exception criteria during the four years remaining in our five-year exemption period.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40" w:hanging="330"/>
        <w:spacing w:after="0" w:line="26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2" w:lineRule="exact"/>
        <w:rPr>
          <w:rFonts w:ascii="Times New Roman" w:cs="Times New Roman" w:eastAsia="Times New Roman" w:hAnsi="Times New Roman"/>
          <w:sz w:val="18"/>
          <w:szCs w:val="18"/>
          <w:color w:val="auto"/>
        </w:rPr>
      </w:pPr>
    </w:p>
    <w:p>
      <w:pPr>
        <w:ind w:left="660" w:right="22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23"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policies are cancelled due to repayment of the underlying loan and the premium is non-refundable, the remaining unearned premium balance is immediately recognized as earned premium revenue. Substantially all of our single premium policies in force as of March 31, 2026 were non-refundable. Premiums collected on annual policies are recognized as net premiums earned on a straight-line basis over the year of coverage. For the three months ended March 31, 2026 and 2025, monthly premium policies comprised 98% and 99% of our NIW, respectively.</w:t>
      </w:r>
    </w:p>
    <w:p>
      <w:pPr>
        <w:spacing w:after="0" w:line="210" w:lineRule="exact"/>
        <w:rPr>
          <w:sz w:val="20"/>
          <w:szCs w:val="20"/>
          <w:color w:val="auto"/>
        </w:rPr>
      </w:pPr>
    </w:p>
    <w:p>
      <w:pPr>
        <w:ind w:right="160" w:firstLine="646"/>
        <w:spacing w:after="0" w:line="259" w:lineRule="auto"/>
        <w:rPr>
          <w:sz w:val="20"/>
          <w:szCs w:val="20"/>
          <w:color w:val="auto"/>
        </w:rPr>
      </w:pPr>
      <w:r>
        <w:rPr>
          <w:rFonts w:ascii="Times New Roman" w:cs="Times New Roman" w:eastAsia="Times New Roman" w:hAnsi="Times New Roman"/>
          <w:sz w:val="18"/>
          <w:szCs w:val="18"/>
          <w:color w:val="auto"/>
        </w:rPr>
        <w:t>Premiums associated with our GSE and other mortgage risk share transactions are based on the level of risk in force and premium rates on the transactions. Premiums associated with property and casualty reinsurance are generally earned on a pro rata basis over the terms of the underlying policies or reinsurance contracts. Premiums written are based on contract and policy terms and include estimates based on information received from ceding companies. Subsequent revisions to premium estimates are recorded in the period in which they are determined.</w:t>
      </w:r>
    </w:p>
    <w:p>
      <w:pPr>
        <w:spacing w:after="0" w:line="210" w:lineRule="exact"/>
        <w:rPr>
          <w:sz w:val="20"/>
          <w:szCs w:val="20"/>
          <w:color w:val="auto"/>
        </w:rPr>
      </w:pPr>
    </w:p>
    <w:p>
      <w:pPr>
        <w:ind w:right="180" w:firstLine="646"/>
        <w:spacing w:after="0" w:line="280"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84.7% at March 31, 2026. Generally, higher prepayment speeds lead to lower persistency.</w:t>
      </w:r>
    </w:p>
    <w:p>
      <w:pPr>
        <w:spacing w:after="0" w:line="202" w:lineRule="exact"/>
        <w:rPr>
          <w:sz w:val="20"/>
          <w:szCs w:val="20"/>
          <w:color w:val="auto"/>
        </w:rPr>
      </w:pPr>
    </w:p>
    <w:p>
      <w:pPr>
        <w:ind w:right="20" w:firstLine="691"/>
        <w:spacing w:after="0" w:line="255"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7"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March 31, 2026.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160" w:lineRule="exact"/>
        <w:rPr>
          <w:sz w:val="20"/>
          <w:szCs w:val="20"/>
          <w:color w:val="auto"/>
        </w:rPr>
      </w:pPr>
    </w:p>
    <w:p>
      <w:pPr>
        <w:ind w:right="40" w:firstLine="404"/>
        <w:spacing w:after="0" w:line="255"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percentage of our portfolio to limited partnership investments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7" w:lineRule="exact"/>
        <w:rPr>
          <w:sz w:val="20"/>
          <w:szCs w:val="20"/>
          <w:color w:val="auto"/>
        </w:rPr>
      </w:pPr>
    </w:p>
    <w:p>
      <w:pPr>
        <w:jc w:val="both"/>
        <w:ind w:right="220" w:firstLine="646"/>
        <w:spacing w:after="0" w:line="257"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0" w:lineRule="exact"/>
        <w:rPr>
          <w:sz w:val="20"/>
          <w:szCs w:val="20"/>
          <w:color w:val="auto"/>
        </w:rPr>
      </w:pPr>
    </w:p>
    <w:p>
      <w:pPr>
        <w:ind w:right="140" w:firstLine="646"/>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3" w:lineRule="exact"/>
        <w:rPr>
          <w:sz w:val="20"/>
          <w:szCs w:val="20"/>
          <w:color w:val="auto"/>
        </w:rPr>
      </w:pPr>
    </w:p>
    <w:p>
      <w:pPr>
        <w:ind w:firstLine="169"/>
        <w:spacing w:after="0" w:line="265"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3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Mortgage Insurance</w:t>
      </w:r>
    </w:p>
    <w:p>
      <w:pPr>
        <w:spacing w:after="0" w:line="158" w:lineRule="exact"/>
        <w:rPr>
          <w:sz w:val="20"/>
          <w:szCs w:val="20"/>
          <w:color w:val="auto"/>
        </w:rPr>
      </w:pPr>
    </w:p>
    <w:p>
      <w:pPr>
        <w:ind w:right="400" w:firstLine="404"/>
        <w:spacing w:after="0" w:line="280"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3" w:lineRule="exact"/>
        <w:rPr>
          <w:sz w:val="20"/>
          <w:szCs w:val="20"/>
          <w:color w:val="auto"/>
        </w:rPr>
      </w:pPr>
    </w:p>
    <w:p>
      <w:pPr>
        <w:ind w:left="660" w:right="20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2" w:lineRule="exact"/>
        <w:rPr>
          <w:rFonts w:ascii="Times New Roman" w:cs="Times New Roman" w:eastAsia="Times New Roman" w:hAnsi="Times New Roman"/>
          <w:sz w:val="18"/>
          <w:szCs w:val="18"/>
          <w:color w:val="auto"/>
        </w:rPr>
      </w:pPr>
    </w:p>
    <w:p>
      <w:pPr>
        <w:ind w:left="660" w:right="220" w:hanging="330"/>
        <w:spacing w:after="0" w:line="311"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5" w:lineRule="exact"/>
        <w:rPr>
          <w:rFonts w:ascii="Times New Roman" w:cs="Times New Roman" w:eastAsia="Times New Roman" w:hAnsi="Times New Roman"/>
          <w:sz w:val="17"/>
          <w:szCs w:val="17"/>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right="180" w:hanging="330"/>
        <w:spacing w:after="0" w:line="26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hanging="330"/>
        <w:spacing w:after="0" w:line="25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March 31, 2026, 51% of our IIF relates to mortgage insurance business written before January 1, 2023 and was at least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3" w:lineRule="exact"/>
        <w:rPr>
          <w:sz w:val="20"/>
          <w:szCs w:val="20"/>
          <w:color w:val="auto"/>
        </w:rPr>
      </w:pPr>
    </w:p>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7" w:lineRule="exact"/>
        <w:rPr>
          <w:sz w:val="20"/>
          <w:szCs w:val="20"/>
          <w:color w:val="auto"/>
        </w:rPr>
      </w:pPr>
    </w:p>
    <w:p>
      <w:pPr>
        <w:ind w:right="80" w:firstLine="646"/>
        <w:spacing w:after="0" w:line="244" w:lineRule="auto"/>
        <w:rPr>
          <w:sz w:val="20"/>
          <w:szCs w:val="20"/>
          <w:color w:val="auto"/>
        </w:rPr>
      </w:pPr>
      <w:r>
        <w:rPr>
          <w:rFonts w:ascii="Times New Roman" w:cs="Times New Roman" w:eastAsia="Times New Roman" w:hAnsi="Times New Roman"/>
          <w:sz w:val="18"/>
          <w:szCs w:val="18"/>
          <w:color w:val="auto"/>
        </w:rPr>
        <w:t>Based upon our experience and industry data, claims incidence for mortgage insurance is generally highest in the third through sixth years after loan origination. As of March 31, 2026, 51% of our IIF relates to business written before January 1, 2023 and was at least three years old. As such, we expect incurred losses and claims to increase as a greater amount of this book of insurance is entering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01" w:lineRule="exact"/>
        <w:rPr>
          <w:sz w:val="20"/>
          <w:szCs w:val="20"/>
          <w:color w:val="auto"/>
        </w:rPr>
      </w:pPr>
    </w:p>
    <w:p>
      <w:pPr>
        <w:ind w:right="40" w:firstLine="404"/>
        <w:spacing w:after="0" w:line="241"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reduced the target federal funds rate by 100 basis points in 2024 and by another 75 basis points during 2025.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18" w:lineRule="exact"/>
        <w:rPr>
          <w:sz w:val="20"/>
          <w:szCs w:val="20"/>
          <w:color w:val="auto"/>
        </w:rPr>
      </w:pPr>
    </w:p>
    <w:p>
      <w:pPr>
        <w:ind w:right="40" w:firstLine="404"/>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18" w:lineRule="exact"/>
        <w:rPr>
          <w:sz w:val="20"/>
          <w:szCs w:val="20"/>
          <w:color w:val="auto"/>
        </w:rPr>
      </w:pPr>
    </w:p>
    <w:p>
      <w:pPr>
        <w:ind w:right="60" w:firstLine="444"/>
        <w:spacing w:after="0" w:line="257"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March 31, 2026, we had approximately $1.1 billion of excess of loss reinsurance covering NIW from January 1, 2019 through August 31, 2019 and August 1, 2020 through December 31, 2025 and quota share reinsurance on portions of our NIW effective September 1, 2019 through December 31, 2020 and January 1, 2022 through December 31, 2026. The impact on our reserves in future periods will be dependent upon the amount of delinquent notices received from loan servicers, the performance of defaults and our expectations for the amount of ultimate losses on these delinquencies.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Property and Casualty Reinsurance</w:t>
      </w:r>
    </w:p>
    <w:p>
      <w:pPr>
        <w:spacing w:after="0" w:line="145"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The Company estimates the reserves for property and casualty reinsurance based on reports from ceding companies and industry data analyzed using standard actuarial and statistical techniques. The Company selects initial expected loss and loss adjustment expense ratios based on information provided by ceding companies, actuaries and its underwriters, supplemented by industry data where appropriate. The analysis includes assessing currently available data, predictions of future developments, estimates of future trends, and other factors. These estimates are reviewed regularly and, as experience develops and new information becomes known, the reserves are adjusted as necessary. Such adjustments, if any, are reflected in income in the period in which they are determined. The final settlement of losses may vary, perhaps materially, from the reserves recorded.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58" w:lineRule="exact"/>
        <w:rPr>
          <w:sz w:val="20"/>
          <w:szCs w:val="20"/>
          <w:color w:val="auto"/>
        </w:rPr>
      </w:pPr>
    </w:p>
    <w:p>
      <w:pPr>
        <w:ind w:right="160" w:firstLine="404"/>
        <w:spacing w:after="0" w:line="257"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02" w:lineRule="exact"/>
        <w:rPr>
          <w:sz w:val="20"/>
          <w:szCs w:val="20"/>
          <w:color w:val="auto"/>
        </w:rPr>
      </w:pPr>
    </w:p>
    <w:p>
      <w:pPr>
        <w:ind w:right="20" w:firstLine="404"/>
        <w:spacing w:after="0" w:line="259"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Outward Reinsurance</w:t>
      </w:r>
    </w:p>
    <w:p>
      <w:pPr>
        <w:spacing w:after="0" w:line="160"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right="240" w:firstLine="646"/>
        <w:spacing w:after="0" w:line="311" w:lineRule="auto"/>
        <w:rPr>
          <w:sz w:val="20"/>
          <w:szCs w:val="20"/>
          <w:color w:val="auto"/>
        </w:rPr>
      </w:pPr>
      <w:r>
        <w:rPr>
          <w:rFonts w:ascii="Times New Roman" w:cs="Times New Roman" w:eastAsia="Times New Roman" w:hAnsi="Times New Roman"/>
          <w:sz w:val="17"/>
          <w:szCs w:val="17"/>
          <w:color w:val="auto"/>
        </w:rPr>
        <w:t>Our other underwriting and operating expenses include components that are substantially fixed, as well as expenses that generally increase or decrease in line with the level of mortgage insurance NIW, reinsurance premiums earned, title insurance policies issued and settlement services provided.</w:t>
      </w:r>
    </w:p>
    <w:p>
      <w:pPr>
        <w:spacing w:after="0" w:line="72" w:lineRule="exact"/>
        <w:rPr>
          <w:sz w:val="20"/>
          <w:szCs w:val="20"/>
          <w:color w:val="auto"/>
        </w:rPr>
      </w:pPr>
    </w:p>
    <w:p>
      <w:pPr>
        <w:ind w:right="260" w:firstLine="691"/>
        <w:spacing w:after="0" w:line="265"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50% of other underwriting and operating expenses for the three months ended March 31, 2026, compared to 56% for the three months ended March 31, 2025. Compensation and benefits expense includes base and incentive cash compensation, stock compensation expense, benefits and payroll taxes.</w:t>
      </w:r>
    </w:p>
    <w:p>
      <w:pPr>
        <w:spacing w:after="0" w:line="95"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Underwriting and other expenses include acquisition costs, legal, consulting, other professional fees, premium taxes, travel, entertainment, marketing, licensing, supplies, hardware, software, rent, utilities, depreciation and amortization and other expenses. Acquisition costs are net of ceding commissions earned on outward reinsurance and include ceding commissions incurred on reinsurance assumed. We anticipate that as we continue to add new customers and increase our mortgage insurance IIF, assume additional reinsurance, and increase title insurance policies issued and settlement services provided, our expenses will also continue to increase.</w:t>
      </w:r>
    </w:p>
    <w:p>
      <w:pPr>
        <w:spacing w:after="0" w:line="116" w:lineRule="exact"/>
        <w:rPr>
          <w:sz w:val="20"/>
          <w:szCs w:val="20"/>
          <w:color w:val="auto"/>
        </w:rPr>
      </w:pPr>
    </w:p>
    <w:p>
      <w:pPr>
        <w:ind w:right="280" w:firstLine="646"/>
        <w:spacing w:after="0" w:line="265"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right="100" w:firstLine="646"/>
        <w:spacing w:after="0" w:line="259"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Except for six states, most notably Florida, our insurance subsidiaries pay premium taxes in lieu of state income taxes. Premium taxes are recorded in other underwriting and operating expenses.</w:t>
      </w:r>
    </w:p>
    <w:p>
      <w:pPr>
        <w:spacing w:after="0" w:line="115" w:lineRule="exact"/>
        <w:rPr>
          <w:sz w:val="20"/>
          <w:szCs w:val="20"/>
          <w:color w:val="auto"/>
        </w:rPr>
      </w:pPr>
    </w:p>
    <w:p>
      <w:pPr>
        <w:ind w:right="220" w:firstLine="404"/>
        <w:spacing w:after="0" w:line="257"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Essent Re reinsures U.S. mortgage risk in the GSE credit risk transfer market, provides underwriting consulting services to third-party reinsurers and effective January 1, 2026, reinsures certain property and casualty risks. Essent Re also reinsures Essent Guaranty's NIW under a quota share reinsurance agreement. The following table summarizes the quota share reinsurance coverage that Essent Re has provided to Essent Guaranty for the respective NIW periods:</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4"/>
        </w:trPr>
        <w:tc>
          <w:tcPr>
            <w:tcW w:w="960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9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9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firstLine="404"/>
        <w:spacing w:after="0" w:line="280"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Earnings and Cash Flow Cycle</w:t>
      </w:r>
    </w:p>
    <w:p>
      <w:pPr>
        <w:spacing w:after="0" w:line="227" w:lineRule="exact"/>
        <w:rPr>
          <w:sz w:val="20"/>
          <w:szCs w:val="20"/>
          <w:color w:val="auto"/>
        </w:rPr>
      </w:pPr>
    </w:p>
    <w:p>
      <w:pPr>
        <w:ind w:right="180" w:firstLine="646"/>
        <w:spacing w:after="0" w:line="257"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of mortgage insurance policies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10" w:lineRule="exact"/>
        <w:rPr>
          <w:sz w:val="20"/>
          <w:szCs w:val="20"/>
          <w:color w:val="auto"/>
        </w:rPr>
      </w:pPr>
    </w:p>
    <w:p>
      <w:pPr>
        <w:ind w:right="220" w:firstLine="646"/>
        <w:spacing w:after="0" w:line="259" w:lineRule="auto"/>
        <w:rPr>
          <w:sz w:val="20"/>
          <w:szCs w:val="20"/>
          <w:color w:val="auto"/>
        </w:rPr>
      </w:pPr>
      <w:r>
        <w:rPr>
          <w:rFonts w:ascii="Times New Roman" w:cs="Times New Roman" w:eastAsia="Times New Roman" w:hAnsi="Times New Roman"/>
          <w:sz w:val="18"/>
          <w:szCs w:val="18"/>
          <w:color w:val="auto"/>
        </w:rPr>
        <w:t>In general, the underwriting profit generated by certain lines of property and casualty insurance policies depends on the pattern in which written premiums are earned over the coverage period and the estimate of the initial reserves for future claim payments. Significant periods of time may elapse between the point at which premiums are written and earned and the occurrence of an insured loss, the reporting of the loss to the reinsurer and subsequent payments to the ceding insurer by the reinsurer.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7"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months ended March 31, 2026 and 2025 for our U.S. mortgage insurance portfolio. In addition, this table includes our RIF at the end of each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248,356,397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14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11,076,190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(11,523,170)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(8,898,267)</w:t>
            </w:r>
          </w:p>
        </w:tc>
        <w:tc>
          <w:tcPr>
            <w:tcW w:w="0" w:type="dxa"/>
            <w:vAlign w:val="bottom"/>
          </w:tcPr>
          <w:p>
            <w:pPr>
              <w:spacing w:after="0"/>
              <w:rPr>
                <w:sz w:val="1"/>
                <w:szCs w:val="1"/>
                <w:color w:val="auto"/>
              </w:rPr>
            </w:pPr>
          </w:p>
        </w:tc>
      </w:tr>
      <w:tr>
        <w:trPr>
          <w:trHeight w:val="222"/>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247,909,417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244,692,492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247,838,392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244,005,459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56,271,605</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56,565,811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82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March 31, 2026 by vintage: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24"/>
                <w:szCs w:val="24"/>
                <w:color w:val="auto"/>
              </w:rPr>
            </w:pPr>
          </w:p>
        </w:tc>
        <w:tc>
          <w:tcPr>
            <w:tcW w:w="102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(through March 31)</w:t>
            </w: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41,706,357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33,537,692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39,109,055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and prior</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247,909,417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7"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pacing w:after="0" w:line="24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gridSpan w:val="2"/>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9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0.41</w:t>
            </w:r>
          </w:p>
        </w:tc>
      </w:tr>
      <w:tr>
        <w:trPr>
          <w:trHeight w:val="229"/>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(0.05)</w:t>
            </w:r>
          </w:p>
        </w:tc>
      </w:tr>
      <w:tr>
        <w:trPr>
          <w:trHeight w:val="247"/>
        </w:trPr>
        <w:tc>
          <w:tcPr>
            <w:tcW w:w="8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60" w:firstLine="646"/>
        <w:spacing w:after="0" w:line="280" w:lineRule="auto"/>
        <w:rPr>
          <w:sz w:val="20"/>
          <w:szCs w:val="20"/>
          <w:color w:val="auto"/>
        </w:rPr>
      </w:pPr>
      <w:r>
        <w:rPr>
          <w:rFonts w:ascii="Times New Roman" w:cs="Times New Roman" w:eastAsia="Times New Roman" w:hAnsi="Times New Roman"/>
          <w:sz w:val="18"/>
          <w:szCs w:val="18"/>
          <w:color w:val="auto"/>
        </w:rPr>
        <w:t>The continued use of outward reinsurance along with changes to the level of future cancellations of non-refundable single premium policies and mix of IIF may impact our average net premium rate in future periods.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7" w:lineRule="exact"/>
        <w:rPr>
          <w:sz w:val="20"/>
          <w:szCs w:val="20"/>
          <w:color w:val="auto"/>
        </w:rPr>
      </w:pPr>
    </w:p>
    <w:p>
      <w:pPr>
        <w:jc w:val="both"/>
        <w:ind w:right="280" w:firstLine="646"/>
        <w:spacing w:after="0" w:line="265"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7" w:lineRule="exact"/>
        <w:rPr>
          <w:sz w:val="20"/>
          <w:szCs w:val="20"/>
          <w:color w:val="auto"/>
        </w:rPr>
      </w:pPr>
    </w:p>
    <w:p>
      <w:pPr>
        <w:ind w:right="140" w:firstLine="646"/>
        <w:spacing w:after="0" w:line="259"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3" w:lineRule="exact"/>
        <w:rPr>
          <w:sz w:val="20"/>
          <w:szCs w:val="20"/>
          <w:color w:val="auto"/>
        </w:rPr>
      </w:pPr>
    </w:p>
    <w:p>
      <w:pPr>
        <w:ind w:right="120" w:firstLine="646"/>
        <w:spacing w:after="0" w:line="254" w:lineRule="auto"/>
        <w:rPr>
          <w:sz w:val="20"/>
          <w:szCs w:val="20"/>
          <w:color w:val="auto"/>
        </w:rPr>
      </w:pPr>
      <w:r>
        <w:rPr>
          <w:rFonts w:ascii="Times New Roman" w:cs="Times New Roman" w:eastAsia="Times New Roman" w:hAnsi="Times New Roman"/>
          <w:sz w:val="18"/>
          <w:szCs w:val="18"/>
          <w:color w:val="auto"/>
        </w:rPr>
        <w:t>As of March 31, 2026, the net risk in force for Essent Guaranty was $31.8 billion and its statutory capital was $3.7 billion, resulting in a risk-to-capital ratio of 8.6:1.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decrease in unearned premiums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317,558</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206,999</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175,433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45"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Net premiums earned for the three months ended March 31, 2026 increased compared to the three months ended March 31, 2025. For more information, see Net Premiums Written and Earned under “Results of Operations: Mortgage Insurance”, Net Premiums Written and Earned under “Results of Operations: Reinsurance” and Net Premiums Earned under “Results of Operations: Corporate &amp; Other”.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net investment income was derived from the following sources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The increase in net investment income for the three months ended March 31, 2026 as compared to the same period in 2025 was due to an increase in the pre-tax investment income yield. The pre-tax investment income yield on cash and available-for-sale investments increased from 3.77% in the three months ended March 31, 2025 to 3.80% for the three months ended March 31, 2026, primarily due to a general increase in investment yields due to rising interest rates. The average cash and available-for-sale investment portfolio balance was $6.4 billion for both the three months ended March 31, 2026 and 2025, respectively. See “— Liquidity and Capital Resources” for further details of our investment portfolio.</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from Other Invested Assets</w:t>
      </w:r>
    </w:p>
    <w:p>
      <w:pPr>
        <w:spacing w:after="0" w:line="252" w:lineRule="exact"/>
        <w:rPr>
          <w:sz w:val="20"/>
          <w:szCs w:val="20"/>
          <w:color w:val="auto"/>
        </w:rPr>
      </w:pPr>
    </w:p>
    <w:p>
      <w:pPr>
        <w:jc w:val="both"/>
        <w:ind w:right="100" w:firstLine="646"/>
        <w:spacing w:after="0" w:line="265" w:lineRule="auto"/>
        <w:rPr>
          <w:sz w:val="20"/>
          <w:szCs w:val="20"/>
          <w:color w:val="auto"/>
        </w:rPr>
      </w:pPr>
      <w:r>
        <w:rPr>
          <w:rFonts w:ascii="Times New Roman" w:cs="Times New Roman" w:eastAsia="Times New Roman" w:hAnsi="Times New Roman"/>
          <w:sz w:val="18"/>
          <w:szCs w:val="18"/>
          <w:color w:val="auto"/>
        </w:rPr>
        <w:t>Income from other invested assets for the three months ended March 31, 2026 was $10.2 million as compared to $7.4 million for the three months ended March 31, 2025. The increase in income from other invested assets for the three months ended March 31, 2026 compared to the three months ended March 31, 2025 was primarily due to increased favorable fair value adjustments recorded.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52" w:lineRule="exact"/>
        <w:rPr>
          <w:sz w:val="20"/>
          <w:szCs w:val="20"/>
          <w:color w:val="auto"/>
        </w:rPr>
      </w:pPr>
    </w:p>
    <w:p>
      <w:pPr>
        <w:jc w:val="both"/>
        <w:ind w:right="400" w:firstLine="646"/>
        <w:spacing w:after="0" w:line="265" w:lineRule="auto"/>
        <w:rPr>
          <w:sz w:val="20"/>
          <w:szCs w:val="20"/>
          <w:color w:val="auto"/>
        </w:rPr>
      </w:pPr>
      <w:r>
        <w:rPr>
          <w:rFonts w:ascii="Times New Roman" w:cs="Times New Roman" w:eastAsia="Times New Roman" w:hAnsi="Times New Roman"/>
          <w:sz w:val="18"/>
          <w:szCs w:val="18"/>
          <w:color w:val="auto"/>
        </w:rPr>
        <w:t>Other income for the three months ended March 31, 2026 was $6.7 million as compared to $6.3 million for the three months ended March 31, 2025. Other income includes revenues associated with underwriting consulting services to third-party reinsurers, title settlement services and contract underwriting services, as well as changes in the fair value of our embedded derivatives associated with certain reinsurance contracts.</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Losses and Expenses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58" w:lineRule="exact"/>
        <w:rPr>
          <w:sz w:val="20"/>
          <w:szCs w:val="20"/>
          <w:color w:val="auto"/>
        </w:rPr>
      </w:pPr>
    </w:p>
    <w:p>
      <w:pPr>
        <w:ind w:right="60" w:firstLine="404"/>
        <w:spacing w:after="0" w:line="259" w:lineRule="auto"/>
        <w:rPr>
          <w:sz w:val="20"/>
          <w:szCs w:val="20"/>
          <w:color w:val="auto"/>
        </w:rPr>
      </w:pPr>
      <w:r>
        <w:rPr>
          <w:rFonts w:ascii="Times New Roman" w:cs="Times New Roman" w:eastAsia="Times New Roman" w:hAnsi="Times New Roman"/>
          <w:sz w:val="18"/>
          <w:szCs w:val="18"/>
          <w:color w:val="auto"/>
        </w:rPr>
        <w:t>The increased provision for losses for the three months ended March 31, 2026 compared to the three months ended March 31, 2025 was primarily due to property and casualty reinsurance assumed beginning January 1, 2026 and an increase in the number of defaults as well as an increase in the average reserve per default due to aging of defaults remaining within the mortgage insurance portfolio. See “Results of Operations: Mortgage Insurance" and “Results of Operations: Reinsurance" for more information.</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58" w:lineRule="exact"/>
        <w:rPr>
          <w:sz w:val="20"/>
          <w:szCs w:val="20"/>
          <w:color w:val="auto"/>
        </w:rPr>
      </w:pPr>
    </w:p>
    <w:p>
      <w:pPr>
        <w:ind w:right="60" w:firstLine="404"/>
        <w:spacing w:after="0" w:line="259" w:lineRule="auto"/>
        <w:rPr>
          <w:sz w:val="20"/>
          <w:szCs w:val="20"/>
          <w:color w:val="auto"/>
        </w:rPr>
      </w:pPr>
      <w:r>
        <w:rPr>
          <w:rFonts w:ascii="Times New Roman" w:cs="Times New Roman" w:eastAsia="Times New Roman" w:hAnsi="Times New Roman"/>
          <w:sz w:val="18"/>
          <w:szCs w:val="18"/>
          <w:color w:val="auto"/>
        </w:rPr>
        <w:t>The increase in underwriting and operating expenses for the three months ended March 31, 2026 compared to the three months ended March 31, 2025 was primarily due to an increase in operating expenses in our Reinsurance segment, partially offset by decreases in operating expenses in our Mortgage Insurance segment and Corporate &amp; Other category. For more information, see “Results of Operations: Mortgage Insurance”, “Results of Operations: Reinsurance” and “Results of Operations: Corporate &amp; Other.”</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9" w:lineRule="exact"/>
        <w:rPr>
          <w:sz w:val="20"/>
          <w:szCs w:val="20"/>
          <w:color w:val="auto"/>
        </w:rPr>
      </w:pPr>
    </w:p>
    <w:p>
      <w:pPr>
        <w:ind w:right="120" w:firstLine="404"/>
        <w:spacing w:after="0" w:line="249" w:lineRule="auto"/>
        <w:rPr>
          <w:sz w:val="20"/>
          <w:szCs w:val="20"/>
          <w:color w:val="auto"/>
        </w:rPr>
      </w:pPr>
      <w:r>
        <w:rPr>
          <w:rFonts w:ascii="Times New Roman" w:cs="Times New Roman" w:eastAsia="Times New Roman" w:hAnsi="Times New Roman"/>
          <w:sz w:val="18"/>
          <w:szCs w:val="18"/>
          <w:color w:val="auto"/>
        </w:rPr>
        <w:t>For the three months ended March 31, 2026 and 2025, we incurred interest expense of $8.1 million. In both the three month periods ended March 31, 2026 and 2025, the average amount of borrowings outstanding were $500 million at a weighted average interest rate of 6.25%.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20" w:firstLine="404"/>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$34.9 million and $31.6 million for the three months ended March 31, 2026 and 2025, respectively. The provision for income taxes for the three months ended March 31, 2026 was calculated using an estimated annual effective tax rate of 17.2% compared to 15.4% for the three months ended March 31, 2025. The increase in our estimated annual effective tax rate is primarily related to estimated withholding taxes to be incurred on intercompany dividends by Essent US Holdings, Inc. to its parent company. For the three months ended March 31, 2026, income tax expense includes $2.4 million of discrete tax expense associated with realized and unrealized gains recognized during the period partially offset by $1.1 million excess tax benefits associated with the vesting of common shares and common share units. For the three months ended March 31, 2025, income tax expense includes $1.6 million of discrete tax expense associated with realized and unrealized gains recognized during the period partially offset by $0.7 million excess tax benefits associated with the vesting of common shares and common share units.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215,663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218,124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42,790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265,337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265,570</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28,134</w:t>
            </w:r>
          </w:p>
        </w:tc>
        <w:tc>
          <w:tcPr>
            <w:tcW w:w="0" w:type="dxa"/>
            <w:vAlign w:val="bottom"/>
          </w:tcPr>
          <w:p>
            <w:pPr>
              <w:spacing w:after="0"/>
              <w:rPr>
                <w:sz w:val="1"/>
                <w:szCs w:val="1"/>
                <w:color w:val="auto"/>
              </w:rPr>
            </w:pPr>
          </w:p>
        </w:tc>
      </w:tr>
      <w:tr>
        <w:trPr>
          <w:trHeight w:val="222"/>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58,854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12,804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75,227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71,658</w:t>
            </w:r>
          </w:p>
        </w:tc>
        <w:tc>
          <w:tcPr>
            <w:tcW w:w="0" w:type="dxa"/>
            <w:vAlign w:val="bottom"/>
          </w:tcPr>
          <w:p>
            <w:pPr>
              <w:spacing w:after="0"/>
              <w:rPr>
                <w:sz w:val="1"/>
                <w:szCs w:val="1"/>
                <w:color w:val="auto"/>
              </w:rPr>
            </w:pPr>
          </w:p>
        </w:tc>
      </w:tr>
      <w:tr>
        <w:trPr>
          <w:trHeight w:val="24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193,912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20" w:hanging="195"/>
        <w:spacing w:after="0"/>
        <w:tabs>
          <w:tab w:leader="none" w:pos="2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for losses and LAE by net premiums earned.</w:t>
      </w:r>
    </w:p>
    <w:p>
      <w:pPr>
        <w:spacing w:after="0" w:line="40" w:lineRule="exact"/>
        <w:rPr>
          <w:rFonts w:ascii="Times New Roman" w:cs="Times New Roman" w:eastAsia="Times New Roman" w:hAnsi="Times New Roman"/>
          <w:sz w:val="14"/>
          <w:szCs w:val="14"/>
          <w:b w:val="1"/>
          <w:bCs w:val="1"/>
          <w:color w:val="auto"/>
        </w:rPr>
      </w:pPr>
    </w:p>
    <w:p>
      <w:pPr>
        <w:ind w:left="20" w:right="3520" w:firstLine="5"/>
        <w:spacing w:after="0" w:line="257" w:lineRule="auto"/>
        <w:tabs>
          <w:tab w:leader="none" w:pos="223"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95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2827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227" w:lineRule="exact"/>
        <w:rPr>
          <w:sz w:val="20"/>
          <w:szCs w:val="20"/>
          <w:color w:val="auto"/>
        </w:rPr>
      </w:pPr>
    </w:p>
    <w:p>
      <w:pPr>
        <w:ind w:right="120" w:firstLine="646"/>
        <w:spacing w:after="0" w:line="279" w:lineRule="auto"/>
        <w:rPr>
          <w:sz w:val="20"/>
          <w:szCs w:val="20"/>
          <w:color w:val="auto"/>
        </w:rPr>
      </w:pPr>
      <w:r>
        <w:rPr>
          <w:rFonts w:ascii="Times New Roman" w:cs="Times New Roman" w:eastAsia="Times New Roman" w:hAnsi="Times New Roman"/>
          <w:sz w:val="17"/>
          <w:szCs w:val="17"/>
          <w:color w:val="auto"/>
        </w:rPr>
        <w:t>For the three months ended March 31, 2026, our Mortgage Insurance segment reported income before income tax expense of $190.1 million, compared to income before income tax expense of $193.9 million for the three months ended March 31, 2025. The decrease in our operating results during the three months ended March 31, 2026 compared to the same period in 2025 was primarily due to an increase in the provision for losses and a decrease in net premiums earned, partially offset by an increase in income from other invested assets and a decrease in other underwriting and operating expenses.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7" w:lineRule="exact"/>
        <w:rPr>
          <w:sz w:val="20"/>
          <w:szCs w:val="20"/>
          <w:color w:val="auto"/>
        </w:rPr>
      </w:pPr>
    </w:p>
    <w:p>
      <w:pPr>
        <w:ind w:right="100" w:firstLine="646"/>
        <w:spacing w:after="0" w:line="259" w:lineRule="auto"/>
        <w:rPr>
          <w:sz w:val="20"/>
          <w:szCs w:val="20"/>
          <w:color w:val="auto"/>
        </w:rPr>
      </w:pPr>
      <w:r>
        <w:rPr>
          <w:rFonts w:ascii="Times New Roman" w:cs="Times New Roman" w:eastAsia="Times New Roman" w:hAnsi="Times New Roman"/>
          <w:sz w:val="18"/>
          <w:szCs w:val="18"/>
          <w:color w:val="auto"/>
        </w:rPr>
        <w:t>Net premiums earned in the three months ended March 31, 2026 decreased compared to the three months ended March 31, 2025 due to a decrease in the average net premium rate partially offset by an increase in our average IIF. The average net premium rate was 0.35% for the three months ended March 31, 2026 compared to 0.36% for the three months ended March 31, 2025 due to an increase in ceded premiums as a result of higher ceded losses under our third party quota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arrangements. Our average IIF increased from $244.0 billion for the three months ended March 31, 2025 to $247.8 billion for the three months ended March 31, 2026.</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the change in unearned premiums within our Mortgage Insurance segment for the following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7"/>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 recognized in earnings</w:t>
            </w:r>
          </w:p>
        </w:tc>
        <w:tc>
          <w:tcPr>
            <w:tcW w:w="1260" w:type="dxa"/>
            <w:vAlign w:val="bottom"/>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8"/>
              </w:rPr>
              <w:t>7,620</w:t>
            </w:r>
          </w:p>
        </w:tc>
        <w:tc>
          <w:tcPr>
            <w:tcW w:w="12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0" w:type="dxa"/>
            <w:vAlign w:val="bottom"/>
          </w:tcPr>
          <w:p>
            <w:pPr>
              <w:spacing w:after="0"/>
              <w:rPr>
                <w:sz w:val="1"/>
                <w:szCs w:val="1"/>
                <w:color w:val="auto"/>
              </w:rPr>
            </w:pPr>
          </w:p>
        </w:tc>
      </w:tr>
      <w:tr>
        <w:trPr>
          <w:trHeight w:val="148"/>
        </w:trPr>
        <w:tc>
          <w:tcPr>
            <w:tcW w:w="8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7"/>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 on single premium policies</w:t>
            </w:r>
          </w:p>
        </w:tc>
        <w:tc>
          <w:tcPr>
            <w:tcW w:w="1260" w:type="dxa"/>
            <w:vAlign w:val="bottom"/>
            <w:vMerge w:val="restart"/>
          </w:tcPr>
          <w:p>
            <w:pPr>
              <w:jc w:val="center"/>
              <w:ind w:left="618"/>
              <w:spacing w:after="0"/>
              <w:rPr>
                <w:sz w:val="20"/>
                <w:szCs w:val="20"/>
                <w:color w:val="auto"/>
              </w:rPr>
            </w:pPr>
            <w:r>
              <w:rPr>
                <w:rFonts w:ascii="Times New Roman" w:cs="Times New Roman" w:eastAsia="Times New Roman" w:hAnsi="Times New Roman"/>
                <w:sz w:val="18"/>
                <w:szCs w:val="18"/>
                <w:color w:val="auto"/>
                <w:w w:val="98"/>
              </w:rPr>
              <w:t>(1,904)</w:t>
            </w:r>
          </w:p>
        </w:tc>
        <w:tc>
          <w:tcPr>
            <w:tcW w:w="1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148"/>
        </w:trPr>
        <w:tc>
          <w:tcPr>
            <w:tcW w:w="8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126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8"/>
              </w:rPr>
              <w:t>5,716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54" w:lineRule="exact"/>
        <w:rPr>
          <w:sz w:val="20"/>
          <w:szCs w:val="20"/>
          <w:color w:val="auto"/>
        </w:rPr>
      </w:pPr>
    </w:p>
    <w:p>
      <w:pPr>
        <w:jc w:val="both"/>
        <w:ind w:right="280" w:firstLine="646"/>
        <w:spacing w:after="0" w:line="259" w:lineRule="auto"/>
        <w:rPr>
          <w:sz w:val="20"/>
          <w:szCs w:val="20"/>
          <w:color w:val="auto"/>
        </w:rPr>
      </w:pPr>
      <w:r>
        <w:rPr>
          <w:rFonts w:ascii="Times New Roman" w:cs="Times New Roman" w:eastAsia="Times New Roman" w:hAnsi="Times New Roman"/>
          <w:sz w:val="18"/>
          <w:szCs w:val="18"/>
          <w:color w:val="auto"/>
        </w:rPr>
        <w:t>In the three months ended March 31, 2026 we recorded a provision for losses of $37.6 million compared to a provision of $30.7 million for the three months ended March 31, 2025. The increase in the provision for losses in the three months ended March 31, 2026 compared to the same period in 2025 was primarily due to an increase in the number of defaults as well as an increase in our average reserve per default. The increase in average reserve per default was due to aging of defaults remaining within the mortgage insurance portfolio and an increase in the average RIF per default.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mortgage insurance portfolio for the periods indicated:</w:t>
      </w:r>
    </w:p>
    <w:p>
      <w:pPr>
        <w:spacing w:after="0" w:line="12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17,759</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mortgage insurance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r>
      <w:tr>
        <w:trPr>
          <w:trHeight w:val="25"/>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424,047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312,060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reserves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458,901</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338,128</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20,332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17,759</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mortgage insurance reserve balances for losses and LAE: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0" w:type="dxa"/>
            <w:vAlign w:val="bottom"/>
          </w:tcPr>
          <w:p>
            <w:pPr>
              <w:spacing w:after="0"/>
              <w:rPr>
                <w:sz w:val="1"/>
                <w:szCs w:val="1"/>
                <w:color w:val="auto"/>
              </w:rPr>
            </w:pPr>
          </w:p>
        </w:tc>
      </w:tr>
      <w:tr>
        <w:trPr>
          <w:trHeight w:val="20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0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297,777</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mortgage insurance portfolio:</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533,428</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231,329</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181,134</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675,553</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148,384</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231,640</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case reserves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1,702,307</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reserves for losses and LAE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458,901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3480" w:type="dxa"/>
            <w:vAlign w:val="bottom"/>
            <w:gridSpan w:val="2"/>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426,195</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194,642</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620,538</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105,783</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172,129</w:t>
            </w:r>
          </w:p>
        </w:tc>
        <w:tc>
          <w:tcPr>
            <w:tcW w:w="13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9"/>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47"/>
        </w:trPr>
        <w:tc>
          <w:tcPr>
            <w:tcW w:w="34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case reserves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1,429,293</w:t>
            </w:r>
          </w:p>
        </w:tc>
        <w:tc>
          <w:tcPr>
            <w:tcW w:w="13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23,404</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reserves for losses and LAE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the Mortgage Insurance provision for losses and LAE was a provision of $37.6 million, comprised of $62.8 million of current year losses partially offset by $25.2 million of favorable prior years’ loss development. During the three months ended March 31, 2025, the provision for losses and LAE was $30.7 million, comprised of $48.9 million of current year losses offset by $18.2 million of favorable prior years’ loss development.</w:t>
      </w:r>
    </w:p>
    <w:p>
      <w:pPr>
        <w:spacing w:after="0" w:line="210" w:lineRule="exact"/>
        <w:rPr>
          <w:sz w:val="20"/>
          <w:szCs w:val="20"/>
          <w:color w:val="auto"/>
        </w:rPr>
      </w:pPr>
    </w:p>
    <w:p>
      <w:pPr>
        <w:ind w:right="280" w:firstLine="646"/>
        <w:spacing w:after="0" w:line="280" w:lineRule="auto"/>
        <w:rPr>
          <w:sz w:val="20"/>
          <w:szCs w:val="20"/>
          <w:color w:val="auto"/>
        </w:rPr>
      </w:pPr>
      <w:r>
        <w:rPr>
          <w:rFonts w:ascii="Times New Roman" w:cs="Times New Roman" w:eastAsia="Times New Roman" w:hAnsi="Times New Roman"/>
          <w:sz w:val="18"/>
          <w:szCs w:val="18"/>
          <w:color w:val="auto"/>
        </w:rPr>
        <w:t>In both periods, the prior years’ loss development was the result of a re-estimation of amounts ultimately to be paid on prior year defaults in the default inventory, including the impact of previously identified defaults that cured.</w:t>
      </w:r>
    </w:p>
    <w:p>
      <w:pPr>
        <w:spacing w:after="0" w:line="190" w:lineRule="exact"/>
        <w:rPr>
          <w:sz w:val="20"/>
          <w:szCs w:val="20"/>
          <w:color w:val="auto"/>
        </w:rPr>
      </w:pPr>
    </w:p>
    <w:p>
      <w:pPr>
        <w:ind w:right="18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mortgage insurance portfolio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13,671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4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5"/>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9"/>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r>
      <w:tr>
        <w:trPr>
          <w:trHeight w:val="195"/>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net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291</w:t>
            </w:r>
          </w:p>
        </w:tc>
      </w:tr>
    </w:tbl>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43" w:lineRule="exact"/>
        <w:rPr>
          <w:sz w:val="20"/>
          <w:szCs w:val="20"/>
          <w:color w:val="auto"/>
        </w:rPr>
      </w:pPr>
    </w:p>
    <w:p>
      <w:pPr>
        <w:ind w:left="660" w:right="220" w:hanging="249"/>
        <w:spacing w:after="0" w:line="23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during the three months ended March 31, 2026 compared to the same period in 2025 primarily due to a decrease in average number of employees during the current period. Compensation and benefits includes salaries, wages and bonus, stock compensation expense, benefits and payroll taxes. The first quarter of each year typically has higher compensation and benefits expense than the subsequent quarters due to payroll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annual bonus payouts and vesting of nonvested stock and stock units, as well as higher stock-based compensation expense.</w:t>
      </w:r>
    </w:p>
    <w:p>
      <w:pPr>
        <w:spacing w:after="0" w:line="143" w:lineRule="exact"/>
        <w:rPr>
          <w:sz w:val="20"/>
          <w:szCs w:val="20"/>
          <w:color w:val="auto"/>
        </w:rPr>
      </w:pPr>
    </w:p>
    <w:p>
      <w:pPr>
        <w:ind w:left="660" w:right="20" w:hanging="249"/>
        <w:spacing w:after="0" w:line="26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premium taxes during the three month period ended March 31, 2026 compared to the same period in 2025 results from an increase in the amount of mortgage insurance premiums written during the period.</w:t>
      </w:r>
    </w:p>
    <w:p>
      <w:pPr>
        <w:spacing w:after="0" w:line="94" w:lineRule="exact"/>
        <w:rPr>
          <w:rFonts w:ascii="Times New Roman" w:cs="Times New Roman" w:eastAsia="Times New Roman" w:hAnsi="Times New Roman"/>
          <w:sz w:val="18"/>
          <w:szCs w:val="18"/>
          <w:color w:val="auto"/>
        </w:rPr>
      </w:pPr>
    </w:p>
    <w:p>
      <w:pPr>
        <w:ind w:left="660" w:right="340" w:hanging="249"/>
        <w:spacing w:after="0" w:line="26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 are net of ceding commissions earned on outward reinsurance. The change in acquisition costs during the three month period ended March 31, 2026 compared to the same period in 2025 resulted from increased ceding commission earned due to increased outward reinsurance of insurance in force under our outstanding quota share arrangements.</w:t>
      </w:r>
    </w:p>
    <w:p>
      <w:pPr>
        <w:spacing w:after="0" w:line="108" w:lineRule="exact"/>
        <w:rPr>
          <w:rFonts w:ascii="Times New Roman" w:cs="Times New Roman" w:eastAsia="Times New Roman" w:hAnsi="Times New Roman"/>
          <w:sz w:val="18"/>
          <w:szCs w:val="18"/>
          <w:color w:val="auto"/>
        </w:rPr>
      </w:pPr>
    </w:p>
    <w:p>
      <w:pPr>
        <w:ind w:left="640" w:hanging="22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Reinsurance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
        </w:trPr>
        <w:tc>
          <w:tcPr>
            <w:tcW w:w="8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29,310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15,734</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4,840</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2,953</w:t>
            </w:r>
          </w:p>
        </w:tc>
      </w:tr>
      <w:tr>
        <w:trPr>
          <w:trHeight w:val="22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35,951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23,527</w:t>
            </w:r>
          </w:p>
        </w:tc>
      </w:tr>
      <w:tr>
        <w:trPr>
          <w:trHeight w:val="249"/>
        </w:trPr>
        <w:tc>
          <w:tcPr>
            <w:tcW w:w="8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2,457</w:t>
            </w:r>
          </w:p>
        </w:tc>
      </w:tr>
      <w:tr>
        <w:trPr>
          <w:trHeight w:val="222"/>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2,460</w:t>
            </w:r>
          </w:p>
        </w:tc>
      </w:tr>
      <w:tr>
        <w:trPr>
          <w:trHeight w:val="22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210</w:t>
            </w:r>
          </w:p>
        </w:tc>
      </w:tr>
      <w:tr>
        <w:trPr>
          <w:trHeight w:val="222"/>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20,405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2,670</w:t>
            </w:r>
          </w:p>
        </w:tc>
      </w:tr>
      <w:tr>
        <w:trPr>
          <w:trHeight w:val="24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20,857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r>
      <w:tr>
        <w:trPr>
          <w:trHeight w:val="247"/>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00" w:hanging="175"/>
        <w:spacing w:after="0"/>
        <w:tabs>
          <w:tab w:leader="none" w:pos="2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25" w:lineRule="exact"/>
        <w:rPr>
          <w:rFonts w:ascii="Times New Roman" w:cs="Times New Roman" w:eastAsia="Times New Roman" w:hAnsi="Times New Roman"/>
          <w:sz w:val="13"/>
          <w:szCs w:val="13"/>
          <w:b w:val="1"/>
          <w:bCs w:val="1"/>
          <w:color w:val="auto"/>
        </w:rPr>
      </w:pPr>
    </w:p>
    <w:p>
      <w:pPr>
        <w:ind w:left="200" w:hanging="175"/>
        <w:spacing w:after="0"/>
        <w:tabs>
          <w:tab w:leader="none" w:pos="2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955"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11125"/>
                    </a:xfrm>
                    <a:prstGeom prst="rect">
                      <a:avLst/>
                    </a:prstGeom>
                    <a:noFill/>
                  </pic:spPr>
                </pic:pic>
              </a:graphicData>
            </a:graphic>
          </wp:anchor>
        </w:drawing>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160" w:lineRule="exact"/>
        <w:rPr>
          <w:sz w:val="20"/>
          <w:szCs w:val="20"/>
          <w:color w:val="auto"/>
        </w:rPr>
      </w:pPr>
    </w:p>
    <w:p>
      <w:pPr>
        <w:ind w:right="100" w:firstLine="404"/>
        <w:spacing w:after="0" w:line="265" w:lineRule="auto"/>
        <w:rPr>
          <w:sz w:val="20"/>
          <w:szCs w:val="20"/>
          <w:color w:val="auto"/>
        </w:rPr>
      </w:pPr>
      <w:r>
        <w:rPr>
          <w:rFonts w:ascii="Times New Roman" w:cs="Times New Roman" w:eastAsia="Times New Roman" w:hAnsi="Times New Roman"/>
          <w:sz w:val="18"/>
          <w:szCs w:val="18"/>
          <w:color w:val="auto"/>
        </w:rPr>
        <w:t>Reinsurance net premiums earned increased during the three month period ended March 31, 2026 compared to the same period in 2025 primarily due to premiums earned on the reinsurance of property and casualty risks, which Essent Re began writing effective January 1, 2026. Premiums earned also include premiums from Essent Re's participation in the GSE-sponsored mortgage risk share transactions.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Reinsurance segment’s net premiums written between mortgage and non-mortgage business: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3"/>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6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2"/>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Non-mortgage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156,365</w:t>
            </w:r>
          </w:p>
        </w:tc>
        <w:tc>
          <w:tcPr>
            <w:tcW w:w="12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6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Reinsurance segment’s net premiums earned between mortgage and non-mortgage business: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6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2"/>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Non-mortgage</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6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000" w:type="dxa"/>
            <w:vAlign w:val="bottom"/>
            <w:gridSpan w:val="15"/>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average mortgage reinsurance risk in force and the average premium rates for the periods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9"/>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reinsured mortgage risk in force</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2,125,493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2,254,034</w:t>
            </w:r>
          </w:p>
        </w:tc>
        <w:tc>
          <w:tcPr>
            <w:tcW w:w="0" w:type="dxa"/>
            <w:vAlign w:val="bottom"/>
          </w:tcPr>
          <w:p>
            <w:pPr>
              <w:spacing w:after="0"/>
              <w:rPr>
                <w:sz w:val="1"/>
                <w:szCs w:val="1"/>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premium rate on mortgage risk in force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0" w:lineRule="exact"/>
        <w:rPr>
          <w:sz w:val="20"/>
          <w:szCs w:val="20"/>
          <w:color w:val="auto"/>
        </w:rPr>
      </w:pPr>
    </w:p>
    <w:p>
      <w:pPr>
        <w:ind w:right="380" w:firstLine="404"/>
        <w:spacing w:after="0" w:line="280" w:lineRule="auto"/>
        <w:rPr>
          <w:sz w:val="20"/>
          <w:szCs w:val="20"/>
          <w:color w:val="auto"/>
        </w:rPr>
      </w:pPr>
      <w:r>
        <w:rPr>
          <w:rFonts w:ascii="Times New Roman" w:cs="Times New Roman" w:eastAsia="Times New Roman" w:hAnsi="Times New Roman"/>
          <w:sz w:val="18"/>
          <w:szCs w:val="18"/>
          <w:color w:val="auto"/>
        </w:rPr>
        <w:t>The decrease in other income in Reinsurance for the three month period ended March 31, 2026 compared to the same period in 2025 was due to a decline in third party consulting service revenues.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60" w:lineRule="exact"/>
        <w:rPr>
          <w:sz w:val="20"/>
          <w:szCs w:val="20"/>
          <w:color w:val="auto"/>
        </w:rPr>
      </w:pPr>
    </w:p>
    <w:p>
      <w:pPr>
        <w:ind w:firstLine="646"/>
        <w:spacing w:after="0" w:line="276" w:lineRule="auto"/>
        <w:rPr>
          <w:sz w:val="20"/>
          <w:szCs w:val="20"/>
          <w:color w:val="auto"/>
        </w:rPr>
      </w:pPr>
      <w:r>
        <w:rPr>
          <w:rFonts w:ascii="Times New Roman" w:cs="Times New Roman" w:eastAsia="Times New Roman" w:hAnsi="Times New Roman"/>
          <w:sz w:val="17"/>
          <w:szCs w:val="17"/>
          <w:color w:val="auto"/>
        </w:rPr>
        <w:t>In the three months ended March 31, 2026 we recorded a provision for losses of $9.9 million compared to a provision of $3 thousand for the three months ended March 31, 2025. The increase in provision for losses and loss adjustment expenses for the three month period ended March 31, 2026 primarily relates to loss provisions recorded for property and casualty premiums earned in the first quarter of 2026. Property and casualty ultimate losses are estimated on premiums earned and the average loss ratios for property and casualty reinsurance are inherently higher than loss ratios on the reinsurance of GSE-sponsored mortgage risk share transactions. Reinsurance reserves as of March 31, 2026 and 2025 were $10.1 million and $52 thousand, respectively.</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Reinsurance segment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r>
      <w:tr>
        <w:trPr>
          <w:trHeight w:val="19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 net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r>
      <w:tr>
        <w:trPr>
          <w:trHeight w:val="247"/>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60" w:hanging="249"/>
        <w:spacing w:after="0" w:line="26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for the three month period ended March 31, 2026 compared to the same period in 2025 is primarily due to an increase in headcount and incentive compensation. Compensation and benefits includes salaries, wages and bonus, stock compensation expense, benefits and payroll taxes.</w:t>
      </w:r>
    </w:p>
    <w:p>
      <w:pPr>
        <w:spacing w:after="0" w:line="202" w:lineRule="exact"/>
        <w:rPr>
          <w:rFonts w:ascii="Times New Roman" w:cs="Times New Roman" w:eastAsia="Times New Roman" w:hAnsi="Times New Roman"/>
          <w:sz w:val="18"/>
          <w:szCs w:val="18"/>
          <w:color w:val="auto"/>
        </w:rPr>
      </w:pPr>
    </w:p>
    <w:p>
      <w:pPr>
        <w:ind w:left="640" w:hanging="229"/>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and other taxes within the Reinsurance segment relate to federal excise taxes paid on certain mortgage reinsurance premiums.</w:t>
      </w:r>
    </w:p>
    <w:p>
      <w:pPr>
        <w:spacing w:after="0" w:line="250" w:lineRule="exact"/>
        <w:rPr>
          <w:rFonts w:ascii="Times New Roman" w:cs="Times New Roman" w:eastAsia="Times New Roman" w:hAnsi="Times New Roman"/>
          <w:sz w:val="18"/>
          <w:szCs w:val="18"/>
          <w:color w:val="auto"/>
        </w:rPr>
      </w:pPr>
    </w:p>
    <w:p>
      <w:pPr>
        <w:ind w:left="660" w:right="20" w:hanging="249"/>
        <w:spacing w:after="0" w:line="26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acquisition costs for the three month period ended March 31, 2026 compared to the same period in 2025 is primarily due to ceding and brokerage commissions and acquisition costs incurred on property and casualty risks that Essent Re began reinsuring effective January 1, 2026.</w:t>
      </w:r>
    </w:p>
    <w:p>
      <w:pPr>
        <w:spacing w:after="0" w:line="202" w:lineRule="exact"/>
        <w:rPr>
          <w:rFonts w:ascii="Times New Roman" w:cs="Times New Roman" w:eastAsia="Times New Roman" w:hAnsi="Times New Roman"/>
          <w:sz w:val="18"/>
          <w:szCs w:val="18"/>
          <w:color w:val="auto"/>
        </w:rPr>
      </w:pPr>
    </w:p>
    <w:p>
      <w:pPr>
        <w:ind w:left="660" w:right="20" w:hanging="249"/>
        <w:spacing w:after="0" w:line="26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for the three month period ended March 31, 2026 compared to the same period in 2025 as a result of increased professional fees incurred with the reinsurance of property and casualty risks in the first quarter of 2026. 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28,461</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0" w:type="dxa"/>
            <w:vAlign w:val="bottom"/>
          </w:tcPr>
          <w:p>
            <w:pPr>
              <w:spacing w:after="0"/>
              <w:rPr>
                <w:sz w:val="1"/>
                <w:szCs w:val="1"/>
                <w:color w:val="auto"/>
              </w:rPr>
            </w:pPr>
          </w:p>
        </w:tc>
      </w:tr>
      <w:tr>
        <w:trPr>
          <w:trHeight w:val="222"/>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36,231</w:t>
            </w:r>
          </w:p>
        </w:tc>
        <w:tc>
          <w:tcPr>
            <w:tcW w:w="0" w:type="dxa"/>
            <w:vAlign w:val="bottom"/>
          </w:tcPr>
          <w:p>
            <w:pPr>
              <w:spacing w:after="0"/>
              <w:rPr>
                <w:sz w:val="1"/>
                <w:szCs w:val="1"/>
                <w:color w:val="auto"/>
              </w:rPr>
            </w:pPr>
          </w:p>
        </w:tc>
      </w:tr>
      <w:tr>
        <w:trPr>
          <w:trHeight w:val="22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47" w:lineRule="exact"/>
        <w:rPr>
          <w:sz w:val="20"/>
          <w:szCs w:val="20"/>
          <w:color w:val="auto"/>
        </w:rPr>
      </w:pPr>
    </w:p>
    <w:p>
      <w:pPr>
        <w:ind w:right="60" w:firstLine="404"/>
        <w:spacing w:after="0" w:line="280"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to premiums earned by our title insurance operations. The increase in net premiums earned is due to an increase in title insurance policies issued in the three month period ended March 31, 2026 compared to the same period in 2025.</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60" w:lineRule="exact"/>
        <w:rPr>
          <w:sz w:val="20"/>
          <w:szCs w:val="20"/>
          <w:color w:val="auto"/>
        </w:rPr>
      </w:pPr>
    </w:p>
    <w:p>
      <w:pPr>
        <w:ind w:right="240" w:firstLine="404"/>
        <w:spacing w:after="0" w:line="280" w:lineRule="auto"/>
        <w:rPr>
          <w:sz w:val="20"/>
          <w:szCs w:val="20"/>
          <w:color w:val="auto"/>
        </w:rPr>
      </w:pPr>
      <w:r>
        <w:rPr>
          <w:rFonts w:ascii="Times New Roman" w:cs="Times New Roman" w:eastAsia="Times New Roman" w:hAnsi="Times New Roman"/>
          <w:sz w:val="18"/>
          <w:szCs w:val="18"/>
          <w:color w:val="auto"/>
        </w:rPr>
        <w:t>The provision for losses reported in Corporate &amp; Other relates to loss provisions recorded by our title insurance operations. Title insurance reserves were $16.7 million at March 31, 2026 and $16.9 million at December 31, 2025.</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9"/>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r>
      <w:tr>
        <w:trPr>
          <w:trHeight w:val="19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r>
      <w:tr>
        <w:trPr>
          <w:trHeight w:val="22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6"/>
        </w:trPr>
        <w:tc>
          <w:tcPr>
            <w:tcW w:w="7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w:t>
            </w:r>
          </w:p>
        </w:tc>
      </w:tr>
    </w:tbl>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56" w:lineRule="exact"/>
        <w:rPr>
          <w:sz w:val="20"/>
          <w:szCs w:val="20"/>
          <w:color w:val="auto"/>
        </w:rPr>
      </w:pPr>
    </w:p>
    <w:p>
      <w:pPr>
        <w:ind w:left="660" w:right="100" w:hanging="249"/>
        <w:spacing w:after="0" w:line="26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the three months ended March 31, 2026 compared to the same period in 2025 primarily due to decreases in the average number of employees and stock based compensation expense. Compensation and benefits includes salaries, wages and bonus, stock compensation expense, benefits and payroll taxes.</w:t>
      </w:r>
    </w:p>
    <w:p>
      <w:pPr>
        <w:spacing w:after="0" w:line="94" w:lineRule="exact"/>
        <w:rPr>
          <w:rFonts w:ascii="Times New Roman" w:cs="Times New Roman" w:eastAsia="Times New Roman" w:hAnsi="Times New Roman"/>
          <w:sz w:val="18"/>
          <w:szCs w:val="18"/>
          <w:color w:val="auto"/>
        </w:rPr>
      </w:pPr>
    </w:p>
    <w:p>
      <w:pPr>
        <w:ind w:left="660" w:right="80" w:hanging="249"/>
        <w:spacing w:after="0" w:line="28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decreased during the three months ended March 31, 2026 compared to the same period in 2025 primarily due to $1.0 million of net expense associated with prior year premium tax returns incurred during the first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quarter of 2025.</w:t>
      </w:r>
    </w:p>
    <w:p>
      <w:pPr>
        <w:spacing w:after="0" w:line="143" w:lineRule="exact"/>
        <w:rPr>
          <w:sz w:val="20"/>
          <w:szCs w:val="20"/>
          <w:color w:val="auto"/>
        </w:rPr>
      </w:pPr>
    </w:p>
    <w:p>
      <w:pPr>
        <w:ind w:left="660" w:hanging="249"/>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title and settlement services direct costs,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decreased in the three months ended March 31, 2026 compared to the same period in 2025 primarily due to decreases in software expenses partially offset by an increase in title expenses associated with an increase in title policies issued.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3" w:lineRule="exact"/>
        <w:rPr>
          <w:sz w:val="20"/>
          <w:szCs w:val="20"/>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10" w:lineRule="exact"/>
        <w:rPr>
          <w:sz w:val="20"/>
          <w:szCs w:val="20"/>
          <w:color w:val="auto"/>
        </w:rPr>
      </w:pPr>
    </w:p>
    <w:p>
      <w:pPr>
        <w:ind w:right="20" w:firstLine="646"/>
        <w:spacing w:after="0" w:line="241" w:lineRule="auto"/>
        <w:rPr>
          <w:sz w:val="20"/>
          <w:szCs w:val="20"/>
          <w:color w:val="auto"/>
        </w:rPr>
      </w:pPr>
      <w:r>
        <w:rPr>
          <w:rFonts w:ascii="Times New Roman" w:cs="Times New Roman" w:eastAsia="Times New Roman" w:hAnsi="Times New Roman"/>
          <w:sz w:val="18"/>
          <w:szCs w:val="18"/>
          <w:color w:val="auto"/>
        </w:rPr>
        <w:t>As of March 31, 2026, we had substantial liquidity with cash of $128.3 million, short-term investments of $623.0 million and fixed maturity investments of $5.4 billion. We also had $500 million available capacity under our Revolving Credit Facility. Cash and investments available for sale at the holding companies totaled $1.1 billion at March 31, 2026.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2026.</w:t>
      </w:r>
    </w:p>
    <w:p>
      <w:pPr>
        <w:spacing w:after="0" w:line="225" w:lineRule="exact"/>
        <w:rPr>
          <w:sz w:val="20"/>
          <w:szCs w:val="20"/>
          <w:color w:val="auto"/>
        </w:rPr>
      </w:pPr>
    </w:p>
    <w:p>
      <w:pPr>
        <w:ind w:right="320" w:firstLine="646"/>
        <w:spacing w:after="0" w:line="280"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9" w:lineRule="exact"/>
        <w:rPr>
          <w:sz w:val="20"/>
          <w:szCs w:val="20"/>
          <w:color w:val="auto"/>
        </w:rPr>
      </w:pPr>
    </w:p>
    <w:p>
      <w:pPr>
        <w:ind w:right="40" w:firstLine="646"/>
        <w:spacing w:after="0" w:line="237"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3" w:lineRule="exact"/>
        <w:rPr>
          <w:sz w:val="20"/>
          <w:szCs w:val="20"/>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0"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56" w:lineRule="exact"/>
        <w:rPr>
          <w:sz w:val="20"/>
          <w:szCs w:val="20"/>
          <w:color w:val="auto"/>
        </w:rPr>
      </w:pPr>
    </w:p>
    <w:p>
      <w:pPr>
        <w:ind w:right="40" w:firstLine="404"/>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March 31, 2026, Essent Guaranty had unassigned surplus of approximately $329.5 million. As of March 31, 2026, Essent Guaranty could pay additional ordinary dividends in 2026 of $329.5 million.</w:t>
      </w:r>
    </w:p>
    <w:p>
      <w:pPr>
        <w:spacing w:after="0" w:line="108" w:lineRule="exact"/>
        <w:rPr>
          <w:sz w:val="20"/>
          <w:szCs w:val="20"/>
          <w:color w:val="auto"/>
        </w:rPr>
      </w:pPr>
    </w:p>
    <w:p>
      <w:pPr>
        <w:ind w:right="60" w:firstLine="404"/>
        <w:spacing w:after="0" w:line="254"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March 31, 2026, Essent Re had total equity of $1.7 billion. In connection with its insurance and reinsurance activities, Essent Re is required to maintain assets in trusts for the benefit of its contractual counterparties. See Note 3 to our condensed consolidated financial statements. As of March 31, 2026, Essent Re could pay additional dividends in 2026 of $323.8 million without prior approval from the BMA.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2026, our insurance subsidiaries were in compliance with these rules, regulations and agreements.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5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221,567</w:t>
            </w: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55,533</w:t>
            </w: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(200,514)</w:t>
            </w:r>
          </w:p>
        </w:tc>
        <w:tc>
          <w:tcPr>
            <w:tcW w:w="0" w:type="dxa"/>
            <w:vAlign w:val="bottom"/>
          </w:tcPr>
          <w:p>
            <w:pPr>
              <w:spacing w:after="0"/>
              <w:rPr>
                <w:sz w:val="1"/>
                <w:szCs w:val="1"/>
                <w:color w:val="auto"/>
              </w:rPr>
            </w:pPr>
          </w:p>
        </w:tc>
      </w:tr>
      <w:tr>
        <w:trPr>
          <w:trHeight w:val="222"/>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jc w:val="both"/>
        <w:ind w:right="180" w:firstLine="646"/>
        <w:spacing w:after="0" w:line="265" w:lineRule="auto"/>
        <w:rPr>
          <w:sz w:val="20"/>
          <w:szCs w:val="20"/>
          <w:color w:val="auto"/>
        </w:rPr>
      </w:pPr>
      <w:r>
        <w:rPr>
          <w:rFonts w:ascii="Times New Roman" w:cs="Times New Roman" w:eastAsia="Times New Roman" w:hAnsi="Times New Roman"/>
          <w:sz w:val="18"/>
          <w:szCs w:val="18"/>
          <w:color w:val="auto"/>
        </w:rPr>
        <w:t>Cash flow provided by operating activities totaled $192.0 million for the three months ended March 31, 2026, as compared to $221.6 million for the three months ended March 31, 2025. The decrease in cash flows provided by operating activities was due to the timing of certain premium collections and an increase in claims paid during the three months ended March 31, 2026 compared to the same period in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ind w:right="20" w:firstLine="646"/>
        <w:spacing w:after="0" w:line="259" w:lineRule="auto"/>
        <w:rPr>
          <w:sz w:val="20"/>
          <w:szCs w:val="20"/>
          <w:color w:val="auto"/>
        </w:rPr>
      </w:pPr>
      <w:r>
        <w:rPr>
          <w:rFonts w:ascii="Times New Roman" w:cs="Times New Roman" w:eastAsia="Times New Roman" w:hAnsi="Times New Roman"/>
          <w:sz w:val="18"/>
          <w:szCs w:val="18"/>
          <w:color w:val="auto"/>
        </w:rPr>
        <w:t>Cash flows provided by investing activities totaled $16.6 million for the three months ended March 31, 2026 compared to $55.5 million for the three months ended March 31, 2025. The decrease in cash flows provided by investing activities in the three months ended March 31, 2026 compared to three months ended March 31, 2025 were the result of an increase in cash flows invested from operations partially offset by a decrease in purchases of other invested assets.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Cash flow used in financing activities totaled $203.4 million and $200.5 million for the three months ended March 31, 2026 and 2025, respectively. Cash flows used in financing activities relates to the quarterly cash dividends paid, repurchases of common stock under our share repurchase plans and treasury stock acquired from employees to satisfy tax withholding obligations.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7"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company on a separate company statutory basis.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2" w:lineRule="exact"/>
        <w:rPr>
          <w:sz w:val="20"/>
          <w:szCs w:val="20"/>
          <w:color w:val="auto"/>
        </w:rPr>
      </w:pPr>
    </w:p>
    <w:p>
      <w:pPr>
        <w:ind w:right="120" w:firstLine="646"/>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no capital contributions were made to our U.S. mortgage insurance subsidiary and Essent Guaranty paid dividends to Essent US Holdings, Inc. of $0 and $65 million, respectively. In April 2026, Essent Guaranty paid a dividend to Essent US Holdings, Inc. of $50 million. During the three months ended March 31, 2026, and 2025, no capital contributions were made to Essent Title Insurance.</w:t>
      </w:r>
    </w:p>
    <w:p>
      <w:pPr>
        <w:spacing w:after="0" w:line="173" w:lineRule="exact"/>
        <w:rPr>
          <w:sz w:val="20"/>
          <w:szCs w:val="20"/>
          <w:color w:val="auto"/>
        </w:rPr>
      </w:pPr>
    </w:p>
    <w:p>
      <w:pPr>
        <w:ind w:right="20" w:firstLine="646"/>
        <w:spacing w:after="0"/>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2019 through August 31, 2019 and August 1, 2020 through December 31, 2025. The aggregate excess of loss reinsurance coverages decrease over a ten-year period as the underlying covered mortgages amortize. In April 2025, Essent entered into an excess of loss transaction, effective July 1, 2026 with a panel of highly rated third-party reinsurers covering 20% of all eligible policies written by Essent Guaranty, Inc. in calendar year 2026. In March 2026, Essent Guaranty entered into an excess of loss transaction, effective July 1, 2027 with a panel of highly rated third-party reinsurers covering 20% of all eligible policies written by Essent Guaranty, Inc. in calendar year 2027.</w:t>
      </w:r>
    </w:p>
    <w:p>
      <w:pPr>
        <w:spacing w:after="0" w:line="211" w:lineRule="exact"/>
        <w:rPr>
          <w:sz w:val="20"/>
          <w:szCs w:val="20"/>
          <w:color w:val="auto"/>
        </w:rPr>
      </w:pPr>
    </w:p>
    <w:p>
      <w:pPr>
        <w:ind w:firstLine="646"/>
        <w:spacing w:after="0" w:line="237" w:lineRule="auto"/>
        <w:rPr>
          <w:sz w:val="20"/>
          <w:szCs w:val="20"/>
          <w:color w:val="auto"/>
        </w:rPr>
      </w:pPr>
      <w:r>
        <w:rPr>
          <w:rFonts w:ascii="Times New Roman" w:cs="Times New Roman" w:eastAsia="Times New Roman" w:hAnsi="Times New Roman"/>
          <w:sz w:val="18"/>
          <w:szCs w:val="18"/>
          <w:color w:val="auto"/>
        </w:rPr>
        <w:t>Essent Guaranty has entered into a quota share reinsurance agreement with a panel of third-party reinsurers ("QSR" agreement"). Each of the third-party reinsurers has a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March 31, 2026:</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718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Ceding Percentage</w:t>
            </w:r>
          </w:p>
        </w:tc>
      </w:tr>
      <w:tr>
        <w:trPr>
          <w:trHeight w:val="25"/>
        </w:trPr>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QSR-2023</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2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QSR-2024</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QSR-2025</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QSR-2026</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2026 -</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bl>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5540" w:right="2760" w:hanging="5210"/>
        <w:spacing w:after="0" w:line="912" w:lineRule="auto"/>
        <w:tabs>
          <w:tab w:leader="none" w:pos="6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36% of premiums on singles policies and 18% on all other policies.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firstLine="646"/>
        <w:spacing w:after="0" w:line="280" w:lineRule="auto"/>
        <w:rPr>
          <w:sz w:val="20"/>
          <w:szCs w:val="20"/>
          <w:color w:val="auto"/>
        </w:rPr>
      </w:pPr>
      <w:r>
        <w:rPr>
          <w:rFonts w:ascii="Times New Roman" w:cs="Times New Roman" w:eastAsia="Times New Roman" w:hAnsi="Times New Roman"/>
          <w:sz w:val="18"/>
          <w:szCs w:val="18"/>
          <w:color w:val="auto"/>
        </w:rPr>
        <w:t>During the fourth quarter of 2025, Essent Guaranty entered into a forward quota share agreement with highly rated third-party reinsurers ceding 20% of the risk on all eligible policies written by Essent Guaranty in calendar year 2027.</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March 31, 2026 was as follows:</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w:t>
      </w: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1,034,815</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2,647,661</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3,682,476</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31,785,517</w:t>
            </w:r>
          </w:p>
        </w:tc>
        <w:tc>
          <w:tcPr>
            <w:tcW w:w="0" w:type="dxa"/>
            <w:vAlign w:val="bottom"/>
          </w:tcPr>
          <w:p>
            <w:pPr>
              <w:spacing w:after="0"/>
              <w:rPr>
                <w:sz w:val="1"/>
                <w:szCs w:val="1"/>
                <w:color w:val="auto"/>
              </w:rPr>
            </w:pP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15" w:lineRule="exact"/>
        <w:rPr>
          <w:sz w:val="20"/>
          <w:szCs w:val="20"/>
          <w:color w:val="auto"/>
        </w:rPr>
      </w:pPr>
    </w:p>
    <w:p>
      <w:pPr>
        <w:jc w:val="both"/>
        <w:ind w:right="220" w:firstLine="646"/>
        <w:spacing w:after="0" w:line="265"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Essent Guaranty also reinsures new insurance written ("NIW") to Essent Re. The following table summarizes the quota share reinsurance coverage that Essent Re has provided to Essent Guaranty for the respective NIW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NIW Period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5"/>
        </w:trPr>
        <w:tc>
          <w:tcPr>
            <w:tcW w:w="962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9"/>
        </w:trPr>
        <w:tc>
          <w:tcPr>
            <w:tcW w:w="9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to Present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9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2021 to December 31,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9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Prior to January 1, 2021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360" w:firstLine="646"/>
        <w:spacing w:after="0" w:line="265" w:lineRule="auto"/>
        <w:rPr>
          <w:sz w:val="20"/>
          <w:szCs w:val="20"/>
          <w:color w:val="auto"/>
        </w:rPr>
      </w:pPr>
      <w:r>
        <w:rPr>
          <w:rFonts w:ascii="Times New Roman" w:cs="Times New Roman" w:eastAsia="Times New Roman" w:hAnsi="Times New Roman"/>
          <w:sz w:val="18"/>
          <w:szCs w:val="18"/>
          <w:color w:val="auto"/>
        </w:rPr>
        <w:t>During both the three months ended March 31, 2026 and 2025, Essent Re paid $100 million in dividends to Essent Group, respectively. Essent Group made no capital contributions to Essent Re during the three months ended March 31, 2026 and 2025. As of March 31, 2026, Essent Re had total stockholders’ equity of $1.7 billion.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7" w:lineRule="exact"/>
        <w:rPr>
          <w:sz w:val="20"/>
          <w:szCs w:val="20"/>
          <w:color w:val="auto"/>
        </w:rPr>
      </w:pPr>
    </w:p>
    <w:p>
      <w:pPr>
        <w:ind w:right="180" w:firstLine="646"/>
        <w:spacing w:after="0" w:line="249" w:lineRule="auto"/>
        <w:rPr>
          <w:sz w:val="20"/>
          <w:szCs w:val="20"/>
          <w:color w:val="auto"/>
        </w:rPr>
      </w:pPr>
      <w:r>
        <w:rPr>
          <w:rFonts w:ascii="Times New Roman" w:cs="Times New Roman" w:eastAsia="Times New Roman" w:hAnsi="Times New Roman"/>
          <w:sz w:val="18"/>
          <w:szCs w:val="18"/>
          <w:color w:val="auto"/>
        </w:rPr>
        <w:t>The financial strength rating of Essent Guaranty, our principal mortgage insurance subsidiary, is rated A2 with a stable outlook by Moody’s Ratings (“Moody's”), A- with a stable outlook by S&amp;P and A (Excellent) with stable outlook by AM Best. The financial strength rating of Essent Re is A-with a stable outlook by S&amp;P and A (Excellent) with stable outlook by AM Best.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7" w:lineRule="exact"/>
        <w:rPr>
          <w:sz w:val="20"/>
          <w:szCs w:val="20"/>
          <w:color w:val="auto"/>
        </w:rPr>
      </w:pPr>
    </w:p>
    <w:p>
      <w:pPr>
        <w:ind w:right="140" w:firstLine="646"/>
        <w:spacing w:after="0" w:line="254"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March 31, 2026, Essent Guaranty, our GSE-approved mortgage insurance company, was in compliance with the PMIERs. As of March 31, 2026, Essent Guaranty's Available Assets were $3.6 billion or 174% of its Minimum Required Assets of $2.1 billion based on our interpretation of the PMIERs.</w:t>
      </w:r>
    </w:p>
    <w:p>
      <w:pPr>
        <w:spacing w:after="0" w:line="104" w:lineRule="exact"/>
        <w:rPr>
          <w:sz w:val="20"/>
          <w:szCs w:val="20"/>
          <w:color w:val="auto"/>
        </w:rPr>
      </w:pPr>
    </w:p>
    <w:p>
      <w:pPr>
        <w:jc w:val="both"/>
        <w:ind w:right="220" w:firstLine="646"/>
        <w:spacing w:after="0" w:line="265"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w:t>
      </w:r>
    </w:p>
    <w:p>
      <w:pPr>
        <w:spacing w:after="0" w:line="108" w:lineRule="exact"/>
        <w:rPr>
          <w:sz w:val="20"/>
          <w:szCs w:val="20"/>
          <w:color w:val="auto"/>
        </w:rPr>
      </w:pPr>
    </w:p>
    <w:p>
      <w:pPr>
        <w:jc w:val="both"/>
        <w:ind w:right="180" w:firstLine="646"/>
        <w:spacing w:after="0" w:line="265" w:lineRule="auto"/>
        <w:rPr>
          <w:sz w:val="20"/>
          <w:szCs w:val="20"/>
          <w:color w:val="auto"/>
        </w:rPr>
      </w:pPr>
      <w:r>
        <w:rPr>
          <w:rFonts w:ascii="Times New Roman" w:cs="Times New Roman" w:eastAsia="Times New Roman" w:hAnsi="Times New Roman"/>
          <w:sz w:val="18"/>
          <w:szCs w:val="18"/>
          <w:color w:val="auto"/>
        </w:rPr>
        <w:t>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7" w:lineRule="exact"/>
        <w:rPr>
          <w:sz w:val="20"/>
          <w:szCs w:val="20"/>
          <w:color w:val="auto"/>
        </w:rPr>
      </w:pPr>
    </w:p>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As of March 31, 2026, stockholders’ equity was $5.7 billion, compared to $5.8 billion as of December 31, 2025. Stockholders' equity decreased primarily due the repurchase of common shares under our share repurchase plan, an increase in accumulated other comprehensive loss related to an increase in our net unrealized investment losses, and dividends paid partially offset by net income generated in 2026.</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7" w:lineRule="exact"/>
        <w:rPr>
          <w:sz w:val="20"/>
          <w:szCs w:val="20"/>
          <w:color w:val="auto"/>
        </w:rPr>
      </w:pPr>
    </w:p>
    <w:p>
      <w:pPr>
        <w:ind w:right="520" w:firstLine="646"/>
        <w:spacing w:after="0" w:line="280" w:lineRule="auto"/>
        <w:rPr>
          <w:sz w:val="20"/>
          <w:szCs w:val="20"/>
          <w:color w:val="auto"/>
        </w:rPr>
      </w:pPr>
      <w:r>
        <w:rPr>
          <w:rFonts w:ascii="Times New Roman" w:cs="Times New Roman" w:eastAsia="Times New Roman" w:hAnsi="Times New Roman"/>
          <w:sz w:val="18"/>
          <w:szCs w:val="18"/>
          <w:color w:val="auto"/>
        </w:rPr>
        <w:t>As of March 31, 2026 and December 31, 2025, investments totaled $6.4 billion and $6.5 billion, respectively. In addition, our total cash was $128.3 million as of March 31, 2026, compared to $123.0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8"/>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369,712</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1,174,895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610,411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56,024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1,980,080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464,105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800,366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648,492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6,048,244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6,104,085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41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00" w:type="dxa"/>
            <w:vAlign w:val="bottom"/>
          </w:tcPr>
          <w:p>
            <w:pPr>
              <w:spacing w:after="0"/>
              <w:rPr>
                <w:sz w:val="16"/>
                <w:szCs w:val="16"/>
                <w:color w:val="auto"/>
              </w:rPr>
            </w:pPr>
          </w:p>
        </w:tc>
        <w:tc>
          <w:tcPr>
            <w:tcW w:w="20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871,259</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846,230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1,799,508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347,838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318,197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511,146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494,434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242,069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5,425,210</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5,455,593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$623,034 and $648,492 of money market funds at March 31, 2026 and December 31, 2025, respectively.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1,582,563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1,549,327</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532,211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536,135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2,345,516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2,387,243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6,048,244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6,104,085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right="40" w:firstLine="179"/>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2026, our estimated off-balance sheet maximum exposure to loss from the Radnor Re entities was $0.1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120" w:firstLine="646"/>
        <w:spacing w:after="0" w:line="280"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2025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right="80" w:firstLine="646"/>
        <w:spacing w:after="0" w:line="25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3" w:lineRule="exact"/>
        <w:rPr>
          <w:sz w:val="20"/>
          <w:szCs w:val="20"/>
          <w:color w:val="auto"/>
        </w:rPr>
      </w:pPr>
    </w:p>
    <w:p>
      <w:pPr>
        <w:ind w:right="300" w:firstLine="646"/>
        <w:spacing w:after="0" w:line="280"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1" w:lineRule="exact"/>
        <w:rPr>
          <w:sz w:val="20"/>
          <w:szCs w:val="20"/>
          <w:color w:val="auto"/>
        </w:rPr>
      </w:pPr>
    </w:p>
    <w:p>
      <w:pPr>
        <w:jc w:val="both"/>
        <w:ind w:left="660" w:right="260" w:hanging="330"/>
        <w:spacing w:after="0" w:line="280" w:lineRule="auto"/>
        <w:tabs>
          <w:tab w:leader="none" w:pos="655"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Changes to the level of interest rates. </w:t>
      </w:r>
      <w:r>
        <w:rPr>
          <w:rFonts w:ascii="Times New Roman" w:cs="Times New Roman" w:eastAsia="Times New Roman" w:hAnsi="Times New Roman"/>
          <w:sz w:val="17"/>
          <w:szCs w:val="17"/>
          <w:color w:val="auto"/>
        </w:rPr>
        <w:t>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3" w:lineRule="exact"/>
        <w:rPr>
          <w:rFonts w:ascii="Times New Roman" w:cs="Times New Roman" w:eastAsia="Times New Roman" w:hAnsi="Times New Roman"/>
          <w:sz w:val="17"/>
          <w:szCs w:val="17"/>
          <w:i w:val="1"/>
          <w:iCs w:val="1"/>
          <w:color w:val="auto"/>
        </w:rPr>
      </w:pPr>
    </w:p>
    <w:p>
      <w:pPr>
        <w:ind w:left="660" w:right="140" w:hanging="330"/>
        <w:spacing w:after="0" w:line="282"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6" w:lineRule="exact"/>
        <w:rPr>
          <w:rFonts w:ascii="Times New Roman" w:cs="Times New Roman" w:eastAsia="Times New Roman" w:hAnsi="Times New Roman"/>
          <w:sz w:val="18"/>
          <w:szCs w:val="18"/>
          <w:i w:val="1"/>
          <w:iCs w:val="1"/>
          <w:color w:val="auto"/>
        </w:rPr>
      </w:pPr>
    </w:p>
    <w:p>
      <w:pPr>
        <w:ind w:left="660" w:right="420" w:hanging="330"/>
        <w:spacing w:after="0" w:line="313" w:lineRule="auto"/>
        <w:tabs>
          <w:tab w:leader="none" w:pos="655"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162" w:lineRule="exact"/>
        <w:rPr>
          <w:rFonts w:ascii="Times New Roman" w:cs="Times New Roman" w:eastAsia="Times New Roman" w:hAnsi="Times New Roman"/>
          <w:sz w:val="17"/>
          <w:szCs w:val="17"/>
          <w:i w:val="1"/>
          <w:iCs w:val="1"/>
          <w:color w:val="auto"/>
        </w:rPr>
      </w:pPr>
    </w:p>
    <w:p>
      <w:pPr>
        <w:ind w:left="660" w:right="300" w:hanging="330"/>
        <w:spacing w:after="0" w:line="282"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6" w:lineRule="exact"/>
        <w:rPr>
          <w:rFonts w:ascii="Times New Roman" w:cs="Times New Roman" w:eastAsia="Times New Roman" w:hAnsi="Times New Roman"/>
          <w:sz w:val="18"/>
          <w:szCs w:val="18"/>
          <w:i w:val="1"/>
          <w:iCs w:val="1"/>
          <w:color w:val="auto"/>
        </w:rPr>
      </w:pPr>
    </w:p>
    <w:p>
      <w:pPr>
        <w:ind w:left="660" w:right="40" w:hanging="330"/>
        <w:spacing w:after="0" w:line="282"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1" w:lineRule="exact"/>
        <w:rPr>
          <w:sz w:val="20"/>
          <w:szCs w:val="20"/>
          <w:color w:val="auto"/>
        </w:rPr>
      </w:pPr>
    </w:p>
    <w:p>
      <w:pPr>
        <w:ind w:right="340" w:firstLine="646"/>
        <w:spacing w:after="0" w:line="265"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5" w:lineRule="exact"/>
        <w:rPr>
          <w:sz w:val="20"/>
          <w:szCs w:val="20"/>
          <w:color w:val="auto"/>
        </w:rPr>
      </w:pPr>
    </w:p>
    <w:p>
      <w:pPr>
        <w:ind w:firstLine="646"/>
        <w:spacing w:after="0" w:line="259" w:lineRule="auto"/>
        <w:rPr>
          <w:sz w:val="20"/>
          <w:szCs w:val="20"/>
          <w:color w:val="auto"/>
        </w:rPr>
      </w:pPr>
      <w:r>
        <w:rPr>
          <w:rFonts w:ascii="Times New Roman" w:cs="Times New Roman" w:eastAsia="Times New Roman" w:hAnsi="Times New Roman"/>
          <w:sz w:val="18"/>
          <w:szCs w:val="18"/>
          <w:color w:val="auto"/>
        </w:rPr>
        <w:t>At March 31, 2026, the effective duration of our investments available for sale was 3.9 years, which means that an instantaneous parallel shift (movement up or down) in the yield curve of 100 basis points would result in a change of 3.9%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ind w:right="40" w:firstLine="646"/>
        <w:spacing w:after="0" w:line="259"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2026, the end of the period covered by this Quarterly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right="320" w:firstLine="646"/>
        <w:spacing w:after="0" w:line="265"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2025.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March 31, 2026: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6"/>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880" w:type="dxa"/>
            <w:vAlign w:val="bottom"/>
            <w:gridSpan w:val="3"/>
            <w:vMerge w:val="continue"/>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6"/>
                <w:szCs w:val="16"/>
                <w:color w:val="auto"/>
              </w:rPr>
            </w:pPr>
          </w:p>
        </w:tc>
        <w:tc>
          <w:tcPr>
            <w:tcW w:w="158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687,436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1,381,839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2,594,197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414,650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600" w:hanging="330"/>
        <w:spacing w:after="0" w:line="244"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repurchased 2,594,197 common shares at a total cost of $157.0 million. The remaining $414.7 million in the table represents the amount available to repurchase shares under the November 2025 share repurchase authorization as of March 31, 2026. In April 2026, we repurchased 934,427 shares for $57.4 million, leaving approximately $357.3 million remaining for repurchases as of April 30, 2026.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Annual General Meeting of Shareholders</w:t>
      </w:r>
    </w:p>
    <w:p>
      <w:pPr>
        <w:spacing w:after="0" w:line="250" w:lineRule="exact"/>
        <w:rPr>
          <w:sz w:val="20"/>
          <w:szCs w:val="20"/>
          <w:color w:val="auto"/>
        </w:rPr>
      </w:pPr>
    </w:p>
    <w:p>
      <w:pPr>
        <w:jc w:val="both"/>
        <w:ind w:right="140" w:firstLine="646"/>
        <w:spacing w:after="0" w:line="265" w:lineRule="auto"/>
        <w:rPr>
          <w:sz w:val="20"/>
          <w:szCs w:val="20"/>
          <w:color w:val="auto"/>
        </w:rPr>
      </w:pPr>
      <w:r>
        <w:rPr>
          <w:rFonts w:ascii="Times New Roman" w:cs="Times New Roman" w:eastAsia="Times New Roman" w:hAnsi="Times New Roman"/>
          <w:sz w:val="18"/>
          <w:szCs w:val="18"/>
          <w:color w:val="auto"/>
        </w:rPr>
        <w:t>On May 6, 2026, we held our 2026 Annual General Meeting of Shareholders (the "Annual Meeting"). A total of 94,009,619 common shares were entitled to vote as of March 6, 2026, the record date for the Annual Meeting, of which 84,026,864 shares were present in person or by proxy at the Annual Meeting.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final voting results for each matter presented to shareholders at the Annual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Election of three Class III directors to serve through the 2029 Annual General Meeting of Shareholders: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3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 Casale</w:t>
            </w:r>
          </w:p>
        </w:tc>
        <w:tc>
          <w:tcPr>
            <w:tcW w:w="33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79,857,847</w:t>
            </w:r>
          </w:p>
        </w:tc>
        <w:tc>
          <w:tcPr>
            <w:tcW w:w="23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1,869,842</w:t>
            </w:r>
          </w:p>
        </w:tc>
        <w:tc>
          <w:tcPr>
            <w:tcW w:w="23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2,299,175</w:t>
            </w: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Douglas J. Pauls</w:t>
            </w:r>
          </w:p>
        </w:tc>
        <w:tc>
          <w:tcPr>
            <w:tcW w:w="334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78,983,994</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2,743,695</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2,299,175</w:t>
            </w: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William Spiegel</w:t>
            </w:r>
          </w:p>
        </w:tc>
        <w:tc>
          <w:tcPr>
            <w:tcW w:w="334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72,089,724</w:t>
            </w:r>
          </w:p>
        </w:tc>
        <w:tc>
          <w:tcPr>
            <w:tcW w:w="23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9,637,965</w:t>
            </w:r>
          </w:p>
        </w:tc>
        <w:tc>
          <w:tcPr>
            <w:tcW w:w="23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2,299,175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Proposal 2 - The re-appointment of PricewaterhouseCoopers LLP as the Company's independent registered public accounting firm for the year ending December 31, 2026 and until the 2027 Annual General Meeting of Shareholders, and the referral of the determination of the auditors' compensation to the board of directors, was ratified: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w:t>
            </w:r>
          </w:p>
        </w:tc>
        <w:tc>
          <w:tcPr>
            <w:tcW w:w="17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83,504,029</w:t>
            </w:r>
          </w:p>
        </w:tc>
      </w:tr>
      <w:tr>
        <w:trPr>
          <w:trHeight w:val="229"/>
        </w:trPr>
        <w:tc>
          <w:tcPr>
            <w:tcW w:w="33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488,565</w:t>
            </w:r>
          </w:p>
        </w:tc>
      </w:tr>
      <w:tr>
        <w:trPr>
          <w:trHeight w:val="229"/>
        </w:trPr>
        <w:tc>
          <w:tcPr>
            <w:tcW w:w="336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7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34,269</w:t>
            </w:r>
          </w:p>
        </w:tc>
      </w:tr>
      <w:tr>
        <w:trPr>
          <w:trHeight w:val="552"/>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3 - Provide a non-binding, advisory vote on our executive compensation:</w:t>
            </w:r>
          </w:p>
        </w:tc>
        <w:tc>
          <w:tcPr>
            <w:tcW w:w="1760" w:type="dxa"/>
            <w:vAlign w:val="bottom"/>
          </w:tcPr>
          <w:p>
            <w:pPr>
              <w:spacing w:after="0"/>
              <w:rPr>
                <w:sz w:val="24"/>
                <w:szCs w:val="24"/>
                <w:color w:val="auto"/>
              </w:rPr>
            </w:pPr>
          </w:p>
        </w:tc>
      </w:tr>
      <w:tr>
        <w:trPr>
          <w:trHeight w:val="269"/>
        </w:trPr>
        <w:tc>
          <w:tcPr>
            <w:tcW w:w="33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29"/>
        </w:trPr>
        <w:tc>
          <w:tcPr>
            <w:tcW w:w="336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w:t>
            </w:r>
          </w:p>
        </w:tc>
        <w:tc>
          <w:tcPr>
            <w:tcW w:w="17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79,068,683</w:t>
            </w:r>
          </w:p>
        </w:tc>
      </w:tr>
      <w:tr>
        <w:trPr>
          <w:trHeight w:val="229"/>
        </w:trPr>
        <w:tc>
          <w:tcPr>
            <w:tcW w:w="33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2,623,674</w:t>
            </w:r>
          </w:p>
        </w:tc>
      </w:tr>
      <w:tr>
        <w:trPr>
          <w:trHeight w:val="229"/>
        </w:trPr>
        <w:tc>
          <w:tcPr>
            <w:tcW w:w="336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17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38,324</w:t>
            </w:r>
          </w:p>
        </w:tc>
      </w:tr>
      <w:tr>
        <w:trPr>
          <w:trHeight w:val="234"/>
        </w:trPr>
        <w:tc>
          <w:tcPr>
            <w:tcW w:w="336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2,299,183</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Trading Plans</w:t>
      </w:r>
    </w:p>
    <w:p>
      <w:pPr>
        <w:spacing w:after="0" w:line="237" w:lineRule="exact"/>
        <w:rPr>
          <w:sz w:val="20"/>
          <w:szCs w:val="20"/>
          <w:color w:val="auto"/>
        </w:rPr>
      </w:pPr>
    </w:p>
    <w:p>
      <w:pPr>
        <w:ind w:firstLine="646"/>
        <w:spacing w:after="0" w:line="244" w:lineRule="auto"/>
        <w:rPr>
          <w:sz w:val="20"/>
          <w:szCs w:val="20"/>
          <w:color w:val="auto"/>
        </w:rPr>
      </w:pPr>
      <w:r>
        <w:rPr>
          <w:rFonts w:ascii="Times New Roman" w:cs="Times New Roman" w:eastAsia="Times New Roman" w:hAnsi="Times New Roman"/>
          <w:sz w:val="18"/>
          <w:szCs w:val="18"/>
          <w:color w:val="auto"/>
        </w:rPr>
        <w:t>On March 10, 2026, David Weinstock, the Company’s Senior Vice President and Chief Financial Officer, entered into a 10b5-1 sales plan (the “Plan”) intended to satisfy the affirmative defense of Rule 10b5-1(c) under the Exchange Act. The Plan provides for the sale of up to an aggregate of 11,000 shares of the Company’s common stock beneficially owned by Mr. Weinstock during the term of the Plan and will be in effect until the earlier of (1) June 10, 2027, and (2) the date on which an aggregate of 11,000 shares of the Company’s common shares have been sold under the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0"/>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8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3"/>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3"/>
        </w:trPr>
        <w:tc>
          <w:tcPr>
            <w:tcW w:w="6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bl>
    <w:p>
      <w:pPr>
        <w:ind w:left="1540" w:right="200" w:hanging="1515"/>
        <w:spacing w:after="0" w:line="217"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quarter ended March 31, 2026,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65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Mark A. Casale</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17145</wp:posOffset>
            </wp:positionV>
            <wp:extent cx="2972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60"/>
          </w:cols>
          <w:pgMar w:left="320" w:top="121" w:right="4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3" w:lineRule="exact"/>
        <w:rPr>
          <w:sz w:val="20"/>
          <w:szCs w:val="20"/>
          <w:color w:val="auto"/>
        </w:rPr>
      </w:pPr>
    </w:p>
    <w:p>
      <w:pPr>
        <w:ind w:left="560" w:hanging="552"/>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3" w:lineRule="exact"/>
        <w:rPr>
          <w:sz w:val="20"/>
          <w:szCs w:val="20"/>
          <w:color w:val="auto"/>
        </w:rPr>
      </w:pPr>
    </w:p>
    <w:p>
      <w:pPr>
        <w:ind w:left="560" w:hanging="552"/>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3" w:lineRule="exact"/>
        <w:rPr>
          <w:rFonts w:ascii="Times New Roman" w:cs="Times New Roman" w:eastAsia="Times New Roman" w:hAnsi="Times New Roman"/>
          <w:sz w:val="18"/>
          <w:szCs w:val="18"/>
          <w:color w:val="auto"/>
        </w:rPr>
      </w:pPr>
    </w:p>
    <w:p>
      <w:pPr>
        <w:jc w:val="both"/>
        <w:ind w:right="280" w:firstLine="8"/>
        <w:spacing w:after="0" w:line="311" w:lineRule="auto"/>
        <w:tabs>
          <w:tab w:leader="none" w:pos="5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260" w:firstLine="8"/>
        <w:spacing w:after="0" w:line="280" w:lineRule="auto"/>
        <w:tabs>
          <w:tab w:leader="none" w:pos="5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120" w:firstLine="8"/>
        <w:spacing w:after="0" w:line="265" w:lineRule="auto"/>
        <w:tabs>
          <w:tab w:leader="none" w:pos="5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60" w:firstLine="492"/>
        <w:spacing w:after="0" w:line="265" w:lineRule="auto"/>
        <w:tabs>
          <w:tab w:leader="none" w:pos="9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80" w:firstLine="492"/>
        <w:spacing w:after="0" w:line="265" w:lineRule="auto"/>
        <w:tabs>
          <w:tab w:leader="none" w:pos="10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60" w:firstLine="492"/>
        <w:spacing w:after="0" w:line="280" w:lineRule="auto"/>
        <w:tabs>
          <w:tab w:leader="none" w:pos="10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right="20" w:firstLine="492"/>
        <w:spacing w:after="0" w:line="265" w:lineRule="auto"/>
        <w:tabs>
          <w:tab w:leader="none" w:pos="10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40" w:firstLine="8"/>
        <w:spacing w:after="0" w:line="280" w:lineRule="auto"/>
        <w:tabs>
          <w:tab w:leader="none" w:pos="5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firstLine="492"/>
        <w:spacing w:after="0" w:line="280" w:lineRule="auto"/>
        <w:tabs>
          <w:tab w:leader="none" w:pos="10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00" w:firstLine="492"/>
        <w:spacing w:after="0" w:line="280" w:lineRule="auto"/>
        <w:tabs>
          <w:tab w:leader="none" w:pos="10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44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4"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8"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5" w:lineRule="exact"/>
        <w:rPr>
          <w:sz w:val="20"/>
          <w:szCs w:val="20"/>
          <w:color w:val="auto"/>
        </w:rPr>
      </w:pPr>
    </w:p>
    <w:p>
      <w:pPr>
        <w:ind w:right="120" w:firstLine="8"/>
        <w:spacing w:after="0" w:line="280" w:lineRule="auto"/>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200" w:firstLine="8"/>
        <w:spacing w:after="0" w:line="530" w:lineRule="auto"/>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8, 2026</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34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346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01"/>
    </w:lvl>
    <w:lvl w:ilvl="1">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2026-05-08T16:03:16Z</dcterms:created>
  <dcterms:modified xsi:type="dcterms:W3CDTF">2026-05-08T16:03:16Z</dcterms:modified>
</cp:coreProperties>
</file>