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ind w:right="16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74295</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13"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period ended September 30, 2021</w:t>
      </w:r>
    </w:p>
    <w:p>
      <w:pPr>
        <w:spacing w:after="0" w:line="127"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66"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69" w:lineRule="exact"/>
        <w:rPr>
          <w:sz w:val="24"/>
          <w:szCs w:val="24"/>
          <w:color w:val="auto"/>
        </w:rPr>
      </w:pPr>
    </w:p>
    <w:p>
      <w:pPr>
        <w:sectPr>
          <w:pgSz w:w="11900" w:h="16838" w:orient="portrait"/>
          <w:cols w:equalWidth="0" w:num="2">
            <w:col w:w="6060" w:space="560"/>
            <w:col w:w="4620"/>
          </w:cols>
          <w:pgMar w:left="320" w:top="233" w:right="339"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137795</wp:posOffset>
            </wp:positionV>
            <wp:extent cx="3068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80" w:lineRule="exact"/>
        <w:rPr>
          <w:sz w:val="24"/>
          <w:szCs w:val="24"/>
          <w:color w:val="auto"/>
        </w:rPr>
      </w:pPr>
    </w:p>
    <w:tbl>
      <w:tblPr>
        <w:tblLayout w:type="fixed"/>
        <w:tblInd w:w="50" w:type="dxa"/>
        <w:tblCellMar>
          <w:top w:w="0" w:type="dxa"/>
          <w:left w:w="0" w:type="dxa"/>
          <w:bottom w:w="0" w:type="dxa"/>
          <w:right w:w="0" w:type="dxa"/>
        </w:tblCellMar>
      </w:tblPr>
      <w:tr>
        <w:trPr>
          <w:trHeight w:val="360"/>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gridSpan w:val="3"/>
          </w:tcPr>
          <w:p>
            <w:pPr>
              <w:jc w:val="center"/>
              <w:ind w:right="40"/>
              <w:spacing w:after="0"/>
              <w:rPr>
                <w:sz w:val="20"/>
                <w:szCs w:val="20"/>
                <w:color w:val="auto"/>
              </w:rPr>
            </w:pPr>
            <w:r>
              <w:rPr>
                <w:rFonts w:ascii="Arial" w:cs="Arial" w:eastAsia="Arial" w:hAnsi="Arial"/>
                <w:sz w:val="29"/>
                <w:szCs w:val="29"/>
                <w:b w:val="1"/>
                <w:bCs w:val="1"/>
                <w:color w:val="auto"/>
                <w:w w:val="96"/>
              </w:rPr>
              <w:t>ESSENT GROUP LTD.</w:t>
            </w:r>
          </w:p>
        </w:tc>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6"/>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gridSpan w:val="3"/>
          </w:tcPr>
          <w:p>
            <w:pPr>
              <w:jc w:val="center"/>
              <w:ind w:right="20"/>
              <w:spacing w:after="0"/>
              <w:rPr>
                <w:sz w:val="20"/>
                <w:szCs w:val="20"/>
                <w:color w:val="auto"/>
              </w:rPr>
            </w:pPr>
            <w:r>
              <w:rPr>
                <w:rFonts w:ascii="Arial" w:cs="Arial" w:eastAsia="Arial" w:hAnsi="Arial"/>
                <w:sz w:val="16"/>
                <w:szCs w:val="16"/>
                <w:color w:val="auto"/>
                <w:w w:val="91"/>
              </w:rPr>
              <w:t>(Exact name of registrant as specified in its charter)</w:t>
            </w:r>
          </w:p>
        </w:tc>
        <w:tc>
          <w:tcPr>
            <w:tcW w:w="5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168"/>
        </w:trPr>
        <w:tc>
          <w:tcPr>
            <w:tcW w:w="3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0" w:type="dxa"/>
            <w:vAlign w:val="bottom"/>
          </w:tcPr>
          <w:p>
            <w:pPr>
              <w:spacing w:after="0"/>
              <w:rPr>
                <w:sz w:val="14"/>
                <w:szCs w:val="14"/>
                <w:color w:val="auto"/>
              </w:rPr>
            </w:pPr>
          </w:p>
        </w:tc>
      </w:tr>
      <w:tr>
        <w:trPr>
          <w:trHeight w:val="325"/>
        </w:trPr>
        <w:tc>
          <w:tcPr>
            <w:tcW w:w="3740" w:type="dxa"/>
            <w:vAlign w:val="bottom"/>
            <w:gridSpan w:val="2"/>
          </w:tcPr>
          <w:p>
            <w:pPr>
              <w:jc w:val="center"/>
              <w:ind w:left="1496"/>
              <w:spacing w:after="0"/>
              <w:rPr>
                <w:sz w:val="20"/>
                <w:szCs w:val="20"/>
                <w:color w:val="auto"/>
              </w:rPr>
            </w:pPr>
            <w:r>
              <w:rPr>
                <w:rFonts w:ascii="Arial" w:cs="Arial" w:eastAsia="Arial" w:hAnsi="Arial"/>
                <w:sz w:val="16"/>
                <w:szCs w:val="16"/>
                <w:b w:val="1"/>
                <w:bCs w:val="1"/>
                <w:color w:val="auto"/>
                <w:w w:val="92"/>
              </w:rPr>
              <w:t>Bermuda</w:t>
            </w: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2"/>
          </w:tcPr>
          <w:p>
            <w:pPr>
              <w:jc w:val="center"/>
              <w:ind w:right="1650"/>
              <w:spacing w:after="0"/>
              <w:rPr>
                <w:sz w:val="20"/>
                <w:szCs w:val="20"/>
                <w:color w:val="auto"/>
              </w:rPr>
            </w:pPr>
            <w:r>
              <w:rPr>
                <w:rFonts w:ascii="Arial" w:cs="Arial" w:eastAsia="Arial" w:hAnsi="Arial"/>
                <w:sz w:val="16"/>
                <w:szCs w:val="16"/>
                <w:b w:val="1"/>
                <w:bCs w:val="1"/>
                <w:color w:val="auto"/>
                <w:w w:val="92"/>
              </w:rPr>
              <w:t>Not Applicable</w:t>
            </w:r>
          </w:p>
        </w:tc>
      </w:tr>
      <w:tr>
        <w:trPr>
          <w:trHeight w:val="172"/>
        </w:trPr>
        <w:tc>
          <w:tcPr>
            <w:tcW w:w="3740" w:type="dxa"/>
            <w:vAlign w:val="bottom"/>
            <w:gridSpan w:val="2"/>
          </w:tcPr>
          <w:p>
            <w:pPr>
              <w:jc w:val="center"/>
              <w:ind w:left="1496"/>
              <w:spacing w:after="0" w:line="171" w:lineRule="exact"/>
              <w:rPr>
                <w:sz w:val="20"/>
                <w:szCs w:val="20"/>
                <w:color w:val="auto"/>
              </w:rPr>
            </w:pPr>
            <w:r>
              <w:rPr>
                <w:rFonts w:ascii="Arial" w:cs="Arial" w:eastAsia="Arial" w:hAnsi="Arial"/>
                <w:sz w:val="16"/>
                <w:szCs w:val="16"/>
                <w:color w:val="auto"/>
                <w:w w:val="93"/>
              </w:rPr>
              <w:t>(State or other jurisdiction of</w:t>
            </w:r>
          </w:p>
        </w:tc>
        <w:tc>
          <w:tcPr>
            <w:tcW w:w="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40" w:type="dxa"/>
            <w:vAlign w:val="bottom"/>
            <w:gridSpan w:val="2"/>
          </w:tcPr>
          <w:p>
            <w:pPr>
              <w:jc w:val="center"/>
              <w:ind w:right="1650"/>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3740" w:type="dxa"/>
            <w:vAlign w:val="bottom"/>
            <w:gridSpan w:val="2"/>
          </w:tcPr>
          <w:p>
            <w:pPr>
              <w:jc w:val="center"/>
              <w:ind w:left="1476"/>
              <w:spacing w:after="0"/>
              <w:rPr>
                <w:sz w:val="20"/>
                <w:szCs w:val="20"/>
                <w:color w:val="auto"/>
              </w:rPr>
            </w:pPr>
            <w:r>
              <w:rPr>
                <w:rFonts w:ascii="Arial" w:cs="Arial" w:eastAsia="Arial" w:hAnsi="Arial"/>
                <w:sz w:val="16"/>
                <w:szCs w:val="16"/>
                <w:color w:val="auto"/>
                <w:w w:val="93"/>
              </w:rPr>
              <w:t>incorporation or organization)</w:t>
            </w:r>
          </w:p>
        </w:tc>
        <w:tc>
          <w:tcPr>
            <w:tcW w:w="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40" w:type="dxa"/>
            <w:vAlign w:val="bottom"/>
            <w:gridSpan w:val="2"/>
          </w:tcPr>
          <w:p>
            <w:pPr>
              <w:jc w:val="center"/>
              <w:ind w:right="1650"/>
              <w:spacing w:after="0"/>
              <w:rPr>
                <w:sz w:val="20"/>
                <w:szCs w:val="20"/>
                <w:color w:val="auto"/>
              </w:rPr>
            </w:pPr>
            <w:r>
              <w:rPr>
                <w:rFonts w:ascii="Arial" w:cs="Arial" w:eastAsia="Arial" w:hAnsi="Arial"/>
                <w:sz w:val="16"/>
                <w:szCs w:val="16"/>
                <w:color w:val="auto"/>
                <w:w w:val="94"/>
              </w:rPr>
              <w:t>Identification Number)</w:t>
            </w:r>
          </w:p>
        </w:tc>
      </w:tr>
      <w:tr>
        <w:trPr>
          <w:trHeight w:val="262"/>
        </w:trPr>
        <w:tc>
          <w:tcPr>
            <w:tcW w:w="3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Clarendon House</w:t>
            </w:r>
          </w:p>
        </w:tc>
        <w:tc>
          <w:tcPr>
            <w:tcW w:w="54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189"/>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2 Church Street</w:t>
            </w: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Hamilton HM11, Bermuda</w:t>
            </w: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85"/>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20" w:type="dxa"/>
            <w:vAlign w:val="bottom"/>
            <w:gridSpan w:val="3"/>
          </w:tcPr>
          <w:p>
            <w:pPr>
              <w:jc w:val="center"/>
              <w:ind w:right="40"/>
              <w:spacing w:after="0"/>
              <w:rPr>
                <w:sz w:val="20"/>
                <w:szCs w:val="20"/>
                <w:color w:val="auto"/>
              </w:rPr>
            </w:pPr>
            <w:r>
              <w:rPr>
                <w:rFonts w:ascii="Arial" w:cs="Arial" w:eastAsia="Arial" w:hAnsi="Arial"/>
                <w:sz w:val="16"/>
                <w:szCs w:val="16"/>
                <w:color w:val="auto"/>
                <w:w w:val="93"/>
              </w:rPr>
              <w:t>(Address of principal executive offices and zip code)</w:t>
            </w: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00" w:type="dxa"/>
            <w:vAlign w:val="bottom"/>
            <w:gridSpan w:val="2"/>
          </w:tcPr>
          <w:p>
            <w:pPr>
              <w:jc w:val="center"/>
              <w:ind w:left="306"/>
              <w:spacing w:after="0"/>
              <w:rPr>
                <w:sz w:val="20"/>
                <w:szCs w:val="20"/>
                <w:color w:val="auto"/>
              </w:rPr>
            </w:pPr>
            <w:r>
              <w:rPr>
                <w:rFonts w:ascii="Arial" w:cs="Arial" w:eastAsia="Arial" w:hAnsi="Arial"/>
                <w:sz w:val="16"/>
                <w:szCs w:val="16"/>
                <w:b w:val="1"/>
                <w:bCs w:val="1"/>
                <w:color w:val="auto"/>
                <w:w w:val="93"/>
              </w:rPr>
              <w:t>(441) 297-9901</w:t>
            </w: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206"/>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gridSpan w:val="3"/>
          </w:tcPr>
          <w:p>
            <w:pPr>
              <w:jc w:val="center"/>
              <w:ind w:right="40"/>
              <w:spacing w:after="0"/>
              <w:rPr>
                <w:sz w:val="20"/>
                <w:szCs w:val="20"/>
                <w:color w:val="auto"/>
              </w:rPr>
            </w:pPr>
            <w:r>
              <w:rPr>
                <w:rFonts w:ascii="Arial" w:cs="Arial" w:eastAsia="Arial" w:hAnsi="Arial"/>
                <w:sz w:val="16"/>
                <w:szCs w:val="16"/>
                <w:color w:val="auto"/>
                <w:w w:val="91"/>
              </w:rPr>
              <w:t>(Registrant’s telephone number, including area code)</w:t>
            </w:r>
          </w:p>
        </w:tc>
        <w:tc>
          <w:tcPr>
            <w:tcW w:w="5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452"/>
        </w:trPr>
        <w:tc>
          <w:tcPr>
            <w:tcW w:w="7460" w:type="dxa"/>
            <w:vAlign w:val="bottom"/>
            <w:gridSpan w:val="5"/>
          </w:tcPr>
          <w:p>
            <w:pPr>
              <w:ind w:left="460"/>
              <w:spacing w:after="0"/>
              <w:rPr>
                <w:sz w:val="20"/>
                <w:szCs w:val="20"/>
                <w:color w:val="auto"/>
              </w:rPr>
            </w:pPr>
            <w:r>
              <w:rPr>
                <w:rFonts w:ascii="Arial" w:cs="Arial" w:eastAsia="Arial" w:hAnsi="Arial"/>
                <w:sz w:val="18"/>
                <w:szCs w:val="18"/>
                <w:color w:val="auto"/>
              </w:rPr>
              <w:t>Securities registered pursuant to Section 12(b) of the Act:</w:t>
            </w:r>
          </w:p>
        </w:tc>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22"/>
        </w:trPr>
        <w:tc>
          <w:tcPr>
            <w:tcW w:w="3740" w:type="dxa"/>
            <w:vAlign w:val="bottom"/>
            <w:tcBorders>
              <w:bottom w:val="single" w:sz="8" w:color="auto"/>
            </w:tcBorders>
            <w:gridSpan w:val="2"/>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gridSpan w:val="2"/>
          </w:tcPr>
          <w:p>
            <w:pPr>
              <w:spacing w:after="0"/>
              <w:rPr>
                <w:sz w:val="10"/>
                <w:szCs w:val="10"/>
                <w:color w:val="auto"/>
              </w:rPr>
            </w:pPr>
          </w:p>
        </w:tc>
      </w:tr>
      <w:tr>
        <w:trPr>
          <w:trHeight w:val="207"/>
        </w:trPr>
        <w:tc>
          <w:tcPr>
            <w:tcW w:w="3740" w:type="dxa"/>
            <w:vAlign w:val="bottom"/>
            <w:tcBorders>
              <w:left w:val="single" w:sz="8" w:color="auto"/>
              <w:bottom w:val="single" w:sz="8" w:color="auto"/>
            </w:tcBorders>
            <w:gridSpan w:val="2"/>
          </w:tcPr>
          <w:p>
            <w:pPr>
              <w:jc w:val="center"/>
              <w:ind w:left="316"/>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Borders>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2"/>
          </w:tcPr>
          <w:p>
            <w:pPr>
              <w:jc w:val="center"/>
              <w:ind w:right="35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6"/>
        </w:trPr>
        <w:tc>
          <w:tcPr>
            <w:tcW w:w="3740" w:type="dxa"/>
            <w:vAlign w:val="bottom"/>
            <w:tcBorders>
              <w:left w:val="single" w:sz="8" w:color="auto"/>
              <w:bottom w:val="single" w:sz="8" w:color="auto"/>
            </w:tcBorders>
            <w:gridSpan w:val="2"/>
          </w:tcPr>
          <w:p>
            <w:pPr>
              <w:jc w:val="center"/>
              <w:ind w:left="316"/>
              <w:spacing w:after="0"/>
              <w:rPr>
                <w:sz w:val="20"/>
                <w:szCs w:val="20"/>
                <w:color w:val="auto"/>
              </w:rPr>
            </w:pPr>
            <w:r>
              <w:rPr>
                <w:rFonts w:ascii="Arial" w:cs="Arial" w:eastAsia="Arial" w:hAnsi="Arial"/>
                <w:sz w:val="18"/>
                <w:szCs w:val="18"/>
                <w:color w:val="auto"/>
                <w:w w:val="89"/>
              </w:rPr>
              <w:t>Common Shares, $0.015 par value</w:t>
            </w:r>
          </w:p>
        </w:tc>
        <w:tc>
          <w:tcPr>
            <w:tcW w:w="42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ESNT</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New York Stock Exchange</w:t>
            </w:r>
          </w:p>
        </w:tc>
      </w:tr>
    </w:tbl>
    <w:p>
      <w:pPr>
        <w:spacing w:after="0" w:line="323" w:lineRule="exact"/>
        <w:rPr>
          <w:sz w:val="24"/>
          <w:szCs w:val="24"/>
          <w:color w:val="auto"/>
        </w:rPr>
      </w:pPr>
    </w:p>
    <w:p>
      <w:pPr>
        <w:jc w:val="both"/>
        <w:ind w:right="60" w:firstLine="56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w:t>
      </w:r>
    </w:p>
    <w:p>
      <w:pPr>
        <w:spacing w:after="0" w:line="35" w:lineRule="exact"/>
        <w:rPr>
          <w:sz w:val="24"/>
          <w:szCs w:val="24"/>
          <w:color w:val="auto"/>
        </w:rPr>
      </w:pPr>
    </w:p>
    <w:p>
      <w:pPr>
        <w:jc w:val="both"/>
        <w:ind w:right="40"/>
        <w:spacing w:after="0" w:line="226"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ind w:right="16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240" w:firstLine="567"/>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80" w:right="1420"/>
        <w:spacing w:after="0" w:line="21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the registrant’s common shares outstanding as of November 2, 2021 was 110,432,477.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8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5"/>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3"/>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PART I.</w:t>
              </w:r>
            </w:hyperlink>
          </w:p>
        </w:tc>
        <w:tc>
          <w:tcPr>
            <w:tcW w:w="880" w:type="dxa"/>
            <w:vAlign w:val="bottom"/>
            <w:gridSpan w:val="5"/>
          </w:tcPr>
          <w:p>
            <w:pPr>
              <w:spacing w:after="0"/>
              <w:rPr>
                <w:sz w:val="24"/>
                <w:szCs w:val="24"/>
                <w:color w:val="auto"/>
              </w:rPr>
            </w:pPr>
          </w:p>
        </w:tc>
        <w:tc>
          <w:tcPr>
            <w:tcW w:w="2380" w:type="dxa"/>
            <w:vAlign w:val="bottom"/>
            <w:gridSpan w:val="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INFORMATION</w:t>
              </w:r>
            </w:hyperlink>
          </w:p>
        </w:tc>
        <w:tc>
          <w:tcPr>
            <w:tcW w:w="5760" w:type="dxa"/>
            <w:vAlign w:val="bottom"/>
            <w:gridSpan w:val="10"/>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Item 1.</w:t>
              </w:r>
            </w:hyperlink>
          </w:p>
        </w:tc>
        <w:tc>
          <w:tcPr>
            <w:tcW w:w="880" w:type="dxa"/>
            <w:vAlign w:val="bottom"/>
            <w:gridSpan w:val="5"/>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Statements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Condensed Consolidated Balance Sheets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Condensed Consolidated Statements of Comprehensive Income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4"/>
          </w:tcPr>
          <w:p>
            <w:pPr>
              <w:spacing w:after="0"/>
              <w:rPr>
                <w:rFonts w:ascii="Arial" w:cs="Arial" w:eastAsia="Arial" w:hAnsi="Arial"/>
                <w:sz w:val="18"/>
                <w:szCs w:val="18"/>
                <w:b w:val="1"/>
                <w:bCs w:val="1"/>
                <w:color w:val="0000FF"/>
                <w:w w:val="89"/>
              </w:rPr>
            </w:pPr>
            <w:hyperlink w:anchor="page6">
              <w:r>
                <w:rPr>
                  <w:rFonts w:ascii="Arial" w:cs="Arial" w:eastAsia="Arial" w:hAnsi="Arial"/>
                  <w:sz w:val="18"/>
                  <w:szCs w:val="18"/>
                  <w:b w:val="1"/>
                  <w:bCs w:val="1"/>
                  <w:color w:val="0000FF"/>
                  <w:w w:val="89"/>
                </w:rPr>
                <w:t>Condensed Consolidated Statements of Changes in Stockholders’ Equity (Unaudited)</w:t>
              </w:r>
            </w:hyperlink>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1"/>
          </w:tcPr>
          <w:p>
            <w:pPr>
              <w:spacing w:after="0"/>
              <w:rPr>
                <w:rFonts w:ascii="Arial" w:cs="Arial" w:eastAsia="Arial" w:hAnsi="Arial"/>
                <w:sz w:val="18"/>
                <w:szCs w:val="18"/>
                <w:b w:val="1"/>
                <w:bCs w:val="1"/>
                <w:color w:val="0000FF"/>
                <w:w w:val="88"/>
              </w:rPr>
            </w:pPr>
            <w:hyperlink w:anchor="page7">
              <w:r>
                <w:rPr>
                  <w:rFonts w:ascii="Arial" w:cs="Arial" w:eastAsia="Arial" w:hAnsi="Arial"/>
                  <w:sz w:val="18"/>
                  <w:szCs w:val="18"/>
                  <w:b w:val="1"/>
                  <w:bCs w:val="1"/>
                  <w:color w:val="0000FF"/>
                  <w:w w:val="88"/>
                </w:rPr>
                <w:t>Condensed Consolidated Statements of Cash Flows (Unaudited)</w:t>
              </w:r>
            </w:hyperlink>
          </w:p>
        </w:tc>
        <w:tc>
          <w:tcPr>
            <w:tcW w:w="16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Notes to Condensed Consolidated Financial Statements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2.</w:t>
              </w:r>
            </w:hyperlink>
          </w:p>
        </w:tc>
        <w:tc>
          <w:tcPr>
            <w:tcW w:w="840" w:type="dxa"/>
            <w:vAlign w:val="bottom"/>
            <w:gridSpan w:val="4"/>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Management’s Discussion and Analysis of Financial Condition and Results of Operations</w:t>
              </w:r>
            </w:hyperlink>
          </w:p>
        </w:tc>
        <w:tc>
          <w:tcPr>
            <w:tcW w:w="15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439"/>
        </w:trPr>
        <w:tc>
          <w:tcPr>
            <w:tcW w:w="2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Item 3.</w:t>
              </w:r>
            </w:hyperlink>
          </w:p>
        </w:tc>
        <w:tc>
          <w:tcPr>
            <w:tcW w:w="840" w:type="dxa"/>
            <w:vAlign w:val="bottom"/>
            <w:gridSpan w:val="4"/>
          </w:tcPr>
          <w:p>
            <w:pPr>
              <w:spacing w:after="0"/>
              <w:rPr>
                <w:sz w:val="24"/>
                <w:szCs w:val="24"/>
                <w:color w:val="auto"/>
              </w:rPr>
            </w:pPr>
          </w:p>
        </w:tc>
        <w:tc>
          <w:tcPr>
            <w:tcW w:w="6820" w:type="dxa"/>
            <w:vAlign w:val="bottom"/>
            <w:tcBorders>
              <w:top w:val="single" w:sz="8" w:color="0000FF"/>
            </w:tcBorders>
            <w:gridSpan w:val="15"/>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Quantitative and Qualitative Disclosures About Market Risk</w:t>
              </w:r>
            </w:hyperlink>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47</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Item 4.</w:t>
              </w:r>
            </w:hyperlink>
          </w:p>
        </w:tc>
        <w:tc>
          <w:tcPr>
            <w:tcW w:w="8140" w:type="dxa"/>
            <w:vAlign w:val="bottom"/>
            <w:gridSpan w:val="16"/>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Controls and Procedures</w:t>
              </w:r>
            </w:hyperlink>
          </w:p>
        </w:tc>
        <w:tc>
          <w:tcPr>
            <w:tcW w:w="150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47</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w:t>
              </w:r>
            </w:hyperlink>
          </w:p>
        </w:tc>
        <w:tc>
          <w:tcPr>
            <w:tcW w:w="8140" w:type="dxa"/>
            <w:vAlign w:val="bottom"/>
            <w:gridSpan w:val="16"/>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OTHER INFORMATION</w:t>
              </w:r>
            </w:hyperlink>
          </w:p>
        </w:tc>
        <w:tc>
          <w:tcPr>
            <w:tcW w:w="150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439"/>
        </w:trPr>
        <w:tc>
          <w:tcPr>
            <w:tcW w:w="2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Item 1.</w:t>
              </w:r>
            </w:hyperlink>
          </w:p>
        </w:tc>
        <w:tc>
          <w:tcPr>
            <w:tcW w:w="820" w:type="dxa"/>
            <w:vAlign w:val="bottom"/>
            <w:gridSpan w:val="3"/>
          </w:tcPr>
          <w:p>
            <w:pPr>
              <w:spacing w:after="0"/>
              <w:rPr>
                <w:sz w:val="24"/>
                <w:szCs w:val="24"/>
                <w:color w:val="auto"/>
              </w:rPr>
            </w:pPr>
          </w:p>
        </w:tc>
        <w:tc>
          <w:tcPr>
            <w:tcW w:w="2020" w:type="dxa"/>
            <w:vAlign w:val="bottom"/>
            <w:tcBorders>
              <w:top w:val="single" w:sz="8" w:color="0000FF"/>
            </w:tcBorders>
            <w:gridSpan w:val="5"/>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Legal Proceedings</w:t>
              </w:r>
            </w:hyperlink>
          </w:p>
        </w:tc>
        <w:tc>
          <w:tcPr>
            <w:tcW w:w="612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48</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rFonts w:ascii="Arial" w:cs="Arial" w:eastAsia="Arial" w:hAnsi="Arial"/>
                <w:sz w:val="18"/>
                <w:szCs w:val="18"/>
                <w:b w:val="1"/>
                <w:bCs w:val="1"/>
                <w:color w:val="0000FF"/>
                <w:w w:val="94"/>
              </w:rPr>
            </w:pPr>
            <w:hyperlink w:anchor="page52">
              <w:r>
                <w:rPr>
                  <w:rFonts w:ascii="Arial" w:cs="Arial" w:eastAsia="Arial" w:hAnsi="Arial"/>
                  <w:sz w:val="18"/>
                  <w:szCs w:val="18"/>
                  <w:b w:val="1"/>
                  <w:bCs w:val="1"/>
                  <w:color w:val="0000FF"/>
                  <w:w w:val="94"/>
                </w:rPr>
                <w:t>Item 1A.</w:t>
              </w:r>
            </w:hyperlink>
          </w:p>
        </w:tc>
        <w:tc>
          <w:tcPr>
            <w:tcW w:w="840" w:type="dxa"/>
            <w:vAlign w:val="bottom"/>
            <w:gridSpan w:val="4"/>
          </w:tcPr>
          <w:p>
            <w:pPr>
              <w:spacing w:after="0"/>
              <w:rPr>
                <w:sz w:val="24"/>
                <w:szCs w:val="24"/>
                <w:color w:val="auto"/>
              </w:rPr>
            </w:pPr>
          </w:p>
        </w:tc>
        <w:tc>
          <w:tcPr>
            <w:tcW w:w="980" w:type="dxa"/>
            <w:vAlign w:val="bottom"/>
            <w:tcBorders>
              <w:bottom w:val="single" w:sz="8" w:color="0000FF"/>
            </w:tcBorders>
            <w:gridSpan w:val="2"/>
          </w:tcPr>
          <w:p>
            <w:pPr>
              <w:spacing w:after="0"/>
              <w:rPr>
                <w:rFonts w:ascii="Arial" w:cs="Arial" w:eastAsia="Arial" w:hAnsi="Arial"/>
                <w:sz w:val="18"/>
                <w:szCs w:val="18"/>
                <w:b w:val="1"/>
                <w:bCs w:val="1"/>
                <w:color w:val="0000FF"/>
                <w:w w:val="88"/>
              </w:rPr>
            </w:pPr>
            <w:hyperlink w:anchor="page52">
              <w:r>
                <w:rPr>
                  <w:rFonts w:ascii="Arial" w:cs="Arial" w:eastAsia="Arial" w:hAnsi="Arial"/>
                  <w:sz w:val="18"/>
                  <w:szCs w:val="18"/>
                  <w:b w:val="1"/>
                  <w:bCs w:val="1"/>
                  <w:color w:val="0000FF"/>
                  <w:w w:val="88"/>
                </w:rPr>
                <w:t>Risk Factors</w:t>
              </w:r>
            </w:hyperlink>
          </w:p>
        </w:tc>
        <w:tc>
          <w:tcPr>
            <w:tcW w:w="7160" w:type="dxa"/>
            <w:vAlign w:val="bottom"/>
            <w:gridSpan w:val="14"/>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48</w:t>
              </w:r>
            </w:hyperlink>
          </w:p>
        </w:tc>
      </w:tr>
      <w:tr>
        <w:trPr>
          <w:trHeight w:val="439"/>
        </w:trPr>
        <w:tc>
          <w:tcPr>
            <w:tcW w:w="20" w:type="dxa"/>
            <w:vAlign w:val="bottom"/>
          </w:tcPr>
          <w:p>
            <w:pPr>
              <w:spacing w:after="0"/>
              <w:rPr>
                <w:sz w:val="24"/>
                <w:szCs w:val="24"/>
                <w:color w:val="auto"/>
              </w:rPr>
            </w:pPr>
          </w:p>
        </w:tc>
        <w:tc>
          <w:tcPr>
            <w:tcW w:w="1160" w:type="dxa"/>
            <w:vAlign w:val="bottom"/>
            <w:gridSpan w:val="5"/>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Item 2.</w:t>
              </w:r>
            </w:hyperlink>
          </w:p>
        </w:tc>
        <w:tc>
          <w:tcPr>
            <w:tcW w:w="360" w:type="dxa"/>
            <w:vAlign w:val="bottom"/>
            <w:gridSpan w:val="2"/>
          </w:tcPr>
          <w:p>
            <w:pPr>
              <w:spacing w:after="0"/>
              <w:rPr>
                <w:sz w:val="24"/>
                <w:szCs w:val="24"/>
                <w:color w:val="auto"/>
              </w:rPr>
            </w:pPr>
          </w:p>
        </w:tc>
        <w:tc>
          <w:tcPr>
            <w:tcW w:w="8140" w:type="dxa"/>
            <w:vAlign w:val="bottom"/>
            <w:gridSpan w:val="16"/>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Unregistered Sales of Equity Securities and Use of Proceeds</w:t>
              </w:r>
            </w:hyperlink>
          </w:p>
        </w:tc>
        <w:tc>
          <w:tcPr>
            <w:tcW w:w="150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48</w:t>
              </w:r>
            </w:hyperlink>
          </w:p>
        </w:tc>
      </w:tr>
      <w:tr>
        <w:trPr>
          <w:trHeight w:val="439"/>
        </w:trPr>
        <w:tc>
          <w:tcPr>
            <w:tcW w:w="20" w:type="dxa"/>
            <w:vAlign w:val="bottom"/>
          </w:tcPr>
          <w:p>
            <w:pPr>
              <w:spacing w:after="0"/>
              <w:rPr>
                <w:sz w:val="24"/>
                <w:szCs w:val="24"/>
                <w:color w:val="auto"/>
              </w:rPr>
            </w:pPr>
          </w:p>
        </w:tc>
        <w:tc>
          <w:tcPr>
            <w:tcW w:w="1160" w:type="dxa"/>
            <w:vAlign w:val="bottom"/>
            <w:tcBorders>
              <w:top w:val="single" w:sz="8" w:color="0000FF"/>
            </w:tcBorders>
            <w:gridSpan w:val="5"/>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Item 6.</w:t>
              </w:r>
            </w:hyperlink>
          </w:p>
        </w:tc>
        <w:tc>
          <w:tcPr>
            <w:tcW w:w="360" w:type="dxa"/>
            <w:vAlign w:val="bottom"/>
            <w:gridSpan w:val="2"/>
          </w:tcPr>
          <w:p>
            <w:pPr>
              <w:spacing w:after="0"/>
              <w:rPr>
                <w:sz w:val="24"/>
                <w:szCs w:val="24"/>
                <w:color w:val="auto"/>
              </w:rPr>
            </w:pPr>
          </w:p>
        </w:tc>
        <w:tc>
          <w:tcPr>
            <w:tcW w:w="456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Exhibits</w:t>
              </w:r>
            </w:hyperlink>
          </w:p>
        </w:tc>
        <w:tc>
          <w:tcPr>
            <w:tcW w:w="3580" w:type="dxa"/>
            <w:vAlign w:val="bottom"/>
            <w:gridSpan w:val="7"/>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SIGNATURES</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Guaranty, Inc. and Essent Reinsurance Ltd., as a combined entity, except where otherwise stated or where it is clear that the terms mean only Essent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Ltd. exclusive of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2020 filed with the Securities and Exchange Commission. These factors include, without limitation, the following:</w:t>
      </w:r>
    </w:p>
    <w:p>
      <w:pPr>
        <w:spacing w:after="0" w:line="178" w:lineRule="exact"/>
        <w:rPr>
          <w:sz w:val="20"/>
          <w:szCs w:val="20"/>
          <w:color w:val="auto"/>
        </w:rPr>
      </w:pPr>
    </w:p>
    <w:p>
      <w:pPr>
        <w:ind w:left="660" w:right="60" w:hanging="328"/>
        <w:spacing w:after="0" w:line="27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205"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 or reinsurance;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 as a result of COVID-19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30"/>
              <w:spacing w:after="0"/>
              <w:rPr>
                <w:sz w:val="20"/>
                <w:szCs w:val="20"/>
                <w:color w:val="auto"/>
              </w:rPr>
            </w:pPr>
            <w:r>
              <w:rPr>
                <w:rFonts w:ascii="Arial" w:cs="Arial" w:eastAsia="Arial" w:hAnsi="Arial"/>
                <w:sz w:val="18"/>
                <w:szCs w:val="18"/>
                <w:b w:val="1"/>
                <w:bCs w:val="1"/>
                <w:color w:val="auto"/>
                <w:w w:val="89"/>
              </w:rPr>
              <w:t>Essent Group Ltd. and Subsidiaries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 except per share amounts)</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Fixed maturities available for sale, at fair value (amortized cost: 2021 — $4,462,616;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4,560,235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3,838,513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2020 — $3,677,815)</w:t>
            </w:r>
          </w:p>
        </w:tc>
        <w:tc>
          <w:tcPr>
            <w:tcW w:w="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Short-term investments available for sale, at fair value (amortized cost: 2021 —</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309,782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726,860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$309,781; 2020 — $726,875)</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investments available for sale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Other invested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4,654,277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102,830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Property and equipment (at cost, less accumulated depreciation of $63,545 in 2021 and</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60"/>
              <w:spacing w:after="0"/>
              <w:rPr>
                <w:sz w:val="20"/>
                <w:szCs w:val="20"/>
                <w:color w:val="auto"/>
              </w:rPr>
            </w:pPr>
            <w:r>
              <w:rPr>
                <w:rFonts w:ascii="Arial" w:cs="Arial" w:eastAsia="Arial" w:hAnsi="Arial"/>
                <w:sz w:val="18"/>
                <w:szCs w:val="18"/>
                <w:color w:val="auto"/>
              </w:rPr>
              <w:t>$60,967 in 2020)</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federal income tax</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Reserve for losses and LAE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250,436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deferred tax liability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305,109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9"/>
              </w:rPr>
              <w:t>Credit facility borrowings (at carrying value, less unamortized deferred costs of $2,386 in 2021 and</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322,614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321,720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460"/>
              <w:spacing w:after="0"/>
              <w:rPr>
                <w:sz w:val="20"/>
                <w:szCs w:val="20"/>
                <w:color w:val="auto"/>
              </w:rPr>
            </w:pPr>
            <w:r>
              <w:rPr>
                <w:rFonts w:ascii="Arial" w:cs="Arial" w:eastAsia="Arial" w:hAnsi="Arial"/>
                <w:sz w:val="18"/>
                <w:szCs w:val="18"/>
                <w:color w:val="auto"/>
              </w:rPr>
              <w:t>$3,280 in 2020)</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1,421,532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1,340,091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Common shares, $0.015 par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tcPr>
          <w:p>
            <w:pPr>
              <w:ind w:left="420"/>
              <w:spacing w:after="0" w:line="176" w:lineRule="exact"/>
              <w:rPr>
                <w:sz w:val="20"/>
                <w:szCs w:val="20"/>
                <w:color w:val="auto"/>
              </w:rPr>
            </w:pPr>
            <w:r>
              <w:rPr>
                <w:rFonts w:ascii="Arial" w:cs="Arial" w:eastAsia="Arial" w:hAnsi="Arial"/>
                <w:sz w:val="18"/>
                <w:szCs w:val="18"/>
                <w:color w:val="auto"/>
              </w:rPr>
              <w:t>Authorized - 233,333; issued and outstanding - 110,915 shares in 2021 and 112,423</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660"/>
              <w:spacing w:after="0"/>
              <w:rPr>
                <w:sz w:val="20"/>
                <w:szCs w:val="20"/>
                <w:color w:val="auto"/>
              </w:rPr>
            </w:pPr>
            <w:r>
              <w:rPr>
                <w:rFonts w:ascii="Arial" w:cs="Arial" w:eastAsia="Arial" w:hAnsi="Arial"/>
                <w:sz w:val="18"/>
                <w:szCs w:val="18"/>
                <w:color w:val="auto"/>
              </w:rPr>
              <w:t>shares in 2020</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78,514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138,274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2,594,801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4,167,984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3,862,633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202,348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222,223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608,996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619,870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20,355</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218,718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222,258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640,225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59,138</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investment gains,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other invested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707,955</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(Benefit) provision for losses and LAE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239,220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losses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364,011</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343,944</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111,908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104,147</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0" w:type="dxa"/>
            <w:vAlign w:val="bottom"/>
          </w:tcPr>
          <w:p>
            <w:pPr>
              <w:spacing w:after="0"/>
              <w:rPr>
                <w:sz w:val="1"/>
                <w:szCs w:val="1"/>
                <w:color w:val="auto"/>
              </w:rPr>
            </w:pPr>
          </w:p>
        </w:tc>
      </w:tr>
      <w:tr>
        <w:trPr>
          <w:trHeight w:val="257"/>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289,439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2"/>
              </w:rPr>
              <w:t>Change in unrealized (depreciation) appreciation of investments, net</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420"/>
              <w:spacing w:after="0" w:line="176" w:lineRule="exact"/>
              <w:rPr>
                <w:sz w:val="20"/>
                <w:szCs w:val="20"/>
                <w:color w:val="auto"/>
              </w:rPr>
            </w:pPr>
            <w:r>
              <w:rPr>
                <w:rFonts w:ascii="Arial" w:cs="Arial" w:eastAsia="Arial" w:hAnsi="Arial"/>
                <w:sz w:val="18"/>
                <w:szCs w:val="18"/>
                <w:color w:val="auto"/>
              </w:rPr>
              <w:t>of tax (benefit) expense of ($8,599) and $3,856 in the three</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3"/>
              </w:rPr>
              <w:t>months ended September 30, 2021 and 2020 and ($10,944) and</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(36,917)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(59,760)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76,247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w w:val="92"/>
              </w:rPr>
              <w:t>$14,469 in the nine months ended September 30, 2021 and 2020</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76,247</w:t>
            </w:r>
          </w:p>
        </w:tc>
        <w:tc>
          <w:tcPr>
            <w:tcW w:w="0" w:type="dxa"/>
            <w:vAlign w:val="bottom"/>
          </w:tcPr>
          <w:p>
            <w:pPr>
              <w:spacing w:after="0"/>
              <w:rPr>
                <w:sz w:val="1"/>
                <w:szCs w:val="1"/>
                <w:color w:val="auto"/>
              </w:rPr>
            </w:pPr>
          </w:p>
        </w:tc>
      </w:tr>
      <w:tr>
        <w:trPr>
          <w:trHeight w:val="223"/>
        </w:trPr>
        <w:tc>
          <w:tcPr>
            <w:tcW w:w="52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365,686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8"/>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shares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1,118,655</w:t>
            </w:r>
          </w:p>
        </w:tc>
        <w:tc>
          <w:tcPr>
            <w:tcW w:w="0" w:type="dxa"/>
            <w:vAlign w:val="bottom"/>
          </w:tcPr>
          <w:p>
            <w:pPr>
              <w:spacing w:after="0"/>
              <w:rPr>
                <w:sz w:val="1"/>
                <w:szCs w:val="1"/>
                <w:color w:val="auto"/>
              </w:rPr>
            </w:pPr>
          </w:p>
        </w:tc>
      </w:tr>
      <w:tr>
        <w:trPr>
          <w:trHeight w:val="175"/>
        </w:trPr>
        <w:tc>
          <w:tcPr>
            <w:tcW w:w="52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6"/>
              </w:rPr>
              <w:t>Issuance of common shares, net of issuance costs of $18,894 in</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439,749</w:t>
            </w:r>
          </w:p>
        </w:tc>
        <w:tc>
          <w:tcPr>
            <w:tcW w:w="0" w:type="dxa"/>
            <w:vAlign w:val="bottom"/>
          </w:tcPr>
          <w:p>
            <w:pPr>
              <w:spacing w:after="0"/>
              <w:rPr>
                <w:sz w:val="1"/>
                <w:szCs w:val="1"/>
                <w:color w:val="auto"/>
              </w:rPr>
            </w:pPr>
          </w:p>
        </w:tc>
      </w:tr>
      <w:tr>
        <w:trPr>
          <w:trHeight w:val="230"/>
        </w:trPr>
        <w:tc>
          <w:tcPr>
            <w:tcW w:w="5100" w:type="dxa"/>
            <w:vAlign w:val="bottom"/>
          </w:tcPr>
          <w:p>
            <w:pPr>
              <w:ind w:left="4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1,493,005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1,566,448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1,566,448</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115,431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76,247</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132,434</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1,808,527</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205,353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289,439</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(51,990)</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2,594,801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2,045,976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2,594,801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2,045,976</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Treasury stock acquired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4,167,984</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3,746,544</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4,167,984</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3,746,544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22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11"/>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500,796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289,439</w:t>
            </w: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Gain on the sale of investments, net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loss from other invested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13,915</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62,670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17,417</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Accrued investment income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Deferred policy acquisition costs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(999)</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Prepaid federal income tax</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(17,251)</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(7,563)</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Reserve for losses and LAE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238,375</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Unearned premium reserve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(46,226)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(20,355)</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21,167</w:t>
            </w:r>
          </w:p>
        </w:tc>
      </w:tr>
      <w:tr>
        <w:trPr>
          <w:trHeight w:val="206"/>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518,167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548,506</w:t>
            </w: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change in short-term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(637,590)</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(1,503,051)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(1,053,494)</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maturity of investments available for sale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185,433</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509,998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426,023</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other invested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(11,381)</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9,046</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(403,412)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(1,083,317)</w:t>
            </w: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Issuance of common shares, net of costs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440,018</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Credit facility borrowings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Credit facility repayments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Treasury stock acquired</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(94,814)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(6,354)</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issuance costs for credit facility</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(56,946)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(51,504)</w:t>
            </w:r>
          </w:p>
        </w:tc>
      </w:tr>
      <w:tr>
        <w:trPr>
          <w:trHeight w:val="20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(151,760)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582,152</w:t>
            </w: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47,341</w:t>
            </w:r>
          </w:p>
        </w:tc>
      </w:tr>
      <w:tr>
        <w:trPr>
          <w:trHeight w:val="213"/>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at beginning of year</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102,830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71,350</w:t>
            </w:r>
          </w:p>
        </w:tc>
      </w:tr>
      <w:tr>
        <w:trPr>
          <w:trHeight w:val="23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118,691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Income tax payments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(27,500)</w:t>
            </w: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payments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(6,566)</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20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2020,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2021 prior to the issuance of these condensed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52" w:lineRule="exact"/>
        <w:rPr>
          <w:sz w:val="20"/>
          <w:szCs w:val="20"/>
          <w:color w:val="auto"/>
        </w:rPr>
      </w:pPr>
    </w:p>
    <w:p>
      <w:pPr>
        <w:ind w:firstLine="180"/>
        <w:spacing w:after="0" w:line="272" w:lineRule="auto"/>
        <w:rPr>
          <w:sz w:val="20"/>
          <w:szCs w:val="20"/>
          <w:color w:val="auto"/>
        </w:rPr>
      </w:pPr>
      <w:r>
        <w:rPr>
          <w:rFonts w:ascii="Arial" w:cs="Arial" w:eastAsia="Arial" w:hAnsi="Arial"/>
          <w:sz w:val="17"/>
          <w:szCs w:val="17"/>
          <w:color w:val="auto"/>
        </w:rPr>
        <w:t xml:space="preserve">In March 2020, the Financial Accounting Standards Board ("FASB") issued ASU No. 2020-04, </w:t>
      </w:r>
      <w:r>
        <w:rPr>
          <w:rFonts w:ascii="Arial" w:cs="Arial" w:eastAsia="Arial" w:hAnsi="Arial"/>
          <w:sz w:val="17"/>
          <w:szCs w:val="17"/>
          <w:i w:val="1"/>
          <w:iCs w:val="1"/>
          <w:color w:val="auto"/>
        </w:rPr>
        <w:t>Reference Rate Reform (Topic 848): 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Reference Rate Reform on Financial Reporting</w:t>
      </w:r>
      <w:r>
        <w:rPr>
          <w:rFonts w:ascii="Arial" w:cs="Arial" w:eastAsia="Arial" w:hAnsi="Arial"/>
          <w:sz w:val="17"/>
          <w:szCs w:val="17"/>
          <w:color w:val="auto"/>
        </w:rPr>
        <w:t>. The amendments in this update provide temporary optional guidance to ease the potential burden</w:t>
      </w:r>
      <w:r>
        <w:rPr>
          <w:rFonts w:ascii="Arial" w:cs="Arial" w:eastAsia="Arial" w:hAnsi="Arial"/>
          <w:sz w:val="17"/>
          <w:szCs w:val="17"/>
          <w:i w:val="1"/>
          <w:iCs w:val="1"/>
          <w:color w:val="auto"/>
        </w:rPr>
        <w:t xml:space="preserve"> </w:t>
      </w:r>
      <w:r>
        <w:rPr>
          <w:rFonts w:ascii="Arial" w:cs="Arial" w:eastAsia="Arial" w:hAnsi="Arial"/>
          <w:sz w:val="17"/>
          <w:szCs w:val="17"/>
          <w:color w:val="auto"/>
        </w:rPr>
        <w:t>in accounting 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rate reform. We continue to monitor the impact the discontinuance of LIBOR or another reference rate will have on our contracts and other transactions.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September 30, 2021 (In thousands)</w:t>
            </w:r>
          </w:p>
        </w:tc>
        <w:tc>
          <w:tcPr>
            <w:tcW w:w="2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740" w:type="dxa"/>
            <w:vAlign w:val="bottom"/>
          </w:tcPr>
          <w:p>
            <w:pPr>
              <w:jc w:val="center"/>
              <w:ind w:left="154"/>
              <w:spacing w:after="0"/>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740" w:type="dxa"/>
            <w:vAlign w:val="bottom"/>
          </w:tcPr>
          <w:p>
            <w:pPr>
              <w:jc w:val="center"/>
              <w:ind w:left="174"/>
              <w:spacing w:after="0"/>
              <w:rPr>
                <w:sz w:val="20"/>
                <w:szCs w:val="20"/>
                <w:color w:val="auto"/>
              </w:rPr>
            </w:pPr>
            <w:r>
              <w:rPr>
                <w:rFonts w:ascii="Arial" w:cs="Arial" w:eastAsia="Arial" w:hAnsi="Arial"/>
                <w:sz w:val="14"/>
                <w:szCs w:val="14"/>
                <w:b w:val="1"/>
                <w:bCs w:val="1"/>
                <w:color w:val="auto"/>
                <w:w w:val="96"/>
              </w:rPr>
              <w:t>Value</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331,216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4"/>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5,536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989,552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561,493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31,861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592,458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79,994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1,487,833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43,907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(7,596)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1,524,144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539,186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554,475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4,772,397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119,021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2"/>
              </w:rPr>
              <w:t>(21,401)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4,870,017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8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0"/>
                <w:szCs w:val="20"/>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20"/>
                <w:szCs w:val="20"/>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0"/>
                <w:szCs w:val="20"/>
                <w:color w:val="auto"/>
              </w:rPr>
            </w:pPr>
          </w:p>
        </w:tc>
        <w:tc>
          <w:tcPr>
            <w:tcW w:w="740" w:type="dxa"/>
            <w:vAlign w:val="bottom"/>
          </w:tcPr>
          <w:p>
            <w:pPr>
              <w:jc w:val="center"/>
              <w:ind w:left="154"/>
              <w:spacing w:after="0"/>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740" w:type="dxa"/>
            <w:vAlign w:val="bottom"/>
          </w:tcPr>
          <w:p>
            <w:pPr>
              <w:jc w:val="center"/>
              <w:ind w:left="174"/>
              <w:spacing w:after="0"/>
              <w:rPr>
                <w:sz w:val="20"/>
                <w:szCs w:val="20"/>
                <w:color w:val="auto"/>
              </w:rPr>
            </w:pPr>
            <w:r>
              <w:rPr>
                <w:rFonts w:ascii="Arial" w:cs="Arial" w:eastAsia="Arial" w:hAnsi="Arial"/>
                <w:sz w:val="14"/>
                <w:szCs w:val="14"/>
                <w:b w:val="1"/>
                <w:bCs w:val="1"/>
                <w:color w:val="auto"/>
                <w:w w:val="96"/>
              </w:rPr>
              <w:t>Value</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4"/>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37,662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551,517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1,070,027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56,864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1,126,512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454,717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4,404,690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164,423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4,565,373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(1) The following table summarizes municipal debt securities as of :</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34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Tax allocation bonds</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center"/>
              <w:ind w:right="193"/>
              <w:spacing w:after="0"/>
              <w:rPr>
                <w:sz w:val="20"/>
                <w:szCs w:val="20"/>
                <w:color w:val="auto"/>
              </w:rPr>
            </w:pPr>
            <w:r>
              <w:rPr>
                <w:rFonts w:ascii="Arial" w:cs="Arial" w:eastAsia="Arial" w:hAnsi="Arial"/>
                <w:sz w:val="18"/>
                <w:szCs w:val="18"/>
                <w:color w:val="auto"/>
                <w:w w:val="79"/>
              </w:rPr>
              <w:t>6</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r>
      <w:tr>
        <w:trPr>
          <w:trHeight w:val="195"/>
        </w:trPr>
        <w:tc>
          <w:tcPr>
            <w:tcW w:w="7380" w:type="dxa"/>
            <w:vAlign w:val="bottom"/>
            <w:gridSpan w:val="2"/>
          </w:tcPr>
          <w:p>
            <w:pPr>
              <w:ind w:left="3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4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r>
      <w:tr>
        <w:trPr>
          <w:trHeight w:val="229"/>
        </w:trPr>
        <w:tc>
          <w:tcPr>
            <w:tcW w:w="72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Financial</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35.8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34.9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gridSpan w:val="2"/>
          </w:tcPr>
          <w:p>
            <w:pPr>
              <w:ind w:left="340"/>
              <w:spacing w:after="0"/>
              <w:rPr>
                <w:sz w:val="20"/>
                <w:szCs w:val="20"/>
                <w:color w:val="auto"/>
              </w:rPr>
            </w:pPr>
            <w:r>
              <w:rPr>
                <w:rFonts w:ascii="Arial" w:cs="Arial" w:eastAsia="Arial" w:hAnsi="Arial"/>
                <w:sz w:val="18"/>
                <w:szCs w:val="18"/>
                <w:color w:val="auto"/>
              </w:rPr>
              <w:t>Consumer, non-cyclical</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233"/>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r>
      <w:tr>
        <w:trPr>
          <w:trHeight w:val="230"/>
        </w:trPr>
        <w:tc>
          <w:tcPr>
            <w:tcW w:w="7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Communications</w:t>
            </w:r>
          </w:p>
        </w:tc>
        <w:tc>
          <w:tcPr>
            <w:tcW w:w="1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9"/>
                <w:szCs w:val="19"/>
                <w:color w:val="auto"/>
              </w:rPr>
            </w:pPr>
          </w:p>
        </w:tc>
      </w:tr>
      <w:tr>
        <w:trPr>
          <w:trHeight w:val="229"/>
        </w:trPr>
        <w:tc>
          <w:tcPr>
            <w:tcW w:w="7380" w:type="dxa"/>
            <w:vAlign w:val="bottom"/>
            <w:gridSpan w:val="2"/>
          </w:tcPr>
          <w:p>
            <w:pPr>
              <w:ind w:left="340"/>
              <w:spacing w:after="0"/>
              <w:rPr>
                <w:sz w:val="20"/>
                <w:szCs w:val="20"/>
                <w:color w:val="auto"/>
              </w:rPr>
            </w:pPr>
            <w:r>
              <w:rPr>
                <w:rFonts w:ascii="Arial" w:cs="Arial" w:eastAsia="Arial" w:hAnsi="Arial"/>
                <w:sz w:val="18"/>
                <w:szCs w:val="18"/>
                <w:color w:val="auto"/>
              </w:rPr>
              <w:t>Industrial</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233"/>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r>
      <w:tr>
        <w:trPr>
          <w:trHeight w:val="229"/>
        </w:trPr>
        <w:tc>
          <w:tcPr>
            <w:tcW w:w="7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cyclical</w:t>
            </w:r>
          </w:p>
        </w:tc>
        <w:tc>
          <w:tcPr>
            <w:tcW w:w="1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9"/>
                <w:szCs w:val="19"/>
                <w:color w:val="auto"/>
              </w:rPr>
            </w:pPr>
          </w:p>
        </w:tc>
      </w:tr>
      <w:tr>
        <w:trPr>
          <w:trHeight w:val="230"/>
        </w:trPr>
        <w:tc>
          <w:tcPr>
            <w:tcW w:w="7380" w:type="dxa"/>
            <w:vAlign w:val="bottom"/>
            <w:gridSpan w:val="2"/>
          </w:tcPr>
          <w:p>
            <w:pPr>
              <w:ind w:left="340"/>
              <w:spacing w:after="0"/>
              <w:rPr>
                <w:sz w:val="20"/>
                <w:szCs w:val="20"/>
                <w:color w:val="auto"/>
              </w:rPr>
            </w:pPr>
            <w:r>
              <w:rPr>
                <w:rFonts w:ascii="Arial" w:cs="Arial" w:eastAsia="Arial" w:hAnsi="Arial"/>
                <w:sz w:val="18"/>
                <w:szCs w:val="18"/>
                <w:color w:val="auto"/>
              </w:rPr>
              <w:t>Energy</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233"/>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r>
      <w:tr>
        <w:trPr>
          <w:trHeight w:val="229"/>
        </w:trPr>
        <w:tc>
          <w:tcPr>
            <w:tcW w:w="7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9"/>
                <w:szCs w:val="19"/>
                <w:color w:val="auto"/>
              </w:rPr>
            </w:pPr>
          </w:p>
        </w:tc>
      </w:tr>
      <w:tr>
        <w:trPr>
          <w:trHeight w:val="230"/>
        </w:trPr>
        <w:tc>
          <w:tcPr>
            <w:tcW w:w="7380" w:type="dxa"/>
            <w:vAlign w:val="bottom"/>
            <w:gridSpan w:val="2"/>
          </w:tcPr>
          <w:p>
            <w:pPr>
              <w:ind w:left="340"/>
              <w:spacing w:after="0"/>
              <w:rPr>
                <w:sz w:val="20"/>
                <w:szCs w:val="20"/>
                <w:color w:val="auto"/>
              </w:rPr>
            </w:pPr>
            <w:r>
              <w:rPr>
                <w:rFonts w:ascii="Arial" w:cs="Arial" w:eastAsia="Arial" w:hAnsi="Arial"/>
                <w:sz w:val="18"/>
                <w:szCs w:val="18"/>
                <w:color w:val="auto"/>
              </w:rPr>
              <w:t>Utilities</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233"/>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r>
      <w:tr>
        <w:trPr>
          <w:trHeight w:val="229"/>
        </w:trPr>
        <w:tc>
          <w:tcPr>
            <w:tcW w:w="7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materials</w:t>
            </w:r>
          </w:p>
        </w:tc>
        <w:tc>
          <w:tcPr>
            <w:tcW w:w="1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r>
      <w:tr>
        <w:trPr>
          <w:trHeight w:val="229"/>
        </w:trPr>
        <w:tc>
          <w:tcPr>
            <w:tcW w:w="73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Government</w:t>
            </w:r>
          </w:p>
        </w:tc>
        <w:tc>
          <w:tcPr>
            <w:tcW w:w="1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19"/>
                <w:szCs w:val="19"/>
                <w:color w:val="auto"/>
              </w:rPr>
            </w:pPr>
          </w:p>
        </w:tc>
      </w:tr>
      <w:tr>
        <w:trPr>
          <w:trHeight w:val="248"/>
        </w:trPr>
        <w:tc>
          <w:tcPr>
            <w:tcW w:w="73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September 30, 2021,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6"/>
                <w:szCs w:val="16"/>
                <w:color w:val="auto"/>
              </w:rPr>
            </w:pPr>
          </w:p>
        </w:tc>
        <w:tc>
          <w:tcPr>
            <w:tcW w:w="1480" w:type="dxa"/>
            <w:vAlign w:val="bottom"/>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7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41,836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255,311</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32,960</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331,216</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0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120,844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126,574</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235,041</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221,744</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592,458</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25,795</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23,497</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26,276</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79,994</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175,621</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664,536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681,475</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410,404</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256,644</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1,524,144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989,552</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539,186</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554,475</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0" w:type="dxa"/>
            <w:vAlign w:val="bottom"/>
          </w:tcPr>
          <w:p>
            <w:pPr>
              <w:spacing w:after="0"/>
              <w:rPr>
                <w:sz w:val="1"/>
                <w:szCs w:val="1"/>
                <w:color w:val="auto"/>
              </w:rPr>
            </w:pPr>
          </w:p>
        </w:tc>
      </w:tr>
      <w:tr>
        <w:trPr>
          <w:trHeight w:val="22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4,772,397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4,870,017</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Realized gross gains</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gross losses</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124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for which no allowance for credit loss has been recorded were as follows: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2021 (In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Non-U.S. government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w w:val="99"/>
              </w:rPr>
              <w:t>Residential and commercial mortgage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230,806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289,634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1,627,314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1,706,161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(21,401)</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Residential and commercial mortgage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September 30, 2021 and December 31, 2020, we held 866 and 363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September 30, 2021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September 30, 2021 had investment-grade ratings. We concluded that gross unrealized losses noted above are principally associated with the changes in interest rates subsequent to purchase rather than due to credit impairment. There were no impairments in the three or nine months ended September 30, 2021. There were no impairments in the three months ended September 30, 2020 and we recorded impairments of $0.4 million in the nine months ended September 30, 2020.</w:t>
      </w:r>
    </w:p>
    <w:p>
      <w:pPr>
        <w:spacing w:after="0" w:line="20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Company's other invested assets at September 30, 2021 and December 31, 2020 totaled $161.3 million and $88.9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Through June 30, 2021, unrealized gains and losses reported by these entities were included in other comprehensive income (“OCI”). In the three months ended September 30, 2021, management concluded that unrealized gains and losses on these investments should be reflected in earnings rather than OCI. Income from other invested assets for the three and nine months ended September 30, 2021, includes $39.5 million of net unrealized gains, which includes $21.1 million of net unrealized gains that were accumulated in OCI at June 30, 2021 and prior periods.</w:t>
      </w:r>
    </w:p>
    <w:p>
      <w:pPr>
        <w:spacing w:after="0" w:line="19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Other invested assets that are accounted for at fair value using the net asset value (or its equivalent) as a practical expedient totaled $83.4 as of September 30, 2021. Approximately 59% of these investments were in limited partnerships invested in real estate, with the remaining limited partnerships invested in financial services, technology, and traditional private equity investments. At September 30, 2021, maximum future funding commitments were $12.8 million. For limited partnership investments that have a contractual expiration date, we expect the liquidation of the underlying assets to occur over the next three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0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$9.7 million at September 30, 2021 and $9.7 million at December 31, 2020. In connection with its insurance and reinsurance activities, Essent Re is required to maintain assets in trusts for the benefit of its contractual counterparties. The fair value of the investments on deposit in these trusts was $931.8 million at September 30, 2021 and $1.1 billion at December 31, 2020. Essent Guaranty is required to maintain assets on deposit in connection with its fully collateralized reinsurance agreements (see Note 4). The fair value of the assets on deposit was $8.5 million at September 30, 2021 and $8.5 million at December 31, 2020. Essent Guaranty is also required to maintain assets on deposit for the benefit of the sponsor of a fixed income investment commitment. The fair value of the assets on deposit was $9.0 million at September 30, 2021 and $12.0 million at December 31, 2020.</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61,135</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62,701</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86"/>
        </w:trPr>
        <w:tc>
          <w:tcPr>
            <w:tcW w:w="21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84"/>
        </w:trPr>
        <w:tc>
          <w:tcPr>
            <w:tcW w:w="5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5220" w:type="dxa"/>
            <w:vAlign w:val="bottom"/>
            <w:gridSpan w:val="3"/>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229,228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280"/>
              <w:spacing w:after="0"/>
              <w:rPr>
                <w:sz w:val="20"/>
                <w:szCs w:val="20"/>
                <w:color w:val="auto"/>
              </w:rPr>
            </w:pPr>
            <w:r>
              <w:rPr>
                <w:rFonts w:ascii="Arial" w:cs="Arial" w:eastAsia="Arial" w:hAnsi="Arial"/>
                <w:sz w:val="18"/>
                <w:szCs w:val="18"/>
                <w:color w:val="auto"/>
                <w:w w:val="98"/>
              </w:rPr>
              <w:t>243,390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440"/>
              <w:spacing w:after="0"/>
              <w:rPr>
                <w:sz w:val="20"/>
                <w:szCs w:val="20"/>
                <w:color w:val="auto"/>
              </w:rPr>
            </w:pPr>
            <w:r>
              <w:rPr>
                <w:rFonts w:ascii="Arial" w:cs="Arial" w:eastAsia="Arial" w:hAnsi="Arial"/>
                <w:sz w:val="18"/>
                <w:szCs w:val="18"/>
                <w:color w:val="auto"/>
                <w:w w:val="98"/>
              </w:rPr>
              <w:t>693,434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220"/>
              <w:spacing w:after="0"/>
              <w:rPr>
                <w:sz w:val="20"/>
                <w:szCs w:val="20"/>
                <w:color w:val="auto"/>
              </w:rPr>
            </w:pPr>
            <w:r>
              <w:rPr>
                <w:rFonts w:ascii="Arial" w:cs="Arial" w:eastAsia="Arial" w:hAnsi="Arial"/>
                <w:sz w:val="18"/>
                <w:szCs w:val="18"/>
                <w:color w:val="auto"/>
                <w:w w:val="98"/>
              </w:rPr>
              <w:t>677,414</w:t>
            </w:r>
          </w:p>
        </w:tc>
      </w:tr>
      <w:tr>
        <w:trPr>
          <w:trHeight w:val="229"/>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2"/>
              </w:rPr>
              <w:t>(26,880)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(21,167)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(84,438)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(57,544)</w:t>
            </w:r>
          </w:p>
        </w:tc>
      </w:tr>
      <w:tr>
        <w:trPr>
          <w:trHeight w:val="223"/>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8"/>
              </w:rPr>
              <w:t>202,348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8"/>
              </w:rPr>
              <w:t>222,223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608,996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619,870</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245,598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243,425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739,660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697,769</w:t>
            </w:r>
          </w:p>
        </w:tc>
      </w:tr>
      <w:tr>
        <w:trPr>
          <w:trHeight w:val="229"/>
        </w:trPr>
        <w:tc>
          <w:tcPr>
            <w:tcW w:w="52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2"/>
              </w:rPr>
              <w:t>(26,880)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2"/>
              </w:rPr>
              <w:t>(21,167)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2"/>
              </w:rPr>
              <w:t>(84,438)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(57,544)</w:t>
            </w:r>
          </w:p>
        </w:tc>
      </w:tr>
      <w:tr>
        <w:trPr>
          <w:trHeight w:val="248"/>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218,718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222,258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8"/>
              </w:rPr>
              <w:t>655,222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640,225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56" w:lineRule="exact"/>
        <w:rPr>
          <w:sz w:val="20"/>
          <w:szCs w:val="20"/>
          <w:color w:val="auto"/>
        </w:rPr>
      </w:pPr>
    </w:p>
    <w:p>
      <w:pPr>
        <w:ind w:right="60" w:firstLine="180"/>
        <w:spacing w:after="0" w:line="269" w:lineRule="auto"/>
        <w:rPr>
          <w:sz w:val="20"/>
          <w:szCs w:val="20"/>
          <w:color w:val="auto"/>
        </w:rPr>
      </w:pPr>
      <w:r>
        <w:rPr>
          <w:rFonts w:ascii="Arial" w:cs="Arial" w:eastAsia="Arial" w:hAnsi="Arial"/>
          <w:sz w:val="17"/>
          <w:szCs w:val="17"/>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As Essent Guaranty did not exercise its option to terminate the QSR Agreement effective December 31, 2021, the maximum profit commission that Essent Guaranty could earn will increase to 63% in 2022 and thereafter. RIF ceded under the QSR Agreement was $5.0 billion as of September 30,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99"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agreements as of September 30,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gridSpan w:val="2"/>
          </w:tcPr>
          <w:p>
            <w:pPr>
              <w:ind w:left="600"/>
              <w:spacing w:after="0"/>
              <w:rPr>
                <w:sz w:val="20"/>
                <w:szCs w:val="20"/>
                <w:color w:val="auto"/>
              </w:rPr>
            </w:pPr>
            <w:r>
              <w:rPr>
                <w:rFonts w:ascii="Arial" w:cs="Arial" w:eastAsia="Arial" w:hAnsi="Arial"/>
                <w:sz w:val="14"/>
                <w:szCs w:val="14"/>
                <w:b w:val="1"/>
                <w:bCs w:val="1"/>
                <w:color w:val="auto"/>
              </w:rPr>
              <w:t>Vintage Year</w:t>
            </w:r>
          </w:p>
        </w:tc>
        <w:tc>
          <w:tcPr>
            <w:tcW w:w="2920" w:type="dxa"/>
            <w:vAlign w:val="bottom"/>
            <w:gridSpan w:val="2"/>
          </w:tcPr>
          <w:p>
            <w:pPr>
              <w:ind w:left="1100"/>
              <w:spacing w:after="0"/>
              <w:rPr>
                <w:sz w:val="20"/>
                <w:szCs w:val="20"/>
                <w:color w:val="auto"/>
              </w:rPr>
            </w:pPr>
            <w:r>
              <w:rPr>
                <w:rFonts w:ascii="Arial" w:cs="Arial" w:eastAsia="Arial" w:hAnsi="Arial"/>
                <w:sz w:val="14"/>
                <w:szCs w:val="14"/>
                <w:b w:val="1"/>
                <w:bCs w:val="1"/>
                <w:color w:val="auto"/>
              </w:rPr>
              <w:t>Reinsurer</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ind w:left="78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Pr>
          <w:p>
            <w:pPr>
              <w:spacing w:after="0"/>
              <w:rPr>
                <w:sz w:val="16"/>
                <w:szCs w:val="16"/>
                <w:color w:val="auto"/>
              </w:rPr>
            </w:pPr>
          </w:p>
        </w:tc>
      </w:tr>
      <w:tr>
        <w:trPr>
          <w:trHeight w:val="229"/>
        </w:trPr>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10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 2019</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25, 2024</w:t>
            </w:r>
          </w:p>
        </w:tc>
        <w:tc>
          <w:tcPr>
            <w:tcW w:w="580" w:type="dxa"/>
            <w:vAlign w:val="bottom"/>
            <w:tcBorders>
              <w:top w:val="single" w:sz="8" w:color="auto"/>
            </w:tcBorders>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22, 2018</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1"/>
              </w:rPr>
              <w:t>March 25, 2023</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1, 2018</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October 1, 2023</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2019 &amp; 2020</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2020-2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8, 2020</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0"/>
              </w:rPr>
              <w:t>October 25, 2027</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2020 &amp; 2021</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2021-1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23, 2021</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26, 2028</w:t>
            </w:r>
          </w:p>
        </w:tc>
        <w:tc>
          <w:tcPr>
            <w:tcW w:w="5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6" w:lineRule="exact"/>
        <w:rPr>
          <w:sz w:val="20"/>
          <w:szCs w:val="20"/>
          <w:color w:val="auto"/>
        </w:rPr>
      </w:pPr>
    </w:p>
    <w:p>
      <w:pPr>
        <w:ind w:left="660" w:right="20" w:hanging="328"/>
        <w:spacing w:after="0" w:line="258"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Essent Guaranty's excess of loss reinsurance coverages and retentions as of September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35"/>
              <w:spacing w:after="0"/>
              <w:rPr>
                <w:sz w:val="20"/>
                <w:szCs w:val="20"/>
                <w:color w:val="auto"/>
              </w:rPr>
            </w:pPr>
            <w:r>
              <w:rPr>
                <w:rFonts w:ascii="Arial" w:cs="Arial" w:eastAsia="Arial" w:hAnsi="Arial"/>
                <w:sz w:val="14"/>
                <w:szCs w:val="14"/>
                <w:b w:val="1"/>
                <w:bCs w:val="1"/>
                <w:color w:val="auto"/>
              </w:rPr>
              <w:t>Remaining</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Reinsurance in Force</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center"/>
              <w:ind w:right="360"/>
              <w:spacing w:after="0" w:line="118"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18"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156"/>
              <w:spacing w:after="0" w:line="118"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35"/>
        </w:trPr>
        <w:tc>
          <w:tcPr>
            <w:tcW w:w="1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Vintage Year</w:t>
            </w:r>
          </w:p>
        </w:tc>
        <w:tc>
          <w:tcPr>
            <w:tcW w:w="240" w:type="dxa"/>
            <w:vAlign w:val="bottom"/>
          </w:tcPr>
          <w:p>
            <w:pPr>
              <w:spacing w:after="0"/>
              <w:rPr>
                <w:sz w:val="11"/>
                <w:szCs w:val="11"/>
                <w:color w:val="auto"/>
              </w:rPr>
            </w:pPr>
          </w:p>
        </w:tc>
        <w:tc>
          <w:tcPr>
            <w:tcW w:w="13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Risk</w:t>
            </w:r>
          </w:p>
        </w:tc>
        <w:tc>
          <w:tcPr>
            <w:tcW w:w="340" w:type="dxa"/>
            <w:vAlign w:val="bottom"/>
          </w:tcPr>
          <w:p>
            <w:pPr>
              <w:spacing w:after="0"/>
              <w:rPr>
                <w:sz w:val="11"/>
                <w:szCs w:val="11"/>
                <w:color w:val="auto"/>
              </w:rPr>
            </w:pPr>
          </w:p>
        </w:tc>
        <w:tc>
          <w:tcPr>
            <w:tcW w:w="11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ILN</w:t>
            </w:r>
          </w:p>
        </w:tc>
        <w:tc>
          <w:tcPr>
            <w:tcW w:w="200" w:type="dxa"/>
            <w:vAlign w:val="bottom"/>
          </w:tcPr>
          <w:p>
            <w:pPr>
              <w:spacing w:after="0"/>
              <w:rPr>
                <w:sz w:val="11"/>
                <w:szCs w:val="11"/>
                <w:color w:val="auto"/>
              </w:rPr>
            </w:pPr>
          </w:p>
        </w:tc>
        <w:tc>
          <w:tcPr>
            <w:tcW w:w="12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0"/>
              </w:rPr>
              <w:t>Other Reinsurance</w:t>
            </w:r>
          </w:p>
        </w:tc>
        <w:tc>
          <w:tcPr>
            <w:tcW w:w="88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0" w:type="dxa"/>
            <w:vAlign w:val="bottom"/>
          </w:tcPr>
          <w:p>
            <w:pPr>
              <w:jc w:val="center"/>
              <w:ind w:right="176"/>
              <w:spacing w:after="0" w:line="135"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88"/>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Force</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10,456,730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2,819,155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216,480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207,228</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9,626,915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2,477,614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242,123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165,167</w:t>
            </w:r>
          </w:p>
        </w:tc>
        <w:tc>
          <w:tcPr>
            <w:tcW w:w="880" w:type="dxa"/>
            <w:vAlign w:val="bottom"/>
          </w:tcPr>
          <w:p>
            <w:pPr>
              <w:jc w:val="right"/>
              <w:ind w:right="53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407,290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217,662</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10,872,992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325,537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8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249,595</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2"/>
              </w:rPr>
              <w:t xml:space="preserve">2019 </w:t>
            </w:r>
            <w:r>
              <w:rPr>
                <w:rFonts w:ascii="Arial" w:cs="Arial" w:eastAsia="Arial" w:hAnsi="Arial"/>
                <w:sz w:val="18"/>
                <w:szCs w:val="18"/>
                <w:b w:val="1"/>
                <w:bCs w:val="1"/>
                <w:color w:val="auto"/>
                <w:w w:val="92"/>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13,147,399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3,359,701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495,889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55,102</w:t>
            </w:r>
          </w:p>
        </w:tc>
        <w:tc>
          <w:tcPr>
            <w:tcW w:w="880" w:type="dxa"/>
            <w:vAlign w:val="bottom"/>
          </w:tcPr>
          <w:p>
            <w:pPr>
              <w:jc w:val="right"/>
              <w:ind w:right="530"/>
              <w:spacing w:after="0"/>
              <w:rPr>
                <w:sz w:val="20"/>
                <w:szCs w:val="20"/>
                <w:color w:val="auto"/>
              </w:rPr>
            </w:pPr>
            <w:r>
              <w:rPr>
                <w:rFonts w:ascii="Arial" w:cs="Arial" w:eastAsia="Arial" w:hAnsi="Arial"/>
                <w:sz w:val="18"/>
                <w:szCs w:val="18"/>
                <w:b w:val="1"/>
                <w:bCs w:val="1"/>
                <w:color w:val="auto"/>
              </w:rPr>
              <w:t>(8)</w:t>
            </w:r>
          </w:p>
        </w:tc>
        <w:tc>
          <w:tcPr>
            <w:tcW w:w="1080" w:type="dxa"/>
            <w:vAlign w:val="bottom"/>
          </w:tcPr>
          <w:p>
            <w:pPr>
              <w:jc w:val="right"/>
              <w:spacing w:after="0"/>
              <w:rPr>
                <w:sz w:val="20"/>
                <w:szCs w:val="20"/>
                <w:color w:val="auto"/>
              </w:rPr>
            </w:pPr>
            <w:r>
              <w:rPr>
                <w:rFonts w:ascii="Arial" w:cs="Arial" w:eastAsia="Arial" w:hAnsi="Arial"/>
                <w:sz w:val="18"/>
                <w:szCs w:val="18"/>
                <w:color w:val="auto"/>
              </w:rPr>
              <w:t>550,991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215,198</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xml:space="preserve">2019 &amp; 2020 </w:t>
            </w:r>
            <w:r>
              <w:rPr>
                <w:rFonts w:ascii="Arial" w:cs="Arial" w:eastAsia="Arial" w:hAnsi="Arial"/>
                <w:sz w:val="18"/>
                <w:szCs w:val="18"/>
                <w:b w:val="1"/>
                <w:bCs w:val="1"/>
                <w:color w:val="auto"/>
                <w:w w:val="94"/>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34,844,588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233,980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465,690</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 xml:space="preserve">2020 &amp; 2021 </w:t>
            </w:r>
            <w:r>
              <w:rPr>
                <w:rFonts w:ascii="Arial" w:cs="Arial" w:eastAsia="Arial" w:hAnsi="Arial"/>
                <w:sz w:val="18"/>
                <w:szCs w:val="18"/>
                <w:b w:val="1"/>
                <w:bCs w:val="1"/>
                <w:color w:val="auto"/>
                <w:w w:val="94"/>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53,337,485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12,988,275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557,911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278,956</w:t>
            </w:r>
          </w:p>
        </w:tc>
        <w:tc>
          <w:tcPr>
            <w:tcW w:w="0" w:type="dxa"/>
            <w:vAlign w:val="bottom"/>
          </w:tcPr>
          <w:p>
            <w:pPr>
              <w:spacing w:after="0"/>
              <w:rPr>
                <w:sz w:val="1"/>
                <w:szCs w:val="1"/>
                <w:color w:val="auto"/>
              </w:rPr>
            </w:pPr>
          </w:p>
        </w:tc>
      </w:tr>
      <w:tr>
        <w:trPr>
          <w:trHeight w:val="248"/>
        </w:trPr>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132,286,109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33,192,210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2,071,920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296,413</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1,634,329</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September 1, 2019 through July 31, 2020.</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August 1, 2020 through March 31, 2021.</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238" w:lineRule="exact"/>
        <w:rPr>
          <w:sz w:val="20"/>
          <w:szCs w:val="20"/>
          <w:color w:val="auto"/>
        </w:rPr>
      </w:pPr>
    </w:p>
    <w:p>
      <w:pPr>
        <w:ind w:right="180" w:firstLine="180"/>
        <w:spacing w:after="0" w:line="286"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the ILNs is suspended and the aggregate excess of loss reinsurance coverage will not amortize during the continuation of a trigger event.</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amount of monthly reinsurance premium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1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total assets of each Radnor Re special purpose insurer as well as our maximum exposure to loss associated with each Radnor Re entity, representing the fair value of the embedded derivative, using observable inputs in active markets (Level 2), included in other assets (other accrued liabilities) on our condensed consolidated balance sheet and the estimated net present value of investment earnings on the assets in the reinsurance trust, each as of September 30,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Maximum Exposure to Loss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8"/>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VIE Assets</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Off - Balance Sheet</w:t>
            </w: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2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2020-2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Radnor Re 2021-1 Ltd.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nine months ended September 30: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9"/>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253,567</w:t>
            </w:r>
          </w:p>
        </w:tc>
      </w:tr>
      <w:tr>
        <w:trPr>
          <w:trHeight w:val="229"/>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(14,347)</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239,220</w:t>
            </w: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12,178</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295,839</w:t>
            </w: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307,737</w:t>
            </w: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nine months ended September 30, 2021, $4.2 million was paid for incurred claims and claim adjustment expenses attributable to insured events of prior years. There has been a $49.5 million favorable prior year development during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nine months ended September 30, 2021. Reserves remaining as of September 30, 2021 for prior years are $302.2 million as a result of re-estimation of unpaid losses and loss adjustment expenses. For the nine months ended September 30, 2020, $12.2 million was paid for incurred claims and claim adjustment expenses attributable to insured events of prior years. There was a $14.3 million favorable prior year development during the nine months ended September 30, 2020. Reserves remaining as of September 30, 2020 for prior years were $42.8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0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Due to business restrictions, stay-at-home orders and travel restrictions initially implemented in March 2020 as a result of COVID-19, unemployment in the United States increased significantly in the second quarter of 2020 and remained elevated at September 30, 2021. As unemployment is one of the most common reasons for borrowers to default on their mortgage, the increase in unemployment has increased the number of delinquencies on the mortgages that we insure and has the potential to increase claim frequencies on defaults. As of September 30, 2021, insured loans in default totaled 19,721.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defaulted loans, we expect the ultimate number of COVID-19-related defaults notices received in April 2020 through September 2020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The credit characteristics of defaults reported in October 2020 through September 2021 have trended towards those of the pre-pandemic periods 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We believe that while defaults in October 2020 through September 2021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30, 2020 using our normal reserve methodology. The reserve for losses and LAE on COVID-19 defaults was $380.6 million at September 30, 2021 and includes $243.4 million of reserves for Early COVID Defaults.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 100 basis point increase or decrease in the reserve rate applied to Early COVID Defaults would result in a corresponding increase or decrease in our reserve for losses and LAE of approximately $35 million as of September 30, 2021.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Essent Group and its subsidiaries, Essent Irish Intermediate Holdings Limited and Essent US Holdings, Inc. (collectively, the "Borrowers"), are parties to a secured credit facility (the “Credit Facility”) with committed capacity of $625 million. The Credit Facility provides for a $300 million revolving credit facility and $325 million of term loans. The Credit Facility also provides an option to increase the capacity to $775 million.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September 30, 2021 was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debt to capitalization level and Essent Guaranty's compliance with the PMIERs (see Note 14). The borrowings under the Credit Facility contractually mature on October 16, 2023. As of September 30, 2021, the Company was in compliance with the covenants and $325 million had been borrowed under the Credit Facility with a weighted average interest rate of 2.13%. As of December 31, 2020, $325 million had been borrowed with a weighted average interest rate of 2.19%.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nine months ended September 30, 2021 and 2020. As of September 30, 2021, management believes any potential claims for indemnification related to contract underwriting services through September 30, 2021 are not material to our consolidated financial position or results of operations.</w:t>
      </w:r>
    </w:p>
    <w:p>
      <w:pPr>
        <w:spacing w:after="0" w:line="19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2021,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52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Essent Group Ltd. and Subsidiaries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52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Notes to Condensed Consolidated Financial Statements (Unaudited)</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9480" w:type="dxa"/>
            <w:vAlign w:val="bottom"/>
            <w:gridSpan w:val="3"/>
          </w:tcPr>
          <w:p>
            <w:pPr>
              <w:spacing w:after="0"/>
              <w:rPr>
                <w:sz w:val="20"/>
                <w:szCs w:val="20"/>
                <w:color w:val="auto"/>
              </w:rPr>
            </w:pPr>
            <w:r>
              <w:rPr>
                <w:rFonts w:ascii="Arial" w:cs="Arial" w:eastAsia="Arial" w:hAnsi="Arial"/>
                <w:sz w:val="18"/>
                <w:szCs w:val="18"/>
                <w:b w:val="1"/>
                <w:bCs w:val="1"/>
                <w:color w:val="auto"/>
              </w:rPr>
              <w:t>Dividends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460" w:type="dxa"/>
            <w:vAlign w:val="bottom"/>
            <w:gridSpan w:val="2"/>
          </w:tcPr>
          <w:p>
            <w:pPr>
              <w:ind w:left="640"/>
              <w:spacing w:after="0"/>
              <w:rPr>
                <w:sz w:val="20"/>
                <w:szCs w:val="20"/>
                <w:color w:val="auto"/>
              </w:rPr>
            </w:pPr>
            <w:r>
              <w:rPr>
                <w:rFonts w:ascii="Arial" w:cs="Arial" w:eastAsia="Arial" w:hAnsi="Arial"/>
                <w:sz w:val="18"/>
                <w:szCs w:val="18"/>
                <w:color w:val="auto"/>
              </w:rPr>
              <w:t>The following table presents the amounts declared and paid per common share each quarter:</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24"/>
                <w:szCs w:val="24"/>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84"/>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0.16</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9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2"/>
                <w:szCs w:val="12"/>
                <w:color w:val="auto"/>
              </w:rPr>
            </w:pPr>
          </w:p>
        </w:tc>
        <w:tc>
          <w:tcPr>
            <w:tcW w:w="1340" w:type="dxa"/>
            <w:vAlign w:val="bottom"/>
          </w:tcPr>
          <w:p>
            <w:pPr>
              <w:jc w:val="right"/>
              <w:ind w:right="653"/>
              <w:spacing w:after="0" w:line="149" w:lineRule="exact"/>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54"/>
        </w:trPr>
        <w:tc>
          <w:tcPr>
            <w:tcW w:w="2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85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November 2021, the Board of Directors declared a quarterly cash dividend of $0.19 per common share payable on December 10, 2021, to shareholders of record on December 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May 2021, the Board of Directors approved a share repurchase plan that authorized the Company to repurchase $250 million of its common shares in the open market by the end of 2022. During the three months ended September 30, 2021, the Company repurchased 1,565,357 common shares, for a total year to date repurchase of 1,956,673 common shares at a cost of $89.2 million leaving $160.8 million remaining unused under the authorized repurchase plan as of September 30, 2021. The shares repurchased were recorded at cost and included in treasury stock. All treasury stock has been cancelled as of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connection with the IPO in 2013, Essent Group's Board of Directors adopted, and Essent Group's shareholders </w:t>
      </w:r>
      <w:r>
        <w:rPr>
          <w:rFonts w:ascii="Arial" w:cs="Arial" w:eastAsia="Arial" w:hAnsi="Arial"/>
          <w:sz w:val="17"/>
          <w:szCs w:val="17"/>
          <w:color w:val="242021"/>
        </w:rPr>
        <w:t>approved, the Essent Group Ltd.</w:t>
      </w:r>
      <w:r>
        <w:rPr>
          <w:rFonts w:ascii="Arial" w:cs="Arial" w:eastAsia="Arial" w:hAnsi="Arial"/>
          <w:sz w:val="17"/>
          <w:szCs w:val="17"/>
          <w:color w:val="auto"/>
        </w:rPr>
        <w:t xml:space="preserve"> </w:t>
      </w:r>
      <w:r>
        <w:rPr>
          <w:rFonts w:ascii="Arial" w:cs="Arial" w:eastAsia="Arial" w:hAnsi="Arial"/>
          <w:sz w:val="17"/>
          <w:szCs w:val="17"/>
          <w:color w:val="242021"/>
        </w:rPr>
        <w:t>2013 Long-Term Incentive Plan (the "2013 Plan"), which was effective upon completion of the initial public offering. The types of awards available under the 2013 Plan include nonvested shares, nonvested share units, non-</w:t>
      </w:r>
      <w:r>
        <w:rPr>
          <w:rFonts w:ascii="Arial" w:cs="Arial" w:eastAsia="Arial" w:hAnsi="Arial"/>
          <w:sz w:val="17"/>
          <w:szCs w:val="17"/>
          <w:color w:val="000000"/>
        </w:rPr>
        <w:t>qualified share options, incentive stock options, share appreciation rights, and other</w:t>
      </w:r>
      <w:r>
        <w:rPr>
          <w:rFonts w:ascii="Arial" w:cs="Arial" w:eastAsia="Arial" w:hAnsi="Arial"/>
          <w:sz w:val="17"/>
          <w:szCs w:val="17"/>
          <w:color w:val="242021"/>
        </w:rPr>
        <w:t xml:space="preserve"> </w:t>
      </w:r>
      <w:r>
        <w:rPr>
          <w:rFonts w:ascii="Arial" w:cs="Arial" w:eastAsia="Arial" w:hAnsi="Arial"/>
          <w:sz w:val="17"/>
          <w:szCs w:val="17"/>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nonvested common share, nonvested common share unit and DEU activity for the nine months ended September 30, 2021:</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Time and Performance-</w:t>
            </w: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Time-Based</w:t>
            </w:r>
          </w:p>
        </w:tc>
        <w:tc>
          <w:tcPr>
            <w:tcW w:w="21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Based Share Awards</w:t>
            </w: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Share Awards</w:t>
            </w:r>
          </w:p>
        </w:tc>
        <w:tc>
          <w:tcPr>
            <w:tcW w:w="2100" w:type="dxa"/>
            <w:vAlign w:val="bottom"/>
            <w:gridSpan w:val="5"/>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Equivalent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2820" w:type="dxa"/>
            <w:vAlign w:val="bottom"/>
            <w:gridSpan w:val="2"/>
            <w:vMerge w:val="continue"/>
          </w:tcPr>
          <w:p>
            <w:pPr>
              <w:spacing w:after="0"/>
              <w:rPr>
                <w:sz w:val="16"/>
                <w:szCs w:val="16"/>
                <w:color w:val="auto"/>
              </w:rPr>
            </w:pP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46.01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Outstanding at September 30,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2021, certain members of senior management were granted nonvested common shares under the Essent Group Ltd. 2013 Long-Term Incentive Plan ("2013 Plan") that were subject to time-based and performance-based vesting. The time-based share awards granted in February 2021 vest in three equal installments on March 1, 2022, 2023 and 2024. The performance-based share awards granted in February 2021 vest based upon our compounded annual book value per share growth percentage and relative total shareholder return during a three-year performance period that commenced on January 1, 2021 and vest on March 1, 2024. Shares were issued at the maximum 200% of target. The portion of these nonvested performance-based share awards that will be earned is as follows:</w:t>
      </w:r>
    </w:p>
    <w:p>
      <w:pPr>
        <w:spacing w:after="0" w:line="217"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Relative Total Shareholder Return</w:t>
      </w:r>
    </w:p>
    <w:p>
      <w:pPr>
        <w:jc w:val="center"/>
        <w:ind w:left="4180"/>
        <w:spacing w:after="0"/>
        <w:rPr>
          <w:sz w:val="20"/>
          <w:szCs w:val="20"/>
          <w:color w:val="auto"/>
        </w:rPr>
      </w:pPr>
      <w:r>
        <w:rPr>
          <w:rFonts w:ascii="Arial" w:cs="Arial" w:eastAsia="Arial" w:hAnsi="Arial"/>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1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≥75th percentile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"Target"</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14%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Three-Year Book</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c>
          <w:tcPr>
            <w:tcW w:w="22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5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180"/>
        </w:trPr>
        <w:tc>
          <w:tcPr>
            <w:tcW w:w="1940" w:type="dxa"/>
            <w:vAlign w:val="bottom"/>
          </w:tcPr>
          <w:p>
            <w:pPr>
              <w:jc w:val="center"/>
              <w:ind w:right="550"/>
              <w:spacing w:after="0" w:line="181" w:lineRule="exact"/>
              <w:rPr>
                <w:sz w:val="20"/>
                <w:szCs w:val="20"/>
                <w:color w:val="auto"/>
              </w:rPr>
            </w:pPr>
            <w:r>
              <w:rPr>
                <w:rFonts w:ascii="Arial" w:cs="Arial" w:eastAsia="Arial" w:hAnsi="Arial"/>
                <w:sz w:val="18"/>
                <w:szCs w:val="18"/>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our incentive program covering bonus awards for performance year 2020, in February 2021, time-based share units were issued to certain employees that vest in three equal installments on March 1, 2022, 2023 and 2024.</w:t>
      </w:r>
    </w:p>
    <w:p>
      <w:pPr>
        <w:spacing w:after="0" w:line="197"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Quoted market prices are used for the valuation of common shares granted that do not contain a market condition under ASC 718. The performance-based share awards granted in February 2021 contain a market condition and were valued based on analysis provided by a third-party valuation firm using a risk neutral simulation taking into effect the vesting conditions of the grant.</w:t>
      </w:r>
    </w:p>
    <w:p>
      <w:pPr>
        <w:spacing w:after="0" w:line="21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will vest on March 1, 2022 and March 1, 2023, respectively, subject to the continued service requirements and other terms and conditions set forth in the applicable award agreements, without taking into consideration any performance metrics. Total incremental compensation expense related to amending these awards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$4.0 million. As of September 30, 2021, there was $2.2 million of unrecognized compensation expense related to amending these awards and we expect to recognize the expense over a weighted average period of 1.3 years.</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total fair value on the vesting date of nonvested shares, share units or DEUs that vested was $18.4 million and $18.5 million for the nine months ended September 30, 2021 and 2020, respectively. As of September 30, 2021, there was $27.7 million of total unrecognized compensation expense related to nonvested shares or share units outstanding at September 30, 2021 and we expect to recognize the expense over a weighted average period of 2.2 years.</w:t>
      </w:r>
    </w:p>
    <w:p>
      <w:pPr>
        <w:spacing w:after="0" w:line="187"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126,025 in the nine months ended September 30, 2021. The tendered shares were recorded at cost and included in treasury stock. All treasury stock has been cancelled as of September 30, 2021.</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Restrictions</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For 2021, Essent Guaranty has dividend capacity of $312.1 million and Essent PA has dividend capacity of $5.4 million. The Pennsylvania statute also specifies that dividends and other distributions can be paid out of positive unassigned surplus without prior approval. At September 30, 2021, Essent Guaranty had unassigned surplus of approximately $377.0 million and Essent PA had unassigned surplus of approximately $16.8 million. Under PMIERs guidance issued by the GSEs effective June 30, 2020 through June 30, 2021, Essent Guaranty was required to obtain GSE written approval before paying a dividend. As a result of PMIERs guidance issued by the GSEs on June 30, 2021, Essent Guaranty may pay a dividend without prior GSE approval in the three months ended September 30, 2021 as long as the dividend payment would not cause its Available Assets to fall below 150% of its Minimum Required Assets. In addition, the guidance specifies that Essent Guaranty may pay a dividend without prior GSE approval in the three months ended December 31, 2021 as long as the dividend payment would not cause its Available Assets to fall below 115% of its Minimum Required Assets. In three and nine months ended September 2021, Essent Guaranty paid dividends of $47.2 million and $147.2 million, respectively, to its parent, Essent US Holdings, Inc. Essent Guaranty did not pay dividends to Essent Group or any intermediate holding companies in the three and nine months ended September 30, 2020. Essent PA did not pay a dividend in the three and nine months ended September 30, 2021 or 2020.</w:t>
      </w:r>
    </w:p>
    <w:p>
      <w:pPr>
        <w:spacing w:after="0" w:line="19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2021, Essent Re had total equity of $1.2 billion.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2021,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(EPS)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6"/>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4"/>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5"/>
                <w:szCs w:val="15"/>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7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205,353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124,536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500,796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289,439</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104,147</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Dilutive effect of nonvested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104,383</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r>
    </w:tbl>
    <w:p>
      <w:pPr>
        <w:spacing w:after="0" w:line="28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There were 181,476 and 369,460 antidilutive shares for the three months ended September 30, 2021 and 2020, respectively, and 230,595 and 433,548 antidilutive shares for the nine months ended September 30, 2021 and 2020, respectively.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and relative total shareholder return as of September 30, 2021, the 2021 performance-based share awards would be issuable at 100% of target under the terms of the arrangements if September 30, 2021 was the end of the contingency period, which is 50% of the shares issued.</w:t>
      </w:r>
    </w:p>
    <w:p>
      <w:pPr>
        <w:spacing w:after="0" w:line="21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Based on the compounded annual book value per share growth as of September 30, 2020, the following percentages of the performance-based share awards would have been issuable under the terms of the arrangements if September 30, 2020 was the end of the contingency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2018 Performance-Based Grants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960" w:type="dxa"/>
            <w:vAlign w:val="bottom"/>
          </w:tcPr>
          <w:p>
            <w:pPr>
              <w:spacing w:after="0"/>
              <w:rPr>
                <w:sz w:val="19"/>
                <w:szCs w:val="19"/>
                <w:color w:val="auto"/>
              </w:rPr>
            </w:pPr>
          </w:p>
        </w:tc>
      </w:tr>
      <w:tr>
        <w:trPr>
          <w:trHeight w:val="229"/>
        </w:trPr>
        <w:tc>
          <w:tcPr>
            <w:tcW w:w="296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w w:val="92"/>
              </w:rPr>
              <w:t>2019 Performance-Based Grants</w:t>
            </w:r>
          </w:p>
        </w:tc>
        <w:tc>
          <w:tcPr>
            <w:tcW w:w="2840" w:type="dxa"/>
            <w:vAlign w:val="bottom"/>
          </w:tcPr>
          <w:p>
            <w:pPr>
              <w:jc w:val="right"/>
              <w:spacing w:after="0"/>
              <w:rPr>
                <w:sz w:val="20"/>
                <w:szCs w:val="20"/>
                <w:color w:val="auto"/>
              </w:rPr>
            </w:pPr>
            <w:r>
              <w:rPr>
                <w:rFonts w:ascii="Arial" w:cs="Arial" w:eastAsia="Arial" w:hAnsi="Arial"/>
                <w:sz w:val="18"/>
                <w:szCs w:val="18"/>
                <w:color w:val="auto"/>
              </w:rPr>
              <w:t>100 %</w:t>
            </w:r>
          </w:p>
        </w:tc>
        <w:tc>
          <w:tcPr>
            <w:tcW w:w="2960" w:type="dxa"/>
            <w:vAlign w:val="bottom"/>
          </w:tcPr>
          <w:p>
            <w:pPr>
              <w:spacing w:after="0"/>
              <w:rPr>
                <w:sz w:val="19"/>
                <w:szCs w:val="19"/>
                <w:color w:val="auto"/>
              </w:rPr>
            </w:pPr>
          </w:p>
        </w:tc>
      </w:tr>
      <w:tr>
        <w:trPr>
          <w:trHeight w:val="230"/>
        </w:trPr>
        <w:tc>
          <w:tcPr>
            <w:tcW w:w="2960" w:type="dxa"/>
            <w:vAlign w:val="bottom"/>
          </w:tcPr>
          <w:p>
            <w:pPr>
              <w:spacing w:after="0"/>
              <w:rPr>
                <w:sz w:val="19"/>
                <w:szCs w:val="19"/>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2020 Performance-Based Grants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960" w:type="dxa"/>
            <w:vAlign w:val="bottom"/>
          </w:tcPr>
          <w:p>
            <w:pPr>
              <w:spacing w:after="0"/>
              <w:rPr>
                <w:sz w:val="19"/>
                <w:szCs w:val="19"/>
                <w:color w:val="auto"/>
              </w:rPr>
            </w:pPr>
          </w:p>
        </w:tc>
      </w:tr>
      <w:tr>
        <w:trPr>
          <w:trHeight w:val="905"/>
        </w:trPr>
        <w:tc>
          <w:tcPr>
            <w:tcW w:w="29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40" w:type="dxa"/>
            <w:vAlign w:val="bottom"/>
          </w:tcPr>
          <w:p>
            <w:pPr>
              <w:jc w:val="right"/>
              <w:ind w:right="2470"/>
              <w:spacing w:after="0"/>
              <w:rPr>
                <w:sz w:val="20"/>
                <w:szCs w:val="20"/>
                <w:color w:val="auto"/>
              </w:rPr>
            </w:pPr>
            <w:r>
              <w:rPr>
                <w:rFonts w:ascii="Arial" w:cs="Arial" w:eastAsia="Arial" w:hAnsi="Arial"/>
                <w:sz w:val="18"/>
                <w:szCs w:val="18"/>
                <w:color w:val="auto"/>
              </w:rPr>
              <w:t>19</w:t>
            </w:r>
          </w:p>
        </w:tc>
        <w:tc>
          <w:tcPr>
            <w:tcW w:w="296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rollforward of accumulated other comprehensive income (loss)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6"/>
                <w:szCs w:val="16"/>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8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143,136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144,225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120,398</w:t>
            </w:r>
          </w:p>
        </w:tc>
        <w:tc>
          <w:tcPr>
            <w:tcW w:w="0" w:type="dxa"/>
            <w:vAlign w:val="bottom"/>
          </w:tcPr>
          <w:p>
            <w:pPr>
              <w:spacing w:after="0"/>
              <w:rPr>
                <w:sz w:val="1"/>
                <w:szCs w:val="1"/>
                <w:color w:val="auto"/>
              </w:rPr>
            </w:pPr>
          </w:p>
        </w:tc>
      </w:tr>
      <w:tr>
        <w:trPr>
          <w:trHeight w:val="209"/>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4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holding (losses) gains arising</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during the period</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included in net income (1)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Net unrealized (losses) gains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6"/>
                <w:szCs w:val="16"/>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Tax Effect</w:t>
            </w:r>
          </w:p>
        </w:tc>
        <w:tc>
          <w:tcPr>
            <w:tcW w:w="18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138,274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4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holding (losses) gains arising</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(59,172)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77,998</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during the period</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included in net income (1)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Net unrealized (losses) gains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76,247</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76,247</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(losses) on our condensed consolidated statements of comprehensive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93"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4" w:lineRule="exact"/>
        <w:rPr>
          <w:rFonts w:ascii="Arial" w:cs="Arial" w:eastAsia="Arial" w:hAnsi="Arial"/>
          <w:sz w:val="16"/>
          <w:szCs w:val="16"/>
          <w:color w:val="auto"/>
        </w:rPr>
      </w:pPr>
    </w:p>
    <w:p>
      <w:pPr>
        <w:ind w:left="660" w:right="20"/>
        <w:spacing w:after="0" w:line="287"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4"/>
                <w:szCs w:val="1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2021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331,216</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989,552</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592,458</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79,994</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1,524,144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1,524,144</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539,186</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554,475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554,475</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 (2)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584,672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4,285,345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4,870,017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551,517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1,126,512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1,126,512</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454,717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947,748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3,617,625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line="258"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1" w:lineRule="exact"/>
        <w:rPr>
          <w:rFonts w:ascii="Arial" w:cs="Arial" w:eastAsia="Arial" w:hAnsi="Arial"/>
          <w:sz w:val="18"/>
          <w:szCs w:val="18"/>
          <w:color w:val="auto"/>
        </w:rPr>
      </w:pPr>
    </w:p>
    <w:p>
      <w:pPr>
        <w:ind w:left="660" w:right="240" w:hanging="328"/>
        <w:spacing w:after="0" w:line="290" w:lineRule="auto"/>
        <w:tabs>
          <w:tab w:leader="none" w:pos="6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Statutory Accounting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Essent Guaranty</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364,654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236,345</w:t>
            </w:r>
          </w:p>
        </w:tc>
      </w:tr>
      <w:tr>
        <w:trPr>
          <w:trHeight w:val="23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1,048,040</w:t>
            </w: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1,721,424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1,423,364</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55,779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54,176</w:t>
            </w: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55,413</w:t>
            </w:r>
          </w:p>
        </w:tc>
      </w:tr>
    </w:tbl>
    <w:p>
      <w:pPr>
        <w:spacing w:after="0" w:line="31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2021 and 2020,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 September 30, 2021 and 2020, the statutory capital of our U.S. insurance subsidiaries, which is defined as the total of statutory surplus and contingency reserves, was in excess of the statutory capital necessary to satisfy their regulatory requirements.</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2021, Essent Guaranty, our GSE-approved mortgage insurance company, was in compliance with PMIERs 2.0.</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nine months ended September 30, 2021, Essent Guaranty increased its contingency reserve by $221.6 million and Essent PA increased its contingency reserve by $1.2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nine months ended September 30, 2021, Essent Guaranty and Essent PA released contingency reserves of $2.0 million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$0.1 million, respectively, to unassigned funds upon completion of the 120 month holding period. Essent Guaranty and Essent PA did not release any amounts from their contingency reserves in the nine months ended September 30, 2020.</w:t>
      </w:r>
    </w:p>
    <w:p>
      <w:pPr>
        <w:spacing w:after="0" w:line="19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2020, all such requirements were met.</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Essent Re's statutory capital and surplus was $1.2 billion as of September 30, 2021 and $1.1 billion as of December 31, 2020. Essent Re's statutory net income was $166.2 million and $100.4 million for the nine months ended September 30, 2021 and 2020, respectively. Statutory capital and surplus as of September 30, 2021 and December 31, 2020 and statutory net income in the nine months ended September 30, 2021 and 2020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2020 as filed with the Securities and Exchange Commission and referred to herein as the “Annual Report,” and our condensed consolidated financial statements and related notes as of and for the three and nine months ended September 30, 2021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 Essent Guaranty's financial strength rating was affirmed by A.M. Best on September 24, 2021.</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343 employees as of September 30, 2021. We generated new insurance written, or NIW, of approximately $23.6 billion and $67.8 billion for the three and nine months ended September 30, 2021, respectively, compared to approximately $36.7 billion and $78.4 billion for the three and nine months ended September 30, 2020, respectively. As of September 30, 2021, we had approximately $208.2 billion of insurance in force, due to our NIW which was offset by cancellations as the persistency rate on our portfolio was 62.2% at September 30, 2021 compared to 60.1% at December 31, 2020.</w:t>
      </w:r>
    </w:p>
    <w:p>
      <w:pPr>
        <w:spacing w:after="0" w:line="16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September 30, 2021, Essent Re provided insurance or reinsurance relating to GSE risk share and other reinsurance transactions covering approximately $1.6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 of Essent Re is BBB+ with a stable outlook by S&amp;P and A (Excellent) with a stable outlook by A.M. Best. Essent Re's financial strength rating was affirmed by A.M. Best on September 24, 2021.</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Due to COVID-19, we experienced a significant increase in the amount of new defaults reported, especially during the second and third quarters of 2020. We segmented these two quarters’ defaults as specifically COVID-19 related (“Early COVID Defaults”) and provided losses for these two cohorts differently as compared to our normal loss reserving methodology. Beginning in the fourth quarter of 2020, the credit characteristics of new defaults trended towards those of the pre-pandemic periods. As a result, for new defaults reported after September 30, 2020, we have reverted to our normal loss reserving methodology. It is our belief that the default-to-claim transition patterns of the Early COVID Defaults will be different as compared to our historical defaults. We believe that the borrowers associated with the Early COVID Defaults will be able to take advantage of foreclosure moratoriums and mortgage forbearance programs instituted by Federal legislation along with actions taken by the Federal Housing Finance Agency (“FHFA”), Fannie Mae and Freddie Mac (collectively the “GSEs”) which may extend traditional default-to-claim timelines. As a result of these programs, along with Federal stimulus, these borrowers associated with the Early COVID Defaults will have more resources and an extended time period to address the issues that triggered the default, resulting in a higher cure rate, and correspondingly lower claim payments than historical defaults.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180"/>
        <w:spacing w:after="0" w:line="296" w:lineRule="auto"/>
        <w:rPr>
          <w:sz w:val="20"/>
          <w:szCs w:val="20"/>
          <w:color w:val="auto"/>
        </w:rPr>
      </w:pPr>
      <w:r>
        <w:rPr>
          <w:rFonts w:ascii="Arial" w:cs="Arial" w:eastAsia="Arial" w:hAnsi="Arial"/>
          <w:sz w:val="16"/>
          <w:szCs w:val="16"/>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188" w:lineRule="exact"/>
        <w:rPr>
          <w:sz w:val="20"/>
          <w:szCs w:val="20"/>
          <w:color w:val="auto"/>
        </w:rPr>
      </w:pPr>
    </w:p>
    <w:p>
      <w:pPr>
        <w:ind w:right="120" w:firstLine="180"/>
        <w:spacing w:after="0" w:line="291" w:lineRule="auto"/>
        <w:rPr>
          <w:sz w:val="20"/>
          <w:szCs w:val="20"/>
          <w:color w:val="auto"/>
        </w:rPr>
      </w:pPr>
      <w:r>
        <w:rPr>
          <w:rFonts w:ascii="Arial" w:cs="Arial" w:eastAsia="Arial" w:hAnsi="Arial"/>
          <w:sz w:val="16"/>
          <w:szCs w:val="16"/>
          <w:color w:val="auto"/>
        </w:rPr>
        <w:t>In the three and nine months ended September 30, 2021, new defaults remained elevated although at lower levels than those reported in the second through fourth quarters of 2020.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September 30, 2021.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14" w:lineRule="exact"/>
        <w:rPr>
          <w:sz w:val="20"/>
          <w:szCs w:val="20"/>
          <w:color w:val="auto"/>
        </w:rPr>
      </w:pPr>
    </w:p>
    <w:p>
      <w:pPr>
        <w:ind w:right="120" w:firstLine="177"/>
        <w:spacing w:after="0" w:line="257" w:lineRule="auto"/>
        <w:rPr>
          <w:sz w:val="20"/>
          <w:szCs w:val="20"/>
          <w:color w:val="auto"/>
        </w:rPr>
      </w:pPr>
      <w:r>
        <w:rPr>
          <w:rFonts w:ascii="Arial" w:cs="Arial" w:eastAsia="Arial" w:hAnsi="Arial"/>
          <w:sz w:val="18"/>
          <w:szCs w:val="18"/>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 PFIC asset test of a foreign holding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8" w:lineRule="exact"/>
        <w:rPr>
          <w:sz w:val="20"/>
          <w:szCs w:val="20"/>
          <w:color w:val="auto"/>
        </w:rPr>
      </w:pPr>
    </w:p>
    <w:p>
      <w:pPr>
        <w:ind w:left="660" w:right="12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8" w:lineRule="exact"/>
        <w:rPr>
          <w:rFonts w:ascii="Arial" w:cs="Arial" w:eastAsia="Arial" w:hAnsi="Arial"/>
          <w:sz w:val="16"/>
          <w:szCs w:val="16"/>
          <w:color w:val="auto"/>
        </w:rPr>
      </w:pPr>
    </w:p>
    <w:p>
      <w:pPr>
        <w:ind w:left="660" w:right="24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20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2021 were non-refundable. Premiums collected on annual policies are recognized as net premiums earned on a straight-line basis over the year of coverage. For the nine months ended September 30, 2021 and 2020, monthly premium policies comprised 96% and 90% of our NIW,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62.2% at September 30, 2021. Generally, higher prepayment speeds lead to lower persistency.</w:t>
      </w:r>
    </w:p>
    <w:p>
      <w:pPr>
        <w:spacing w:after="0" w:line="211" w:lineRule="exact"/>
        <w:rPr>
          <w:sz w:val="20"/>
          <w:szCs w:val="20"/>
          <w:color w:val="auto"/>
        </w:rPr>
      </w:pPr>
    </w:p>
    <w:p>
      <w:pPr>
        <w:ind w:right="4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September 30, 2021.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Other Invested Assets</w:t>
      </w:r>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Income from other invested assets includes the Company's proportionate share of the earnings or losses in our investments principally comprised of limited partnership interests. These interests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Through June 30, 2021, unrealized gains and losses reported by these entities were included in other comprehensive income (“OCI”). In the three months ended September 30, 2021, management concluded that unrealized gains and losses on these investments should be reflected in earnings rather than OCI. Income from other invested assets for the three and nine months ended September 30, 2021, includes $39.5 million of net unrealized gains, which includes $21.1 million of net unrealized gains that were accumulated in OCI at June 30, 2021 and prior periods.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The services agreement provides for a flat monthly fee through November 30, 2022. The services agreement provides for one subsequent one-year renewal at Triad's option.</w:t>
      </w:r>
    </w:p>
    <w:p>
      <w:pPr>
        <w:spacing w:after="0" w:line="188" w:lineRule="exact"/>
        <w:rPr>
          <w:sz w:val="20"/>
          <w:szCs w:val="20"/>
          <w:color w:val="auto"/>
        </w:rPr>
      </w:pPr>
    </w:p>
    <w:p>
      <w:pPr>
        <w:ind w:right="100" w:firstLine="170"/>
        <w:spacing w:after="0" w:line="311"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2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10"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September 30, 2021, 83% of our IIF relates to business written since January 1, 2019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September 30, 2021, 83% of our IIF relates to business written since January 1, 2019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0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Due to business restrictions, stay-at-home orders and travel restrictions implemented in March 2020 as a result of COVID-19, unemployment in the United States increased significantly in the second quarter of 2020 and remained elevated at September 30, 2021. As unemployment is one of the most common reasons for borrowers to default on their mortgage, the increase in unemployment has increased the number of delinquencies on the mortgages we insure, and has the potential to increase claim frequencies on defaults. As of September 30, 2021, insured loans in default totaled 19,721 compared to 5,841 defaults as of March 31, 2020.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expect the ultimate number of Early COVID Defaults that result in claims will be less than our historical default-to-claim experience. We applied a lower reserve rate to the Early COVID Defaults than the rate used for defaults that had missed a comparable number of payments as of March 31, 2020 due to the sudden impact on the economy following the onset of the pandemic. We expect defaulted loans reported to us in the second quarter of 2020 to reach the end of their forbearance period in the fourth quarter of 2021. The credit characteristics of defaults reported in October 2020 through September 2021 have trended towards those of the pre-pandemic periods and we have observed the normalization of other default patterns during this period. In addition, the economic conditions beginning in the fourth quarter of 2020 have been different than those experienced in the second and third quarters of 2020. We believe that while defaults in October 2020 through September 2021 were impacted by the pandemic’s effect on the economy, the underlying credit performance of these defaults may not be the same as the expected performance for Early COVID Defaults that occurred following the onset of the pandemic and these defaults are more likely to transition like pre-pandemic defaults. Accordingly, beginning in the fourth quarter of 2020, we resumed establishing reserves for defaults reported after September 30, 2020 using our normal reserve methodology.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As more fully described in Note 4 to our condensed consolidated financial statements, at September 30, 2021, we had approximately $2.4 billion of excess of loss reinsurance covering NIW from January 1, 2015 to March 31, 2021 and a quota share reinsurance transaction on a portion of our NIW effective September 1, 2019 through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64% and 62% of other underwriting and operating expenses for the three and nine months ended September 30, 2021, respectively, compared to 61% of other underwriting and operating expenses for each of the three and nine months ended September 30, 2020. Compensation and benefits expense includes base and incentive cash compensation, stock compensation expense, benefits and payroll taxes.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200" w:lineRule="exact"/>
        <w:rPr>
          <w:sz w:val="20"/>
          <w:szCs w:val="20"/>
          <w:color w:val="auto"/>
        </w:rPr>
      </w:pPr>
    </w:p>
    <w:p>
      <w:pPr>
        <w:jc w:val="both"/>
        <w:ind w:right="400" w:firstLine="648"/>
        <w:spacing w:after="0" w:line="276" w:lineRule="auto"/>
        <w:rPr>
          <w:sz w:val="20"/>
          <w:szCs w:val="20"/>
          <w:color w:val="auto"/>
        </w:rPr>
      </w:pPr>
      <w:r>
        <w:rPr>
          <w:rFonts w:ascii="Arial" w:cs="Arial" w:eastAsia="Arial" w:hAnsi="Arial"/>
          <w:sz w:val="16"/>
          <w:szCs w:val="16"/>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2021 and 2020 for our U.S. mortgage insurance portfolio. In addition, this table includes RIF at the end of each period.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820" w:type="dxa"/>
            <w:vAlign w:val="bottom"/>
            <w:gridSpan w:val="7"/>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203,559,859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174,646,273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198,882,352</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164,005,853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NIW - Flow</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23,579,884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36,664,583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67,838,752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78,377,094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NIW - Bulk</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(18,923,194)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(20,499,564)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(58,504,555)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2"/>
              </w:rPr>
              <w:t>(51,571,806)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IIF,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208,216,549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190,811,292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208,216,549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190,811,292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Average IIF during the period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gridSpan w:val="2"/>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206,732,478</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183,135,315</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201,623,472</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172,595,003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RIF, end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45,074,159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41,219,216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45,074,159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41,219,216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6740" w:type="dxa"/>
            <w:vAlign w:val="bottom"/>
            <w:gridSpan w:val="5"/>
          </w:tcPr>
          <w:p>
            <w:pPr>
              <w:ind w:left="660"/>
              <w:spacing w:after="0"/>
              <w:rPr>
                <w:sz w:val="20"/>
                <w:szCs w:val="20"/>
                <w:color w:val="auto"/>
              </w:rPr>
            </w:pPr>
            <w:r>
              <w:rPr>
                <w:rFonts w:ascii="Arial" w:cs="Arial" w:eastAsia="Arial" w:hAnsi="Arial"/>
                <w:sz w:val="18"/>
                <w:szCs w:val="18"/>
                <w:color w:val="auto"/>
              </w:rPr>
              <w:t>The following is a summary of our IIF at September 30, 2021 by vintage:</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(through September 30)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65,623,701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83,556,296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23,609,156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11,062,279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2016 and prior</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14,484,096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208,216,549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the three and nine months ended September 30, 2021, our average net premium rate was 0.40% and 0.41%, respectively, compared to 0.46% and 0.47% for the three and nine months ended September 30, 2020, respectively. We anticipate that the continued use of third-party reinsurance along with changes to the level of future cancellations of non-refundable single premium policies and mix of IIF will reduce our average net premium rate in future periods.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As of September 30, 2021, our combined net risk in force for our U.S. insurance companies was $30.8 billion and our combined statutory capital was $2.9 billion, resulting in a risk-to-capital ratio of 10.5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202,348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222,223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608,996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619,870</w:t>
            </w:r>
          </w:p>
        </w:tc>
      </w:tr>
      <w:tr>
        <w:trPr>
          <w:trHeight w:val="229"/>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20,355</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218,718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640,225</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59,138</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Realized investment gains,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other invested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707,955</w:t>
            </w:r>
          </w:p>
        </w:tc>
      </w:tr>
      <w:tr>
        <w:trPr>
          <w:trHeight w:val="196"/>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(Benefit) provision for losses and LAE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239,220</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117,866</w:t>
            </w: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r>
      <w:tr>
        <w:trPr>
          <w:trHeight w:val="223"/>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losses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364,011</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343,944</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54,505</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205,353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500,796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289,439</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Compared to the Three and Nine Months Ended September 30, 2020</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For the three months ended September 30, 2021, we reported net income of $205.4 million, compared to net income of $124.5 million for the three months ended September 30, 2020. For the nine months ended September 30, 2021, we reported net income of $500.8 million, compared to net income of $289.4 million for the nine months ended September 30, 2020. The increase in our operating results in three months ended September 30, 2021 over the same period in 2020 was primarily due to a decrease in the provision for losses and LAE and an increase in income from other invested assets, partially offset by an increase in income tax expense. The increase in our operating results in nine months ended September 30, 2021 over the same period in 2020 was primarily due to a decrease in the provision for losses and LAE and increases in income from other invested assets and net premiums earned, partially offset by an increase in income tax expense.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Net premiums earned decreased in the three months ended September 30, 2021 by 2%, compared to the three months ended September 30, 2020 primarily due to the increase in premiums ceded under third-party reinsurance agreements, partially offset by the increase in our average IIF from $183.1 billion at September 30, 2020 to $206.7 billion at September 30, 2021. Net premiums earned increased in the nine months ended September 30, 2021 by 2% compared to the nine months ended September 30, 2020 due to the increase in our average IIF from $172.6 billion at September 30, 2020 to $201.6 billion at September 30, 2021, partially offset by an increase in premiums ceded under third-party reinsurance agreements. The average net premium rate was 0.40% and 0.41% for the three and nine months ended September 30, 2021, respectively, and 0.46% and 0.47% for the three and nine months ended September 30, 2020, respectively. The decrease in the average net premium rate in the three and nine month periods ended September 30, 2021 was a result of an increase in ceded premiums, changes in the mix of mortgages we insure, in part due to lower persistency, changes in our pricing and a decrease in premiums earned on the cancellation of non-refundable single premium policies. In the three months ended September 30, 2021 ceded premiums increased to $26.9 million from $21.2 million for the same period of 2020 due to a new third-party reinsurance agreement entered into in 2021. In the nine months ended September 30, 2021, ceded premiums increased to $84.4 million from $57.5 million for the same period of 2020 due to additional risk ceded under our QSR Agreement and new third-party reinsurance agreements entered in the fourth quarter of 2020 and in 2021. In the three and nine months ended September 30, 2021, premiums earned on the cancellation of non-refundable single premium policies decreased to $14.0 million and $49.5 million,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respectively, from $24.6 million and $65.9 million in the three and nine months ended September 30, 2020, respectively, as a result of a decrease in existing borrowers refinancing their mortgages during 2021 as compared to 2020.</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Net premiums written decreased in the three months ended September 30, 2021 by 9%, compared to the three months ended September 30, 2020 primarily due to an increase in premiums ceded under third-party reinsurance agreements, a decrease in new single premium policies written, changes in the mix of mortgages we insure and changes in our pricing, partially offset by the increase in average IIF in the respective period. Net premiums written decreased in the nine months ended September 30, 2021 by 2%, compared to the nine months ended September 30, 2020 primarily due to an increase in premiums ceded under third-party reinsurance agreements, a decrease in new single premium policies written, changes in the mix of mortgages we insure and changes in our pricing, partially offset by an increase in average IIF in the respective periods.</w:t>
      </w:r>
    </w:p>
    <w:p>
      <w:pPr>
        <w:spacing w:after="0" w:line="20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the three months ended September 30, 2021 and 2020, unearned premiums decreased by $16.4 million and $35 thousand, respectively. The change in unearned premiums was a result of net premiums written on single premium policies of $8.8 million and $40.0 million, respectively, which was offset by $25.2 million and $40.0 million, respectively, of unearned premium that was recognized in earnings during the periods. In the nine months ended September 30, 2021 and 2020, unearned premiums decreased by $46.2 million and $20.4 million, respectively. This was a result of net premiums written on single premium policies of $39.6 million and $92.8 million, respectively, which was offset by $85.8 million and $113.2 million, respectively, of unearned premium that was recognized in earnings during the periods.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61,135</w:t>
            </w: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62,701</w:t>
            </w: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increase in net investment income for the three and nine months ended September 30, 2021 as compared to the same periods in 2020 was due to the increase in the weighted average balance of our investment portfolio. The average cash and investment portfolio balance increased to $4.8 billion for the three months ended September 30, 2021 from $4.4 billion for the three months ended September 30, 2020. The average cash and investment portfolio balance increased to $4.7 billion for the nine months ended September 30, 2021 from $3.9 billion for the nine months ended September 30, 2020. The increase in the average cash and investment portfolio was primarily due to investing cash flows from operations, proceeds from the public offering of common shares completed in June 2020 and increased borrowings under the Credit Facility. The pre-tax investment income yield increased from 1.8% in the three months ended September 30, 2020 to 1.9% in the three months ended September 30, 2021 primarily due to a decrease in the share of our investments allocated to cash. The pre-tax investment income yield decreased from 2.1% in the nine months ended September 30, 2020 to 2.0% in the nine months ended September 30, 2021. primarily due to a general decline in investment yields due to declining interest rates and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Other Invested Assets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Income from other invested assets for the three months ended September 30, 2021 was $40.7 million as compared to a loss of $0.4 million for the three months ended September 30, 2020. Income from other invested assets for the nine months ended September 30, 2021 was $41.4 million compared to a loss of $0.2 million for the nine months ended September 30, 2020. Through June 30, 2021, unrealized gains and losses reported by these entities were included in other comprehensive income (“OCI”). In the three months ended September 30, 2021, management concluded that unrealized gains and losses on these investments should be reflected in earnings rather than OCI. Income from other invested assets for the three and nine months ended September 30, 2021, includes $39.5 million of net unrealized gains, which includes $21.1 million of net unrealized gains that were accumulated in OCI at June 30, 2021 and prior periods.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 xml:space="preserve">Other income was $2.3 million for each of the three months ended September 30, 2021 and 2020. Other income for the nine months ended September 30, 2021 was $9.3 million compared to $6.7 million for the nine months ended September 30, 2020. The increase in other income for the nine months ended September 30, 2021 as compared to the comparable period of 2020 was primarily due to an increase in underwriting consulting services to third-party reinsurers and changes in the fair value of the embedded derivatives contained in certain of our reinsurance agreements. In the nine months ended September 30, 2021 we recorded a net unfavorable decrease in the fair value of the embedded derivatives of $1.1 million compared to a net unfavorable decrease of $2.4 million in </w:t>
      </w:r>
      <w:r>
        <w:rPr>
          <w:rFonts w:ascii="Arial" w:cs="Arial" w:eastAsia="Arial" w:hAnsi="Arial"/>
          <w:sz w:val="18"/>
          <w:szCs w:val="18"/>
          <w:color w:val="242021"/>
        </w:rPr>
        <w:t>the</w:t>
      </w:r>
      <w:r>
        <w:rPr>
          <w:rFonts w:ascii="Arial" w:cs="Arial" w:eastAsia="Arial" w:hAnsi="Arial"/>
          <w:sz w:val="18"/>
          <w:szCs w:val="18"/>
          <w:color w:val="auto"/>
        </w:rPr>
        <w:t xml:space="preserve"> nine months ended September 30, 2020. Other income also includes Triad service fee income and contract underwriting 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the provision for losses and LAE in the three and nine months ended September 30, 2021 as compared to the same periods in 2020 was primarily due to a decrease in new defaults reported and cure activity for defaults with reserves using our normal reserve methodology in the three and nine months ended September 30, 2021 as compared to the comparable periods of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98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2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23,504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560" w:type="dxa"/>
            <w:vAlign w:val="bottom"/>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53,904</w:t>
            </w: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(8,862)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(24,032)</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19,721</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35,464</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1020" w:type="dxa"/>
            <w:vAlign w:val="bottom"/>
            <w:tcBorders>
              <w:bottom w:val="single" w:sz="8" w:color="auto"/>
            </w:tcBorders>
          </w:tcPr>
          <w:p>
            <w:pPr>
              <w:spacing w:after="0"/>
              <w:rPr>
                <w:sz w:val="16"/>
                <w:szCs w:val="16"/>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380,036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280,447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411,567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307,019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19,721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35,464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6" w:lineRule="exact"/>
        <w:rPr>
          <w:sz w:val="20"/>
          <w:szCs w:val="20"/>
          <w:color w:val="auto"/>
        </w:rPr>
      </w:pPr>
    </w:p>
    <w:p>
      <w:pPr>
        <w:ind w:left="660" w:right="20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$1.4 million and $718 thousand as of September 30, 2021 and 2020, respectively.</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increase in the average case reserve per default was primarily due to cure activity for Early COVID Defaults. Based on the forbearance programs in place and the credit characteristics of the defaulted loans, we expect the ultimate number of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As a result of cure activity for the Early COVID Defaults during the nine months ended September 30, 2021, the average reserve per Early COVID Default has increased from approximately 16% as of December 31, 2020 to approximately 45% as of September 30, 2021. The credit characteristics of defaults reported in October 2020 through September 2021 have trended towards those of the pre-pandemic periods and we have observed the normalization of other default patterns during this period. In addition, the economic conditions during the fourth quarter of 2020 through the third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quarter of 2021 have been different than those experienced in the second and third quarters of 2020. We believe that while defaults in October 2020 through September 2021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30, 2020 using our normal reserve methodology. The reserve for losses and LAE on COVID-19 defaults was $380.6 million at September 30, 2021 and includes $243.4 million of reserves for Early COVID Defaults.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253,567</w:t>
            </w:r>
          </w:p>
        </w:tc>
      </w:tr>
      <w:tr>
        <w:trPr>
          <w:trHeight w:val="230"/>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(14,347)</w:t>
            </w: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Incurred losses and LAE during the current period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239,220</w:t>
            </w: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occurring in: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12,178</w:t>
            </w: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LAE payments during the current period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295,839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295,839</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307,737</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3400" w:type="dxa"/>
            <w:vAlign w:val="bottom"/>
            <w:gridSpan w:val="3"/>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223,065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103,062</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426,282</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254,499</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595,444</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380,036</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1,247,307</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28,503</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411,567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520" w:hanging="328"/>
        <w:spacing w:after="0" w:line="277"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$1.4 million as of September 30,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As of September 30, 2020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3400" w:type="dxa"/>
            <w:vAlign w:val="bottom"/>
            <w:gridSpan w:val="3"/>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58,296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554,524</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w w:val="92"/>
              </w:rPr>
              <w:t>11 %</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194,892</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1,697,419</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24,842</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48,612</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280,447</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2,303,395</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21,034</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340" w:hanging="32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$718 thousand as of September 30, 2020.</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During the three months ended September 30, 2021, the provision for losses and LAE was a benefit of $7.5 million, comprised of $18.9 million of favorable prior years’ loss development partially offset by a provision of $11.4 million for current year losses. During the three months ended September 30, 2020, the provision for losses and LAE was $55.3 million, comprised of $56.4 million of current year losses partially offset by $1.1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0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nine months ended September 30, 2021, the provision for losses and LAE was $34.5 million, comprised of $84.0 million of current year losses partially offset by $49.5 million of favorable prior years’ loss development. During the nine months ended September 30, 2020, the provision for losses and LAE was $239.2 million, comprised of $253.6 million of current year losses partially offset by $14.3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329</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Amount of claims paid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12,432</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 severity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5"/>
                <w:szCs w:val="15"/>
                <w:color w:val="auto"/>
              </w:rPr>
            </w:pPr>
          </w:p>
        </w:tc>
        <w:tc>
          <w:tcPr>
            <w:tcW w:w="72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9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77,626</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71,741</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Premium taxes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56"/>
        </w:trPr>
        <w:tc>
          <w:tcPr>
            <w:tcW w:w="320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other underwriting and operating</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42,272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37,100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125,625</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117,866</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32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Number of employees at end of period</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18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and benefits increased in the three and nine months ended September 30, 2021 as compared to the three and nine months ended September 30, 2020 due to increased incentive compensation, severance associated with the departure of a former executive and increased stock compensation expense largely due to shares granted in 2020 and 2021. Compensation and benefits includes salaries, wages and bonus, stock compensation expense, benefits and payroll taxes.</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Premium taxes decreased primarily due to a decrease in our effective premium tax rate.</w:t>
      </w:r>
    </w:p>
    <w:p>
      <w:pPr>
        <w:spacing w:after="0" w:line="25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expenses increased primarily as a result of increases in professional fees and amortization of net deferred acquisition costs partially offset by an increase in ceding commission earned under the QSR Agreement and lower travel expenses. Other expenses include professional fees, travel, marketing, hardware, software, rent, depreciation and amortization and other facilities expenses.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the three and nine months ended September 30, 2021, we incurred interest expense of $2.1 million and $6.2 million, respectively, as compared to $2.2 million and $6.9 million for the three and nine months ended September 30, 2020, respectively. In the three months ended September 30, 2021, interest expense decreased primarily due to a decrease in the average amounts outstanding under the Credit Facility, partially offset by an increase in the weighted average interest rate for borrowings outstanding. In the nine months ended September 30, 2021, interest expense decreased primarily due to a decrease in the average amounts outstanding under the Credit Facility and a decrease in the weighted average interest rate for borrowings outstanding. For the three and nine months ended September 30, 2021, the average amount outstanding under the Credit Facility was $325.0 million and $325.9 million, respectively, as compared to $425.0 million and $362.0 million for the three and nine months ended September 30, 2020, respectively. For the three and nine months ended September 30, 2021, the borrowings under the Credit Facility had a weighted average interest rate of 2.17% and 2.30%, respectively, as compared to 1.96% and 2.37% for the three and nine months ended September 30, 2020,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subsidiaries in the United States file a consolidated U.S. Federal income tax return. Our income tax expense was $41.3 million and $23.9 million for the three months ended September 30, 2021 and 2020, respectively, and $104.5 million and $54.5 million for the nine months ended September 30, 2021 and 2020, respectively. The provision for income taxes for the nine months ended September 30, 2021 was calculated using an estimated annual effective tax rate of 15.9% as compared to an estimated annual effective tax rate of 16.0% for the nine months ended September 30, 2020. For the nine months ended September 30, 2021, income tax expense includes $8.3 million of discrete tax expense associated with realized and unrealized gains and losses and $5.7 million of discrete tax expense associated with an increase in the estimate of our beginning of the year deferred state income tax liability. For the nine months ended September 30, 2020, income tax expense was reduced by excess tax benefits associated with the vesting of common shares and common share units of $0.5 million. The tax effects associated with realized and unrealized gains and losses, the increase to our deferred state income tax liability and vesting of common shares and common share units are treated as a discrete items in the reporting period in which they occur and are not considered in determining the annual effective tax 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obligations consist primarily of:</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repurchase of common shares under the share repurchase plan approved by our Board of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As of September 30, 2021, we had substantial liquidity with cash of $65.8 million, short-term investments of $309.8 million and fixed maturity investments of $4.6 billion. We also had $300 million available capacity under the revolving credit component of our Credit Facility, with $325 million of borrowings outstanding under our Credit Facility. Borrowings under the Credit Facility contractually mature on October 16, 2023. Holding company net cash and investments available for sale at Essent Group and Essent US Holdings, Inc. totaled $513.0 million at September 30, 2021.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2021.</w:t>
      </w:r>
    </w:p>
    <w:p>
      <w:pPr>
        <w:spacing w:after="0" w:line="19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57"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related to COVID-19,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For 2021, Essent Guaranty has dividend capacity of $312.1 million and Essent PA has dividend capacity of $5.4 million. The Pennsylvania statute also requires that dividends and other distributions be paid out of positive unassigned surplus without prior approval. At September 30, 2021, Essent Guaranty had unassigned surplus of approximately $377.0 million and Essent PA had unassigned surplus of approximately $16.8 million. As a result of PMIERs guidance issued by the GSEs, Essent Guaranty may pay a dividend without prior GSE approval in the three months ended September 30, 2021 as long as the dividend payment would not cause its Available Assets to fall below 150% of its Minimum Required Assets. In addition, the guidance specifies that Essent Guaranty and may pay a dividend without prior GSE approval in the three months ended December 31, 2021 as long as the dividend payment would not cause its Available Assets to fall below 115% of its Minimum Required Assets. Essent Re is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2021, Essent Re had total equity of $1.2 billion. In connection with its insurance and reinsurance activities, Essent Re is required to maintain assets in trusts for the benefit of its contractual counterparties. See Note 3 to our condensed consolidated financial statements. At September 30, 2021, our insurance subsidiaries were in compliance with these rules, regulations and agreements.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6"/>
                <w:szCs w:val="16"/>
                <w:color w:val="auto"/>
              </w:rPr>
            </w:pPr>
          </w:p>
        </w:tc>
        <w:tc>
          <w:tcPr>
            <w:tcW w:w="1320" w:type="dxa"/>
            <w:vAlign w:val="bottom"/>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548,506</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(403,412)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(1,083,317)</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582,152</w:t>
            </w:r>
          </w:p>
        </w:tc>
      </w:tr>
      <w:tr>
        <w:trPr>
          <w:trHeight w:val="22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47,341</w:t>
            </w:r>
          </w:p>
        </w:tc>
      </w:tr>
      <w:tr>
        <w:trPr>
          <w:trHeight w:val="21"/>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Cash flow provided by operating activities totaled $518.2 million for the nine months ended September 30, 2021, as compared to $548.5 million for the nine months ended September 30, 2020. The decrease in cash flow provided by operating activities was primarily due to an increase in income tax payments and higher T&amp;L Bond purchases in 2021, partially offset by an increase in premiums collected.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Cash flow used in investing activities totaled $403.4 million and $1.1 billion for the nine months ended September 30, 2021 and 2020, respectively. In both periods, cash flow used in investing activities related to investing cash flows from operations. Additionally, in 2020 cash flow used in investing activities included investing $440 million of net proceeds from the completion of a public offering of common shares in June and $200 million of increased borrowings under the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Cash flow used in financing activities totaled $151.8 million for the nine months ended September 30, 2021, primarily related to the quarterly cash dividends paid in March, June and September, repurchases of common stock as part of our share repurchase plan and treasury stock acquired from employees to satisfy tax withholding obligations. Cash flow provided by financing activities totaled $582.2 million for the nine months ended September 30, 2020, primarily related to $440 million of net proceeds from the completion of a public offering of common shares in June and $200 million of increased borrowings under the Credit Facility, partially offset by the quarterly cash dividends paid in March, June and September and treasury stock acquired from employees to satisfy tax withholding obligations.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three and nine months ended September 30, 2021, no capital contributions were made to our U.S. insurance subsidiaries and Essent Guaranty paid dividends to Essent US Holdings, Inc. of $47.2 million and $147.2 million,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nine months ended September 30, 2020, no capital contributions were made to our U.S. insurance subsidiaries and Essent Guaranty did not pay dividends to Essent Group or any intermediate holding companies.</w:t>
      </w:r>
    </w:p>
    <w:p>
      <w:pPr>
        <w:spacing w:after="0" w:line="197" w:lineRule="exact"/>
        <w:rPr>
          <w:sz w:val="20"/>
          <w:szCs w:val="20"/>
          <w:color w:val="auto"/>
        </w:rPr>
      </w:pPr>
    </w:p>
    <w:p>
      <w:pPr>
        <w:ind w:right="80" w:firstLine="180"/>
        <w:spacing w:after="0" w:line="269" w:lineRule="auto"/>
        <w:rPr>
          <w:sz w:val="20"/>
          <w:szCs w:val="20"/>
          <w:color w:val="auto"/>
        </w:rPr>
      </w:pPr>
      <w:r>
        <w:rPr>
          <w:rFonts w:ascii="Arial" w:cs="Arial" w:eastAsia="Arial" w:hAnsi="Arial"/>
          <w:sz w:val="17"/>
          <w:szCs w:val="17"/>
          <w:color w:val="auto"/>
        </w:rPr>
        <w:t>Essent Guaranty has entered into reinsurance agreements that provide excess of loss reinsurance coverage for new defaults on portfolios of mortgage insurance policies issued in 2015 through March 31, 2021. The aggregate excess of loss reinsurance coverages decrease over a ten-year period as the underlying covered mortgages amortize. Based on the level of delinquencies reported to us, the insurance-linked note transactions (the "ILNs") that Essent Guaranty has entered into prior to March 31, 2020 became subject to a "trigger event" as of June 25, 2020. The aggregate excess of loss reinsurance coverage will not amortize during the continuation of a trigger event.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4 to our condensed consolidated financial statements.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September 30, 2021 was as follows:</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Combined statutory capital:</w:t>
      </w: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1,138,173</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1,778,629</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2,916,802</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30,766,379</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nine months ended September 30, 2021 and 2020, Essent Re paid no dividends to Essent Group and Essent Group made no capital contributions to Essent Re. As of September 30, 2021, Essent Re had total stockholders’ equity of $1.2 billion and net risk in force of $15.5 billion.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A3 with a stable outlook by Moody’s Investors Service (“Moody's”), BBB+ with a stable outlook by S&amp;P and A (Excellent) with stable outlook by A.M. Best. The insurer financial strength rating of Essent Re is BBB+ with a stable outlook by S&amp;P and A (Excellent) with stable outlook by A.M. Best.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2021, Essent Guaranty, our GSE-approved mortgage insurance company, was in compliance with PMIERs 2.0. As of September 30, 2021, Essent Guaranty's Available Assets were $3.16 billion or 162% of its Minimum Required Assets of $1.95 billion based on our interpretation of PMIERs 2.0.</w:t>
      </w:r>
    </w:p>
    <w:p>
      <w:pPr>
        <w:spacing w:after="0" w:line="21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of September 30, 2021, stockholders’ equity was $4.17 billion, compared to $3.86 billion as of December 31, 2020. Stockholders' equity increased primarily due to net income generated in 2021 partially offset by dividends paid, a decrease in accumulated other comprehensive income related to a decrease in our net unrealized investment gains and the repurchase of common shares under our share repurchase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2021, investments totaled $5.0 billion compared to $4.7 billion as of December 31, 2020. In addition, our total cash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$65.8 million as of September 30, 2021, compared to $102.8 million as of December 31, 2020. The increase in investments was primarily due to investing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cash flows from operations during the nine months ended September 30, 2021 partially offset by a decrease in our net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1"/>
              </w:rPr>
              <w:t>September 30, 2021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4240" w:type="dxa"/>
            <w:vAlign w:val="bottom"/>
            <w:gridSpan w:val="4"/>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20" w:type="dxa"/>
            <w:vAlign w:val="bottom"/>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Pr>
          <w:p>
            <w:pPr>
              <w:jc w:val="right"/>
              <w:ind w:right="552"/>
              <w:spacing w:after="0"/>
              <w:rPr>
                <w:sz w:val="20"/>
                <w:szCs w:val="20"/>
                <w:color w:val="auto"/>
              </w:rPr>
            </w:pPr>
            <w:r>
              <w:rPr>
                <w:rFonts w:ascii="Arial" w:cs="Arial" w:eastAsia="Arial" w:hAnsi="Arial"/>
                <w:sz w:val="14"/>
                <w:szCs w:val="14"/>
                <w:b w:val="1"/>
                <w:bCs w:val="1"/>
                <w:color w:val="auto"/>
                <w:w w:val="85"/>
              </w:rPr>
              <w:t>Percent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4"/>
        </w:trPr>
        <w:tc>
          <w:tcPr>
            <w:tcW w:w="41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331,216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592,458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551,517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1,524,144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554,475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454,717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4,870,017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92"/>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(1) The following table summarizes municipal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(2) The following table summarizes corporate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Government</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Rating(1)</w:t>
            </w: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1"/>
              </w:rPr>
              <w:t>September 30, 2021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2020</w:t>
            </w:r>
          </w:p>
        </w:tc>
        <w:tc>
          <w:tcPr>
            <w:tcW w:w="118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right"/>
              <w:ind w:right="571"/>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1"/>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2,356,302</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2,564,746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56.2 %</w:t>
            </w: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106,743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133,100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2.9</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320,018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w:t>
            </w: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212,516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204,917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4.5</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459,205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401,175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8.8</w:t>
            </w: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302,771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260,602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5.7</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w:t>
            </w: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190,999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1.1</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0.7</w:t>
            </w: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4,870,017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8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6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1"/>
              </w:rPr>
              <w:t>September 30, 2021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2020</w:t>
            </w:r>
          </w:p>
        </w:tc>
        <w:tc>
          <w:tcPr>
            <w:tcW w:w="118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right"/>
              <w:ind w:right="572"/>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2"/>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1,181,803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1,568,505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644,007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581,003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12.7</w:t>
            </w: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13.5</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688,472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426,333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9.3</w:t>
            </w: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8.1</w:t>
            </w:r>
          </w:p>
        </w:tc>
      </w:tr>
      <w:tr>
        <w:trPr>
          <w:trHeight w:val="230"/>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1,331,885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22.0</w:t>
            </w: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4,870,017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4,565,373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Rank</w:t>
            </w:r>
          </w:p>
        </w:tc>
        <w:tc>
          <w:tcPr>
            <w:tcW w:w="31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Security</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12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1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Gain (Loss)(1)</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24"/>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1.500% 8/15/2026</w:t>
            </w: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34,839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U.S. Treasury 0.250% 5/31/2025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25,174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23,079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U.S. Treasury 2.625% 6/30/2023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20,571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0.875% 6/30/2026</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U.S. Treasury 5.250% 11/15/2028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19,351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0.125% 10/15/2023</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17,564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Fannie Mae 2.000% 8/1/2050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16,469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0.375% 1/31/2026</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Freddie Mac 2.500% 5/1/2051</w:t>
            </w: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14,956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206,737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gridSpan w:val="4"/>
          </w:tcPr>
          <w:p>
            <w:pPr>
              <w:ind w:left="20"/>
              <w:spacing w:after="0" w:line="203" w:lineRule="exact"/>
              <w:rPr>
                <w:sz w:val="20"/>
                <w:szCs w:val="20"/>
                <w:color w:val="auto"/>
              </w:rPr>
            </w:pPr>
            <w:r>
              <w:rPr>
                <w:rFonts w:ascii="Arial" w:cs="Arial" w:eastAsia="Arial" w:hAnsi="Arial"/>
                <w:sz w:val="18"/>
                <w:szCs w:val="18"/>
                <w:b w:val="1"/>
                <w:bCs w:val="1"/>
                <w:color w:val="auto"/>
              </w:rPr>
              <w:t>Percent of Investments Available for Sale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line="259"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September 30, 2021,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13"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r>
      <w:tr>
        <w:trPr>
          <w:trHeight w:val="188"/>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20" w:type="dxa"/>
            <w:vAlign w:val="bottom"/>
            <w:gridSpan w:val="3"/>
          </w:tcPr>
          <w:p>
            <w:pPr>
              <w:jc w:val="right"/>
              <w:ind w:right="3210"/>
              <w:spacing w:after="0"/>
              <w:rPr>
                <w:sz w:val="20"/>
                <w:szCs w:val="20"/>
                <w:color w:val="auto"/>
              </w:rPr>
            </w:pPr>
            <w:r>
              <w:rPr>
                <w:rFonts w:ascii="Arial" w:cs="Arial" w:eastAsia="Arial" w:hAnsi="Arial"/>
                <w:sz w:val="14"/>
                <w:szCs w:val="14"/>
                <w:b w:val="1"/>
                <w:bCs w:val="1"/>
                <w:color w:val="auto"/>
              </w:rPr>
              <w:t>Security</w:t>
            </w: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26,634</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0.250% 5/31/2025</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25,558</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2.625% 6/30/2023</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20,966</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Fannie Mae 2.000% 8/1/2050</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20,549</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20,540</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Freddie Mac 4.000% 11/1/2048</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20,371</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18,525</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0.125%</w:t>
            </w:r>
          </w:p>
        </w:tc>
        <w:tc>
          <w:tcPr>
            <w:tcW w:w="1060" w:type="dxa"/>
            <w:vAlign w:val="bottom"/>
          </w:tcPr>
          <w:p>
            <w:pPr>
              <w:ind w:left="20"/>
              <w:spacing w:after="0"/>
              <w:rPr>
                <w:sz w:val="20"/>
                <w:szCs w:val="20"/>
                <w:color w:val="auto"/>
              </w:rPr>
            </w:pPr>
            <w:r>
              <w:rPr>
                <w:rFonts w:ascii="Arial" w:cs="Arial" w:eastAsia="Arial" w:hAnsi="Arial"/>
                <w:sz w:val="18"/>
                <w:szCs w:val="18"/>
                <w:color w:val="auto"/>
              </w:rPr>
              <w:t>10/15/2023</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17,611</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 2.500% 7/1/2050</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17,063</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U.S. Treasury 2.625%</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7/15/2021</w:t>
            </w:r>
          </w:p>
        </w:tc>
        <w:tc>
          <w:tcPr>
            <w:tcW w:w="3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14,946</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202,763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26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w w:val="91"/>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include municipal debt securities for states that represent more than 10% of the total municipal bond position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North Texas Tollway System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8,868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University of Houston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Texas A&amp;M University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Love Field Airport Modernization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State of Texas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 TX Combined Utility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LCRA Transmission Services Corp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Dallas Fort Worth International Airport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Austin TX Electric Utility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Harris County-Houston Sports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Houston TX</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Lifeschool of Dallas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Dallas TX</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Houston TX Airport System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Houston Community College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Fort Worth TX Water &amp; Sewer System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Tarrant Regional Water District Water Supply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San Antonio TX Airport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Corpus Christi TX Utility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Texas Tech University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Central Texas Turnpike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Baa1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Metropolitan Transit Authority of Harris County Sales &amp; Use Tax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Frisco Independent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County of Fort Bend TX</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Houston TX Reinvestment Zone No 16</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Austin Independent School District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69,629</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40" w:type="dxa"/>
            <w:vAlign w:val="bottom"/>
            <w:gridSpan w:val="4"/>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w w:val="95"/>
              </w:rPr>
              <w:t>New York City Transitional Finance Authority Future Tax Secured Revenue   $</w:t>
            </w:r>
          </w:p>
        </w:tc>
        <w:tc>
          <w:tcPr>
            <w:tcW w:w="1360" w:type="dxa"/>
            <w:vAlign w:val="bottom"/>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The Port Authority of New York and New Jersey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rPr>
              <w:t>Metropolitan Transportation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State of New York Personal Income Tax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rPr>
              <w:t>City of New York NY</w:t>
            </w:r>
          </w:p>
        </w:tc>
        <w:tc>
          <w:tcPr>
            <w:tcW w:w="1360" w:type="dxa"/>
            <w:vAlign w:val="bottom"/>
          </w:tcPr>
          <w:p>
            <w:pPr>
              <w:jc w:val="right"/>
              <w:spacing w:after="0"/>
              <w:rPr>
                <w:sz w:val="20"/>
                <w:szCs w:val="20"/>
                <w:color w:val="auto"/>
              </w:rPr>
            </w:pPr>
            <w:r>
              <w:rPr>
                <w:rFonts w:ascii="Arial" w:cs="Arial" w:eastAsia="Arial" w:hAnsi="Arial"/>
                <w:sz w:val="18"/>
                <w:szCs w:val="18"/>
                <w:color w:val="auto"/>
              </w:rPr>
              <w:t>7,215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New York City Water &amp; Sewer System</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rPr>
              <w:t>Long Island Power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Metropolitan Transportation Authority Payroll Mobility Tax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rPr>
              <w:t>The Research Foundation of State University of New York</w:t>
            </w:r>
          </w:p>
        </w:tc>
        <w:tc>
          <w:tcPr>
            <w:tcW w:w="136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New York State Dormitory Authority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rPr>
              <w:t>TSASC, Inc.</w:t>
            </w:r>
          </w:p>
        </w:tc>
        <w:tc>
          <w:tcPr>
            <w:tcW w:w="136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City of Yonkers NY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rPr>
              <w:t>County of Nassau NY</w:t>
            </w:r>
          </w:p>
        </w:tc>
        <w:tc>
          <w:tcPr>
            <w:tcW w:w="136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4"/>
          </w:tcPr>
          <w:p>
            <w:pPr>
              <w:ind w:left="240"/>
              <w:spacing w:after="0"/>
              <w:rPr>
                <w:sz w:val="20"/>
                <w:szCs w:val="20"/>
                <w:color w:val="auto"/>
              </w:rPr>
            </w:pPr>
            <w:r>
              <w:rPr>
                <w:rFonts w:ascii="Arial" w:cs="Arial" w:eastAsia="Arial" w:hAnsi="Arial"/>
                <w:sz w:val="18"/>
                <w:szCs w:val="18"/>
                <w:color w:val="auto"/>
              </w:rPr>
              <w:t>Town of Oyster Bay NY</w:t>
            </w:r>
          </w:p>
        </w:tc>
        <w:tc>
          <w:tcPr>
            <w:tcW w:w="136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Yankee Stadium LLC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69,041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328"/>
        <w:spacing w:after="0" w:line="277"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September 30, 2021, our estimated off-balance sheet maximum exposure to loss from the Radnor Re entities was $0.6 million, representing the estimated net present value of investment earnings on the assets in the reinsurance trusts. See Note 4 to our condensed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2020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6" w:lineRule="exact"/>
        <w:rPr>
          <w:sz w:val="20"/>
          <w:szCs w:val="20"/>
          <w:color w:val="auto"/>
        </w:rPr>
      </w:pPr>
    </w:p>
    <w:p>
      <w:pPr>
        <w:jc w:val="both"/>
        <w:ind w:left="660" w:right="220" w:hanging="328"/>
        <w:spacing w:after="0" w:line="301"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7" w:lineRule="exact"/>
        <w:rPr>
          <w:rFonts w:ascii="Arial" w:cs="Arial" w:eastAsia="Arial" w:hAnsi="Arial"/>
          <w:sz w:val="16"/>
          <w:szCs w:val="16"/>
          <w:i w:val="1"/>
          <w:iCs w:val="1"/>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7" w:lineRule="exact"/>
        <w:rPr>
          <w:rFonts w:ascii="Arial" w:cs="Arial" w:eastAsia="Arial" w:hAnsi="Arial"/>
          <w:sz w:val="18"/>
          <w:szCs w:val="18"/>
          <w:i w:val="1"/>
          <w:iCs w:val="1"/>
          <w:color w:val="auto"/>
        </w:rPr>
      </w:pPr>
    </w:p>
    <w:p>
      <w:pPr>
        <w:ind w:left="660" w:right="380" w:hanging="328"/>
        <w:spacing w:after="0" w:line="342"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50" w:lineRule="exact"/>
        <w:rPr>
          <w:rFonts w:ascii="Arial" w:cs="Arial" w:eastAsia="Arial" w:hAnsi="Arial"/>
          <w:sz w:val="16"/>
          <w:szCs w:val="16"/>
          <w:i w:val="1"/>
          <w:iCs w:val="1"/>
          <w:color w:val="auto"/>
        </w:rPr>
      </w:pPr>
    </w:p>
    <w:p>
      <w:pPr>
        <w:ind w:left="660" w:right="260" w:hanging="328"/>
        <w:spacing w:after="0" w:line="342"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50" w:lineRule="exact"/>
        <w:rPr>
          <w:rFonts w:ascii="Arial" w:cs="Arial" w:eastAsia="Arial" w:hAnsi="Arial"/>
          <w:sz w:val="16"/>
          <w:szCs w:val="16"/>
          <w:i w:val="1"/>
          <w:iCs w:val="1"/>
          <w:color w:val="auto"/>
        </w:rPr>
      </w:pPr>
    </w:p>
    <w:p>
      <w:pPr>
        <w:ind w:left="660" w:right="50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At September 30, 2021, the effective duration of our investments available for sale was 3.8 years, which means that an instantaneous parallel shift (movement up or down) in the yield curve of 100 basis points would result in a change of 3.8% in fair value of our investments available for sale. Excluding short-term investments, our investments available for sale effective duration was 4.1 years, which means that an instantaneous parallel shift (movement up or down) in the yield curve of 100 basis points would result in a change of 4.1% in fair value of our investments available for sale.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2021, the end of the period covered by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in our Annual Report on Form 10-K for the year ended December 31, 2020.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below sets forth information regarding repurchases of our common shares during the three months ended September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3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3880" w:type="dxa"/>
            <w:vAlign w:val="bottom"/>
            <w:gridSpan w:val="3"/>
            <w:vMerge w:val="continue"/>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88"/>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or Programs</w:t>
            </w:r>
          </w:p>
        </w:tc>
        <w:tc>
          <w:tcPr>
            <w:tcW w:w="180" w:type="dxa"/>
            <w:vAlign w:val="bottom"/>
          </w:tcPr>
          <w:p>
            <w:pPr>
              <w:spacing w:after="0"/>
              <w:rPr>
                <w:sz w:val="16"/>
                <w:szCs w:val="16"/>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 July 31, 2021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586,169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August 1 - August 31, 2021</w:t>
            </w:r>
          </w:p>
        </w:tc>
        <w:tc>
          <w:tcPr>
            <w:tcW w:w="1780" w:type="dxa"/>
            <w:vAlign w:val="bottom"/>
          </w:tcPr>
          <w:p>
            <w:pPr>
              <w:jc w:val="right"/>
              <w:spacing w:after="0"/>
              <w:rPr>
                <w:sz w:val="20"/>
                <w:szCs w:val="20"/>
                <w:color w:val="auto"/>
              </w:rPr>
            </w:pPr>
            <w:r>
              <w:rPr>
                <w:rFonts w:ascii="Arial" w:cs="Arial" w:eastAsia="Arial" w:hAnsi="Arial"/>
                <w:sz w:val="18"/>
                <w:szCs w:val="18"/>
                <w:color w:val="auto"/>
              </w:rPr>
              <w:t>472,369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472,369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September 1 - September 30,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506,819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1,565,357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160,753</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40" w:hanging="328"/>
        <w:spacing w:after="0" w:line="301" w:lineRule="auto"/>
        <w:tabs>
          <w:tab w:leader="none" w:pos="65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September 30, 2021, the Company was authorized to purchase up to $250 million of its common shares, announced in May 2021, of which $89.2 million had been utilized. The remaining $160.8 million in the table represents the amount available to repurchase shares under the share repurchase plan as of September 30, 2021. In October 2021, the Company repurchased an additional 416 thousand shares at a total cost of $19.5 million. After the October repurchases, the amount remaining under the share repurchase plan was $141.3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440" w:type="dxa"/>
            <w:vAlign w:val="bottom"/>
            <w:gridSpan w:val="2"/>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994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5" w:lineRule="exact"/>
              <w:rPr>
                <w:rFonts w:ascii="Arial" w:cs="Arial" w:eastAsia="Arial" w:hAnsi="Arial"/>
                <w:sz w:val="18"/>
                <w:szCs w:val="18"/>
                <w:color w:val="0000FF"/>
              </w:rPr>
            </w:pPr>
            <w:hyperlink w:anchor="page5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500" w:type="dxa"/>
            <w:vAlign w:val="bottom"/>
          </w:tcPr>
          <w:p>
            <w:pPr>
              <w:spacing w:after="0"/>
              <w:rPr>
                <w:sz w:val="16"/>
                <w:szCs w:val="16"/>
                <w:color w:val="auto"/>
              </w:rPr>
            </w:pPr>
          </w:p>
        </w:tc>
        <w:tc>
          <w:tcPr>
            <w:tcW w:w="9940" w:type="dxa"/>
            <w:vAlign w:val="bottom"/>
          </w:tcPr>
          <w:p>
            <w:pPr>
              <w:ind w:left="440"/>
              <w:spacing w:after="0" w:line="185" w:lineRule="exact"/>
              <w:rPr>
                <w:sz w:val="20"/>
                <w:szCs w:val="20"/>
                <w:color w:val="auto"/>
              </w:rPr>
            </w:pPr>
            <w:r>
              <w:rPr>
                <w:rFonts w:ascii="Arial" w:cs="Arial" w:eastAsia="Arial" w:hAnsi="Arial"/>
                <w:sz w:val="18"/>
                <w:szCs w:val="18"/>
                <w:color w:val="auto"/>
              </w:rPr>
              <w:t>Letter Agreement between Essent Guaranty, Inc. and Jeff R. Cashmer dated September 13,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bottom w:val="single" w:sz="8" w:color="0000FF"/>
            </w:tcBorders>
          </w:tcPr>
          <w:p>
            <w:pPr>
              <w:spacing w:after="0"/>
              <w:rPr>
                <w:rFonts w:ascii="Arial" w:cs="Arial" w:eastAsia="Arial" w:hAnsi="Arial"/>
                <w:sz w:val="18"/>
                <w:szCs w:val="18"/>
                <w:color w:val="0000FF"/>
                <w:w w:val="85"/>
              </w:rPr>
            </w:pPr>
            <w:hyperlink w:anchor="page5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5" w:lineRule="exact"/>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340" w:type="dxa"/>
            <w:vAlign w:val="bottom"/>
            <w:gridSpan w:val="2"/>
          </w:tcPr>
          <w:p>
            <w:pPr>
              <w:ind w:left="20"/>
              <w:spacing w:after="0" w:line="190" w:lineRule="exact"/>
              <w:rPr>
                <w:rFonts w:ascii="Arial" w:cs="Arial" w:eastAsia="Arial" w:hAnsi="Arial"/>
                <w:sz w:val="18"/>
                <w:szCs w:val="18"/>
                <w:color w:val="0000FF"/>
                <w:w w:val="85"/>
              </w:rPr>
            </w:pPr>
            <w:hyperlink w:anchor="page5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0" w:lineRule="exact"/>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5" w:lineRule="exact"/>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340" w:type="dxa"/>
            <w:vAlign w:val="bottom"/>
            <w:gridSpan w:val="2"/>
          </w:tcPr>
          <w:p>
            <w:pPr>
              <w:ind w:left="20"/>
              <w:spacing w:after="0" w:line="190" w:lineRule="exact"/>
              <w:rPr>
                <w:rFonts w:ascii="Arial" w:cs="Arial" w:eastAsia="Arial" w:hAnsi="Arial"/>
                <w:sz w:val="18"/>
                <w:szCs w:val="18"/>
                <w:color w:val="0000FF"/>
                <w:w w:val="85"/>
              </w:rPr>
            </w:pPr>
            <w:hyperlink w:anchor="page5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0"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bl>
    <w:p>
      <w:pPr>
        <w:ind w:left="1560" w:hanging="1534"/>
        <w:spacing w:after="0" w:line="212" w:lineRule="auto"/>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information from this Quarterly Report on Form 10-Q for the quarter ended September 30, 2021,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9683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0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Mark A. Casale</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 Chairman</w:t>
      </w:r>
    </w:p>
    <w:p>
      <w:pPr>
        <w:ind w:left="53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Lawrence E. McAlee</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and Chief Financial Officer</w:t>
      </w:r>
    </w:p>
    <w:p>
      <w:pPr>
        <w:ind w:left="53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Vice President and Chief Accounting Officer</w:t>
      </w:r>
    </w:p>
    <w:p>
      <w:pPr>
        <w:ind w:left="53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125"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GUARANTY,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Personal and Confidential</w:t>
      </w:r>
    </w:p>
    <w:p>
      <w:pPr>
        <w:spacing w:after="0" w:line="219" w:lineRule="auto"/>
        <w:rPr>
          <w:sz w:val="20"/>
          <w:szCs w:val="20"/>
          <w:color w:val="auto"/>
        </w:rPr>
      </w:pPr>
      <w:r>
        <w:rPr>
          <w:rFonts w:ascii="Arial" w:cs="Arial" w:eastAsia="Arial" w:hAnsi="Arial"/>
          <w:sz w:val="18"/>
          <w:szCs w:val="18"/>
          <w:u w:val="single" w:color="auto"/>
          <w:color w:val="auto"/>
        </w:rPr>
        <w:t>BY CERTIFIED MAIL</w:t>
      </w:r>
    </w:p>
    <w:p>
      <w:pPr>
        <w:spacing w:after="0" w:line="219" w:lineRule="auto"/>
        <w:rPr>
          <w:sz w:val="20"/>
          <w:szCs w:val="20"/>
          <w:color w:val="auto"/>
        </w:rPr>
      </w:pPr>
      <w:r>
        <w:rPr>
          <w:rFonts w:ascii="Arial" w:cs="Arial" w:eastAsia="Arial" w:hAnsi="Arial"/>
          <w:sz w:val="18"/>
          <w:szCs w:val="18"/>
          <w:color w:val="auto"/>
        </w:rPr>
        <w:t>Jeff Cashmer</w:t>
      </w:r>
    </w:p>
    <w:p>
      <w:pPr>
        <w:spacing w:after="0"/>
        <w:rPr>
          <w:sz w:val="20"/>
          <w:szCs w:val="20"/>
          <w:color w:val="auto"/>
        </w:rPr>
      </w:pPr>
      <w:r>
        <w:rPr>
          <w:rFonts w:ascii="Arial" w:cs="Arial" w:eastAsia="Arial" w:hAnsi="Arial"/>
          <w:sz w:val="18"/>
          <w:szCs w:val="18"/>
          <w:color w:val="auto"/>
        </w:rPr>
        <w:t>[ADDRESS OMITTED]</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Notice of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This letter confirms our conversation and, as required by the terms of your employment agreement, dated September 26, 2013 (the “</w:t>
      </w:r>
      <w:r>
        <w:rPr>
          <w:rFonts w:ascii="Arial" w:cs="Arial" w:eastAsia="Arial" w:hAnsi="Arial"/>
          <w:sz w:val="17"/>
          <w:szCs w:val="17"/>
          <w:u w:val="single" w:color="auto"/>
          <w:color w:val="auto"/>
        </w:rPr>
        <w:t>Employment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constitutes formal written notice that your employment with Essent Guaranty, Inc. (together with Essent Group Ltd. and its subsidiaries, the “</w:t>
      </w:r>
      <w:r>
        <w:rPr>
          <w:rFonts w:ascii="Arial" w:cs="Arial" w:eastAsia="Arial" w:hAnsi="Arial"/>
          <w:sz w:val="17"/>
          <w:szCs w:val="17"/>
          <w:u w:val="single" w:color="auto"/>
          <w:color w:val="auto"/>
        </w:rPr>
        <w:t>Company</w:t>
      </w:r>
      <w:r>
        <w:rPr>
          <w:rFonts w:ascii="Arial" w:cs="Arial" w:eastAsia="Arial" w:hAnsi="Arial"/>
          <w:sz w:val="17"/>
          <w:szCs w:val="17"/>
          <w:color w:val="auto"/>
        </w:rPr>
        <w:t>”) will cease as of October 8, 2021 (the “</w:t>
      </w:r>
      <w:r>
        <w:rPr>
          <w:rFonts w:ascii="Arial" w:cs="Arial" w:eastAsia="Arial" w:hAnsi="Arial"/>
          <w:sz w:val="17"/>
          <w:szCs w:val="17"/>
          <w:u w:val="single" w:color="auto"/>
          <w:color w:val="auto"/>
        </w:rPr>
        <w:t>Separation Date</w:t>
      </w:r>
      <w:r>
        <w:rPr>
          <w:rFonts w:ascii="Arial" w:cs="Arial" w:eastAsia="Arial" w:hAnsi="Arial"/>
          <w:sz w:val="17"/>
          <w:szCs w:val="17"/>
          <w:color w:val="auto"/>
        </w:rPr>
        <w:t>”). Following the Separation Date, you agree that you may not represent yourself as being an employee, officer, director or representative of the Company for any purpose. In accordance with Company policy, we ask that upon the Separation Date you immediately return all “confidential information” and other Company equipment or property to the Company.</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You will have all of the rights upon a termination without “Cause,” as set forth in Section 8(d) of your Employment Agreement with respect to the Accrued Obligations and Severance Benefits (each within the meaning of your Employment Agreement). The Accrued Obligations and Severance Benefits owed to you are summarized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letter, and are payable subject to your execution and non-revocation of the Release of Claims substantially in the form attached to your Employment Agreement and enclosed with this letter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Release</w:t>
      </w:r>
      <w:r>
        <w:rPr>
          <w:rFonts w:ascii="Arial" w:cs="Arial" w:eastAsia="Arial" w:hAnsi="Arial"/>
          <w:sz w:val="17"/>
          <w:szCs w:val="17"/>
          <w:color w:val="auto"/>
        </w:rPr>
        <w:t>”). The Release must be signed within sixty (60) days after the Separation Date, can be signed no earlier than the Separation Date, and if not revoked, will become effective on the eighth (8th) day after it is signed (and the Company’s obligations to provide the Severance Benefits will not become effective if you revoke the Release). Any such revocation must be delivered in writing to the Company to my attention, during such period to be effective.</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We would like to take this opportunity to remind you of your continuing obligations under the Confidentiality, Non-Interference, and Invention Assignment Agreement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your Employment Agreement (the “</w:t>
      </w:r>
      <w:r>
        <w:rPr>
          <w:rFonts w:ascii="Arial" w:cs="Arial" w:eastAsia="Arial" w:hAnsi="Arial"/>
          <w:sz w:val="16"/>
          <w:szCs w:val="16"/>
          <w:u w:val="single" w:color="auto"/>
          <w:color w:val="auto"/>
        </w:rPr>
        <w:t>Non-Interference Agreement</w:t>
      </w:r>
      <w:r>
        <w:rPr>
          <w:rFonts w:ascii="Arial" w:cs="Arial" w:eastAsia="Arial" w:hAnsi="Arial"/>
          <w:sz w:val="16"/>
          <w:szCs w:val="16"/>
          <w:color w:val="auto"/>
        </w:rPr>
        <w:t>”). As provided by Section 8(d)(viii) of your Employment Agreement, your right to the Severance Benefits is conditioned on your compliance with the terms of the Non-Interference Agreement.</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Section 8(a) of the Employment Agreement, you hereby resign from all positions you held with the Company and the entities affiliated with the Company upon any termination of your employment.</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The Separation Date is the termination date of your employment for purposes of participation in and coverage under all benefit plans and programs sponsored by or through the Company and its subsidiaries. You acknowledge and agree that, other than the payments and benefits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you are not owed any additional payments or benefits from the Company and its affiliates. All payments and benefits under this letter and your Employment Agreement will be subject to applicable taxes and withholdings.</w:t>
      </w:r>
    </w:p>
    <w:p>
      <w:pPr>
        <w:sectPr>
          <w:pgSz w:w="11900" w:h="16838" w:orient="portrait"/>
          <w:cols w:equalWidth="0" w:num="1">
            <w:col w:w="11240"/>
          </w:cols>
          <w:pgMar w:left="320" w:top="121" w:right="339" w:bottom="1440" w:gutter="0" w:footer="0" w:header="0"/>
        </w:sectPr>
      </w:pPr>
    </w:p>
    <w:bookmarkStart w:id="55" w:name="page56"/>
    <w:bookmarkEnd w:id="55"/>
    <w:p>
      <w:pPr>
        <w:jc w:val="both"/>
        <w:spacing w:after="0" w:line="231" w:lineRule="auto"/>
        <w:rPr>
          <w:sz w:val="20"/>
          <w:szCs w:val="20"/>
          <w:color w:val="auto"/>
        </w:rPr>
      </w:pPr>
      <w:r>
        <w:rPr>
          <w:rFonts w:ascii="Arial" w:cs="Arial" w:eastAsia="Arial" w:hAnsi="Arial"/>
          <w:sz w:val="18"/>
          <w:szCs w:val="18"/>
          <w:color w:val="auto"/>
        </w:rPr>
        <w:t>The Company agrees that within a reasonable period of time of the Board of Directors approving the actual level of achievement with respect to Company performance-based compensation (2021 Annual Bonus and Performance Vesting Restricted Stock Awards that survive your termination of employment), it shall provide you with a written notice with the applicable levels of achievement along with your corresponding entitlements related to such performance. You agree to hold this information confidential.</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Until the Company announces your departure, we expect you to keep the fact that your employment has ended and the content of this letter confidential and to not disclose this to the Company’s management team or to any other person or entity, except to your attorneys and/or immediate family, provided that they agree to keep this fully confidential.</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Please feel free to contact me if you have any additional questions about this decision. We have valued having you as a member of our team, and we thank you for your service. We wish you the best of luck in all of your future endeavors.</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ESSENT GUARANTY, INC.</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A. Casale</w:t>
      </w:r>
    </w:p>
    <w:p>
      <w:pPr>
        <w:ind w:left="3900"/>
        <w:spacing w:after="0" w:line="219" w:lineRule="auto"/>
        <w:rPr>
          <w:sz w:val="20"/>
          <w:szCs w:val="20"/>
          <w:color w:val="auto"/>
        </w:rPr>
      </w:pPr>
      <w:r>
        <w:rPr>
          <w:rFonts w:ascii="Arial" w:cs="Arial" w:eastAsia="Arial" w:hAnsi="Arial"/>
          <w:sz w:val="18"/>
          <w:szCs w:val="18"/>
          <w:color w:val="auto"/>
        </w:rPr>
        <w:t>Name: Mark A. Casale</w:t>
      </w:r>
    </w:p>
    <w:p>
      <w:pPr>
        <w:ind w:left="39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Enclosure: Schedule of Severance Benefits</w:t>
      </w:r>
    </w:p>
    <w:p>
      <w:pPr>
        <w:spacing w:after="0"/>
        <w:rPr>
          <w:sz w:val="20"/>
          <w:szCs w:val="20"/>
          <w:color w:val="auto"/>
        </w:rPr>
      </w:pPr>
      <w:r>
        <w:rPr>
          <w:rFonts w:ascii="Arial" w:cs="Arial" w:eastAsia="Arial" w:hAnsi="Arial"/>
          <w:sz w:val="18"/>
          <w:szCs w:val="18"/>
          <w:color w:val="auto"/>
        </w:rPr>
        <w:t>Release of Claims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 R. Cashmer</w:t>
      </w:r>
    </w:p>
    <w:p>
      <w:pPr>
        <w:spacing w:after="0" w:line="219" w:lineRule="auto"/>
        <w:rPr>
          <w:sz w:val="20"/>
          <w:szCs w:val="20"/>
          <w:color w:val="auto"/>
        </w:rPr>
      </w:pPr>
      <w:r>
        <w:rPr>
          <w:rFonts w:ascii="Arial" w:cs="Arial" w:eastAsia="Arial" w:hAnsi="Arial"/>
          <w:sz w:val="18"/>
          <w:szCs w:val="18"/>
          <w:color w:val="auto"/>
        </w:rPr>
        <w:t>Name: Jeff R. Cashmer</w:t>
      </w:r>
    </w:p>
    <w:p>
      <w:pPr>
        <w:spacing w:after="0"/>
        <w:rPr>
          <w:sz w:val="20"/>
          <w:szCs w:val="20"/>
          <w:color w:val="auto"/>
        </w:rPr>
      </w:pPr>
      <w:r>
        <w:rPr>
          <w:rFonts w:ascii="Arial" w:cs="Arial" w:eastAsia="Arial" w:hAnsi="Arial"/>
          <w:sz w:val="18"/>
          <w:szCs w:val="18"/>
          <w:color w:val="auto"/>
        </w:rPr>
        <w:t>Date: 9/13/2021</w:t>
      </w:r>
    </w:p>
    <w:p>
      <w:pPr>
        <w:sectPr>
          <w:pgSz w:w="11900" w:h="16838" w:orient="portrait"/>
          <w:cols w:equalWidth="0" w:num="1">
            <w:col w:w="11240"/>
          </w:cols>
          <w:pgMar w:left="320" w:top="140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960" w:firstLine="8"/>
        <w:spacing w:after="0" w:line="277"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60" w:firstLine="8"/>
        <w:spacing w:after="0" w:line="527"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5, 2021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0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2021-11-08T05:15:22Z</dcterms:created>
  <dcterms:modified xsi:type="dcterms:W3CDTF">2021-11-08T05:15:22Z</dcterms:modified>
</cp:coreProperties>
</file>