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163830</wp:posOffset>
            </wp:positionV>
            <wp:extent cx="31216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323215</wp:posOffset>
            </wp:positionV>
            <wp:extent cx="31216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80"/>
        <w:spacing w:after="0"/>
        <w:rPr>
          <w:sz w:val="20"/>
          <w:szCs w:val="20"/>
          <w:color w:val="auto"/>
        </w:rPr>
      </w:pPr>
      <w:r>
        <w:rPr>
          <w:rFonts w:ascii="Arial" w:cs="Arial" w:eastAsia="Arial" w:hAnsi="Arial"/>
          <w:sz w:val="16"/>
          <w:szCs w:val="16"/>
          <w:b w:val="1"/>
          <w:bCs w:val="1"/>
          <w:color w:val="auto"/>
        </w:rPr>
        <w:t>(Mark One)</w:t>
      </w:r>
    </w:p>
    <w:p>
      <w:pPr>
        <w:spacing w:after="0" w:line="118" w:lineRule="exact"/>
        <w:rPr>
          <w:sz w:val="24"/>
          <w:szCs w:val="24"/>
          <w:color w:val="auto"/>
        </w:rPr>
      </w:pPr>
    </w:p>
    <w:p>
      <w:pPr>
        <w:ind w:left="800" w:hanging="468"/>
        <w:spacing w:after="0"/>
        <w:tabs>
          <w:tab w:leader="none" w:pos="80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6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period ended March 31, 2019</w:t>
      </w:r>
    </w:p>
    <w:p>
      <w:pPr>
        <w:spacing w:after="0" w:line="132" w:lineRule="exact"/>
        <w:rPr>
          <w:sz w:val="24"/>
          <w:szCs w:val="24"/>
          <w:color w:val="auto"/>
        </w:rPr>
      </w:pPr>
    </w:p>
    <w:p>
      <w:pPr>
        <w:ind w:left="740" w:hanging="408"/>
        <w:spacing w:after="0"/>
        <w:tabs>
          <w:tab w:leader="none" w:pos="740" w:val="left"/>
        </w:tabs>
        <w:numPr>
          <w:ilvl w:val="0"/>
          <w:numId w:val="2"/>
        </w:numPr>
        <w:rPr>
          <w:rFonts w:ascii="Arial" w:cs="Arial" w:eastAsia="Arial" w:hAnsi="Arial"/>
          <w:sz w:val="21"/>
          <w:szCs w:val="21"/>
          <w:b w:val="1"/>
          <w:bCs w:val="1"/>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420"/>
          </w:cols>
          <w:pgMar w:left="240" w:top="233" w:right="239" w:bottom="1440" w:gutter="0" w:footer="0" w:header="0"/>
        </w:sectPr>
      </w:pPr>
    </w:p>
    <w:p>
      <w:pPr>
        <w:spacing w:after="0" w:line="38"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223" w:lineRule="exact"/>
        <w:rPr>
          <w:sz w:val="24"/>
          <w:szCs w:val="24"/>
          <w:color w:val="auto"/>
        </w:rPr>
      </w:pPr>
    </w:p>
    <w:p>
      <w:pPr>
        <w:sectPr>
          <w:pgSz w:w="11900" w:h="16838" w:orient="portrait"/>
          <w:cols w:equalWidth="0" w:num="2">
            <w:col w:w="6140" w:space="580"/>
            <w:col w:w="4700"/>
          </w:cols>
          <w:pgMar w:left="240" w:top="233" w:right="239" w:bottom="1440" w:gutter="0" w:footer="0" w:header="0"/>
          <w:type w:val="continuous"/>
        </w:sectPr>
      </w:pP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Commission file number 001-36157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189865</wp:posOffset>
            </wp:positionV>
            <wp:extent cx="31216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p>
      <w:pPr>
        <w:spacing w:after="0" w:line="200" w:lineRule="exact"/>
        <w:rPr>
          <w:sz w:val="24"/>
          <w:szCs w:val="24"/>
          <w:color w:val="auto"/>
        </w:rPr>
      </w:pPr>
    </w:p>
    <w:p>
      <w:pPr>
        <w:spacing w:after="0" w:line="323" w:lineRule="exact"/>
        <w:rPr>
          <w:sz w:val="24"/>
          <w:szCs w:val="24"/>
          <w:color w:val="auto"/>
        </w:rPr>
      </w:pPr>
    </w:p>
    <w:tbl>
      <w:tblPr>
        <w:tblLayout w:type="fixed"/>
        <w:tblInd w:w="1780" w:type="dxa"/>
        <w:tblCellMar>
          <w:top w:w="0" w:type="dxa"/>
          <w:left w:w="0" w:type="dxa"/>
          <w:bottom w:w="0" w:type="dxa"/>
          <w:right w:w="0" w:type="dxa"/>
        </w:tblCellMar>
      </w:tblPr>
      <w:tr>
        <w:trPr>
          <w:trHeight w:val="373"/>
        </w:trPr>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580" w:type="dxa"/>
            <w:vAlign w:val="bottom"/>
            <w:gridSpan w:val="2"/>
          </w:tcPr>
          <w:p>
            <w:pPr>
              <w:jc w:val="center"/>
              <w:ind w:right="1860"/>
              <w:spacing w:after="0"/>
              <w:rPr>
                <w:sz w:val="20"/>
                <w:szCs w:val="20"/>
                <w:color w:val="auto"/>
              </w:rPr>
            </w:pPr>
            <w:r>
              <w:rPr>
                <w:rFonts w:ascii="Arial" w:cs="Arial" w:eastAsia="Arial" w:hAnsi="Arial"/>
                <w:sz w:val="29"/>
                <w:szCs w:val="29"/>
                <w:b w:val="1"/>
                <w:bCs w:val="1"/>
                <w:color w:val="auto"/>
                <w:w w:val="96"/>
              </w:rPr>
              <w:t>ESSENT GROUP LTD.</w:t>
            </w:r>
          </w:p>
        </w:tc>
      </w:tr>
      <w:tr>
        <w:trPr>
          <w:trHeight w:val="206"/>
        </w:trPr>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80" w:type="dxa"/>
            <w:vAlign w:val="bottom"/>
            <w:gridSpan w:val="2"/>
          </w:tcPr>
          <w:p>
            <w:pPr>
              <w:jc w:val="center"/>
              <w:ind w:right="1880"/>
              <w:spacing w:after="0"/>
              <w:rPr>
                <w:sz w:val="20"/>
                <w:szCs w:val="20"/>
                <w:color w:val="auto"/>
              </w:rPr>
            </w:pPr>
            <w:r>
              <w:rPr>
                <w:rFonts w:ascii="Arial" w:cs="Arial" w:eastAsia="Arial" w:hAnsi="Arial"/>
                <w:sz w:val="16"/>
                <w:szCs w:val="16"/>
                <w:color w:val="auto"/>
                <w:w w:val="91"/>
              </w:rPr>
              <w:t>(Exact name of registrant as specified in its charter)</w:t>
            </w:r>
          </w:p>
        </w:tc>
      </w:tr>
      <w:tr>
        <w:trPr>
          <w:trHeight w:val="249"/>
        </w:trPr>
        <w:tc>
          <w:tcPr>
            <w:tcW w:w="148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320" w:type="dxa"/>
            <w:vAlign w:val="bottom"/>
            <w:tcBorders>
              <w:bottom w:val="single" w:sz="8" w:color="auto"/>
            </w:tcBorders>
          </w:tcPr>
          <w:p>
            <w:pPr>
              <w:spacing w:after="0"/>
              <w:rPr>
                <w:sz w:val="21"/>
                <w:szCs w:val="21"/>
                <w:color w:val="auto"/>
              </w:rPr>
            </w:pPr>
          </w:p>
        </w:tc>
        <w:tc>
          <w:tcPr>
            <w:tcW w:w="1260" w:type="dxa"/>
            <w:vAlign w:val="bottom"/>
          </w:tcPr>
          <w:p>
            <w:pPr>
              <w:spacing w:after="0"/>
              <w:rPr>
                <w:sz w:val="21"/>
                <w:szCs w:val="21"/>
                <w:color w:val="auto"/>
              </w:rPr>
            </w:pPr>
          </w:p>
        </w:tc>
      </w:tr>
      <w:tr>
        <w:trPr>
          <w:trHeight w:val="568"/>
        </w:trPr>
        <w:tc>
          <w:tcPr>
            <w:tcW w:w="20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Bermuda</w:t>
            </w:r>
          </w:p>
        </w:tc>
        <w:tc>
          <w:tcPr>
            <w:tcW w:w="5580" w:type="dxa"/>
            <w:vAlign w:val="bottom"/>
            <w:gridSpan w:val="2"/>
          </w:tcPr>
          <w:p>
            <w:pPr>
              <w:jc w:val="center"/>
              <w:ind w:left="3973"/>
              <w:spacing w:after="0"/>
              <w:rPr>
                <w:sz w:val="20"/>
                <w:szCs w:val="20"/>
                <w:color w:val="auto"/>
              </w:rPr>
            </w:pPr>
            <w:r>
              <w:rPr>
                <w:rFonts w:ascii="Arial" w:cs="Arial" w:eastAsia="Arial" w:hAnsi="Arial"/>
                <w:sz w:val="16"/>
                <w:szCs w:val="16"/>
                <w:b w:val="1"/>
                <w:bCs w:val="1"/>
                <w:color w:val="auto"/>
                <w:w w:val="92"/>
              </w:rPr>
              <w:t>Not Applicable</w:t>
            </w:r>
          </w:p>
        </w:tc>
      </w:tr>
      <w:tr>
        <w:trPr>
          <w:trHeight w:val="253"/>
        </w:trPr>
        <w:tc>
          <w:tcPr>
            <w:tcW w:w="208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(State or other jurisdiction of</w:t>
            </w:r>
          </w:p>
        </w:tc>
        <w:tc>
          <w:tcPr>
            <w:tcW w:w="5580" w:type="dxa"/>
            <w:vAlign w:val="bottom"/>
            <w:gridSpan w:val="2"/>
          </w:tcPr>
          <w:p>
            <w:pPr>
              <w:jc w:val="center"/>
              <w:ind w:left="3993"/>
              <w:spacing w:after="0"/>
              <w:rPr>
                <w:sz w:val="20"/>
                <w:szCs w:val="20"/>
                <w:color w:val="auto"/>
              </w:rPr>
            </w:pPr>
            <w:r>
              <w:rPr>
                <w:rFonts w:ascii="Arial" w:cs="Arial" w:eastAsia="Arial" w:hAnsi="Arial"/>
                <w:sz w:val="16"/>
                <w:szCs w:val="16"/>
                <w:color w:val="auto"/>
                <w:w w:val="93"/>
              </w:rPr>
              <w:t>(I.R.S. Employer</w:t>
            </w:r>
          </w:p>
        </w:tc>
      </w:tr>
      <w:tr>
        <w:trPr>
          <w:trHeight w:val="206"/>
        </w:trPr>
        <w:tc>
          <w:tcPr>
            <w:tcW w:w="208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incorporation or organization)</w:t>
            </w:r>
          </w:p>
        </w:tc>
        <w:tc>
          <w:tcPr>
            <w:tcW w:w="5580" w:type="dxa"/>
            <w:vAlign w:val="bottom"/>
            <w:gridSpan w:val="2"/>
          </w:tcPr>
          <w:p>
            <w:pPr>
              <w:jc w:val="center"/>
              <w:ind w:left="3993"/>
              <w:spacing w:after="0"/>
              <w:rPr>
                <w:sz w:val="20"/>
                <w:szCs w:val="20"/>
                <w:color w:val="auto"/>
              </w:rPr>
            </w:pPr>
            <w:r>
              <w:rPr>
                <w:rFonts w:ascii="Arial" w:cs="Arial" w:eastAsia="Arial" w:hAnsi="Arial"/>
                <w:sz w:val="16"/>
                <w:szCs w:val="16"/>
                <w:color w:val="auto"/>
                <w:w w:val="95"/>
              </w:rPr>
              <w:t>Identification Number)</w:t>
            </w:r>
          </w:p>
        </w:tc>
      </w:tr>
      <w:tr>
        <w:trPr>
          <w:trHeight w:val="249"/>
        </w:trPr>
        <w:tc>
          <w:tcPr>
            <w:tcW w:w="1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580" w:type="dxa"/>
            <w:vAlign w:val="bottom"/>
            <w:gridSpan w:val="2"/>
          </w:tcPr>
          <w:p>
            <w:pPr>
              <w:jc w:val="center"/>
              <w:ind w:right="1880"/>
              <w:spacing w:after="0"/>
              <w:rPr>
                <w:sz w:val="20"/>
                <w:szCs w:val="20"/>
                <w:color w:val="auto"/>
              </w:rPr>
            </w:pPr>
            <w:r>
              <w:rPr>
                <w:rFonts w:ascii="Arial" w:cs="Arial" w:eastAsia="Arial" w:hAnsi="Arial"/>
                <w:sz w:val="16"/>
                <w:szCs w:val="16"/>
                <w:b w:val="1"/>
                <w:bCs w:val="1"/>
                <w:color w:val="auto"/>
                <w:w w:val="92"/>
              </w:rPr>
              <w:t>Clarendon House</w:t>
            </w:r>
          </w:p>
        </w:tc>
      </w:tr>
      <w:tr>
        <w:trPr>
          <w:trHeight w:val="203"/>
        </w:trPr>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80" w:type="dxa"/>
            <w:vAlign w:val="bottom"/>
            <w:gridSpan w:val="2"/>
          </w:tcPr>
          <w:p>
            <w:pPr>
              <w:jc w:val="center"/>
              <w:ind w:right="1880"/>
              <w:spacing w:after="0"/>
              <w:rPr>
                <w:sz w:val="20"/>
                <w:szCs w:val="20"/>
                <w:color w:val="auto"/>
              </w:rPr>
            </w:pPr>
            <w:r>
              <w:rPr>
                <w:rFonts w:ascii="Arial" w:cs="Arial" w:eastAsia="Arial" w:hAnsi="Arial"/>
                <w:sz w:val="16"/>
                <w:szCs w:val="16"/>
                <w:b w:val="1"/>
                <w:bCs w:val="1"/>
                <w:color w:val="auto"/>
                <w:w w:val="92"/>
              </w:rPr>
              <w:t>2 Church Street</w:t>
            </w:r>
          </w:p>
        </w:tc>
      </w:tr>
      <w:tr>
        <w:trPr>
          <w:trHeight w:val="207"/>
        </w:trPr>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80" w:type="dxa"/>
            <w:vAlign w:val="bottom"/>
            <w:gridSpan w:val="2"/>
          </w:tcPr>
          <w:p>
            <w:pPr>
              <w:jc w:val="center"/>
              <w:ind w:right="1880"/>
              <w:spacing w:after="0"/>
              <w:rPr>
                <w:sz w:val="20"/>
                <w:szCs w:val="20"/>
                <w:color w:val="auto"/>
              </w:rPr>
            </w:pPr>
            <w:r>
              <w:rPr>
                <w:rFonts w:ascii="Arial" w:cs="Arial" w:eastAsia="Arial" w:hAnsi="Arial"/>
                <w:sz w:val="16"/>
                <w:szCs w:val="16"/>
                <w:b w:val="1"/>
                <w:bCs w:val="1"/>
                <w:color w:val="auto"/>
                <w:w w:val="95"/>
              </w:rPr>
              <w:t>Hamilton HM11, Bermuda</w:t>
            </w:r>
          </w:p>
        </w:tc>
      </w:tr>
      <w:tr>
        <w:trPr>
          <w:trHeight w:val="206"/>
        </w:trPr>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80" w:type="dxa"/>
            <w:vAlign w:val="bottom"/>
            <w:gridSpan w:val="2"/>
          </w:tcPr>
          <w:p>
            <w:pPr>
              <w:jc w:val="center"/>
              <w:ind w:right="1880"/>
              <w:spacing w:after="0"/>
              <w:rPr>
                <w:sz w:val="20"/>
                <w:szCs w:val="20"/>
                <w:color w:val="auto"/>
              </w:rPr>
            </w:pPr>
            <w:r>
              <w:rPr>
                <w:rFonts w:ascii="Arial" w:cs="Arial" w:eastAsia="Arial" w:hAnsi="Arial"/>
                <w:sz w:val="16"/>
                <w:szCs w:val="16"/>
                <w:color w:val="auto"/>
                <w:w w:val="92"/>
              </w:rPr>
              <w:t>(Address of principal executive offices and zip code)</w:t>
            </w:r>
          </w:p>
        </w:tc>
      </w:tr>
      <w:tr>
        <w:trPr>
          <w:trHeight w:val="401"/>
        </w:trPr>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320" w:type="dxa"/>
            <w:vAlign w:val="bottom"/>
          </w:tcPr>
          <w:p>
            <w:pPr>
              <w:jc w:val="center"/>
              <w:ind w:right="533"/>
              <w:spacing w:after="0"/>
              <w:rPr>
                <w:sz w:val="20"/>
                <w:szCs w:val="20"/>
                <w:color w:val="auto"/>
              </w:rPr>
            </w:pPr>
            <w:r>
              <w:rPr>
                <w:rFonts w:ascii="Arial" w:cs="Arial" w:eastAsia="Arial" w:hAnsi="Arial"/>
                <w:sz w:val="16"/>
                <w:szCs w:val="16"/>
                <w:b w:val="1"/>
                <w:bCs w:val="1"/>
                <w:color w:val="auto"/>
                <w:w w:val="93"/>
              </w:rPr>
              <w:t>(441) 297-9901</w:t>
            </w:r>
          </w:p>
        </w:tc>
        <w:tc>
          <w:tcPr>
            <w:tcW w:w="1260" w:type="dxa"/>
            <w:vAlign w:val="bottom"/>
          </w:tcPr>
          <w:p>
            <w:pPr>
              <w:spacing w:after="0"/>
              <w:rPr>
                <w:sz w:val="24"/>
                <w:szCs w:val="24"/>
                <w:color w:val="auto"/>
              </w:rPr>
            </w:pPr>
          </w:p>
        </w:tc>
      </w:tr>
      <w:tr>
        <w:trPr>
          <w:trHeight w:val="206"/>
        </w:trPr>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80" w:type="dxa"/>
            <w:vAlign w:val="bottom"/>
            <w:gridSpan w:val="2"/>
          </w:tcPr>
          <w:p>
            <w:pPr>
              <w:jc w:val="center"/>
              <w:ind w:right="1860"/>
              <w:spacing w:after="0"/>
              <w:rPr>
                <w:sz w:val="20"/>
                <w:szCs w:val="20"/>
                <w:color w:val="auto"/>
              </w:rPr>
            </w:pPr>
            <w:r>
              <w:rPr>
                <w:rFonts w:ascii="Arial" w:cs="Arial" w:eastAsia="Arial" w:hAnsi="Arial"/>
                <w:sz w:val="16"/>
                <w:szCs w:val="16"/>
                <w:color w:val="auto"/>
                <w:w w:val="91"/>
              </w:rPr>
              <w:t>(Registrant’s telephone number, including area code)</w:t>
            </w:r>
          </w:p>
        </w:tc>
      </w:tr>
    </w:tbl>
    <w:p>
      <w:pPr>
        <w:spacing w:after="0" w:line="235" w:lineRule="exact"/>
        <w:rPr>
          <w:sz w:val="24"/>
          <w:szCs w:val="24"/>
          <w:color w:val="auto"/>
        </w:rPr>
      </w:pPr>
    </w:p>
    <w:p>
      <w:pPr>
        <w:jc w:val="both"/>
        <w:ind w:right="240" w:firstLine="55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89" w:lineRule="exact"/>
        <w:rPr>
          <w:sz w:val="24"/>
          <w:szCs w:val="24"/>
          <w:color w:val="auto"/>
        </w:rPr>
      </w:pPr>
    </w:p>
    <w:p>
      <w:pPr>
        <w:jc w:val="both"/>
        <w:ind w:right="80" w:firstLine="55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89" w:lineRule="exact"/>
        <w:rPr>
          <w:sz w:val="24"/>
          <w:szCs w:val="24"/>
          <w:color w:val="auto"/>
        </w:rPr>
      </w:pPr>
    </w:p>
    <w:p>
      <w:pPr>
        <w:ind w:right="160" w:firstLine="55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2" w:lineRule="exact"/>
        <w:rPr>
          <w:sz w:val="24"/>
          <w:szCs w:val="24"/>
          <w:color w:val="auto"/>
        </w:rPr>
      </w:pPr>
    </w:p>
    <w:tbl>
      <w:tblPr>
        <w:tblLayout w:type="fixed"/>
        <w:tblInd w:w="2500" w:type="dxa"/>
        <w:tblCellMar>
          <w:top w:w="0" w:type="dxa"/>
          <w:left w:w="0" w:type="dxa"/>
          <w:bottom w:w="0" w:type="dxa"/>
          <w:right w:w="0" w:type="dxa"/>
        </w:tblCellMar>
      </w:tblPr>
      <w:tr>
        <w:trPr>
          <w:trHeight w:val="206"/>
        </w:trPr>
        <w:tc>
          <w:tcPr>
            <w:tcW w:w="18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900" w:type="dxa"/>
            <w:vAlign w:val="bottom"/>
          </w:tcPr>
          <w:p>
            <w:pPr>
              <w:ind w:left="340"/>
              <w:spacing w:after="0"/>
              <w:rPr>
                <w:sz w:val="20"/>
                <w:szCs w:val="20"/>
                <w:color w:val="auto"/>
              </w:rPr>
            </w:pPr>
            <w:r>
              <w:rPr>
                <w:rFonts w:ascii="Arial" w:cs="Arial" w:eastAsia="Arial" w:hAnsi="Arial"/>
                <w:sz w:val="16"/>
                <w:szCs w:val="16"/>
                <w:color w:val="auto"/>
              </w:rPr>
              <w:t>x</w:t>
            </w:r>
          </w:p>
        </w:tc>
        <w:tc>
          <w:tcPr>
            <w:tcW w:w="2860" w:type="dxa"/>
            <w:vAlign w:val="bottom"/>
          </w:tcPr>
          <w:p>
            <w:pPr>
              <w:ind w:left="480"/>
              <w:spacing w:after="0"/>
              <w:rPr>
                <w:sz w:val="20"/>
                <w:szCs w:val="20"/>
                <w:color w:val="auto"/>
              </w:rPr>
            </w:pPr>
            <w:r>
              <w:rPr>
                <w:rFonts w:ascii="Arial" w:cs="Arial" w:eastAsia="Arial" w:hAnsi="Arial"/>
                <w:sz w:val="16"/>
                <w:szCs w:val="16"/>
                <w:color w:val="auto"/>
              </w:rPr>
              <w:t>Accelerated filer</w:t>
            </w:r>
          </w:p>
        </w:tc>
        <w:tc>
          <w:tcPr>
            <w:tcW w:w="680" w:type="dxa"/>
            <w:vAlign w:val="bottom"/>
          </w:tcPr>
          <w:p>
            <w:pPr>
              <w:ind w:left="600"/>
              <w:spacing w:after="0"/>
              <w:rPr>
                <w:sz w:val="20"/>
                <w:szCs w:val="20"/>
                <w:color w:val="auto"/>
              </w:rPr>
            </w:pPr>
            <w:r>
              <w:rPr>
                <w:rFonts w:ascii="Arial" w:cs="Arial" w:eastAsia="Arial" w:hAnsi="Arial"/>
                <w:sz w:val="15"/>
                <w:szCs w:val="15"/>
                <w:color w:val="auto"/>
                <w:w w:val="71"/>
              </w:rPr>
              <w:t>o</w:t>
            </w:r>
          </w:p>
        </w:tc>
      </w:tr>
      <w:tr>
        <w:trPr>
          <w:trHeight w:val="270"/>
        </w:trPr>
        <w:tc>
          <w:tcPr>
            <w:tcW w:w="1800" w:type="dxa"/>
            <w:vAlign w:val="bottom"/>
          </w:tcPr>
          <w:p>
            <w:pPr>
              <w:spacing w:after="0"/>
              <w:rPr>
                <w:sz w:val="20"/>
                <w:szCs w:val="20"/>
                <w:color w:val="auto"/>
              </w:rPr>
            </w:pPr>
            <w:r>
              <w:rPr>
                <w:rFonts w:ascii="Arial" w:cs="Arial" w:eastAsia="Arial" w:hAnsi="Arial"/>
                <w:sz w:val="16"/>
                <w:szCs w:val="16"/>
                <w:color w:val="auto"/>
              </w:rPr>
              <w:t>Non-accelerated filer</w:t>
            </w:r>
          </w:p>
        </w:tc>
        <w:tc>
          <w:tcPr>
            <w:tcW w:w="900" w:type="dxa"/>
            <w:vAlign w:val="bottom"/>
          </w:tcPr>
          <w:p>
            <w:pPr>
              <w:ind w:left="340"/>
              <w:spacing w:after="0"/>
              <w:rPr>
                <w:sz w:val="20"/>
                <w:szCs w:val="20"/>
                <w:color w:val="auto"/>
              </w:rPr>
            </w:pPr>
            <w:r>
              <w:rPr>
                <w:rFonts w:ascii="Arial" w:cs="Arial" w:eastAsia="Arial" w:hAnsi="Arial"/>
                <w:sz w:val="16"/>
                <w:szCs w:val="16"/>
                <w:color w:val="auto"/>
              </w:rPr>
              <w:t>o</w:t>
            </w:r>
          </w:p>
        </w:tc>
        <w:tc>
          <w:tcPr>
            <w:tcW w:w="2860" w:type="dxa"/>
            <w:vAlign w:val="bottom"/>
          </w:tcPr>
          <w:p>
            <w:pPr>
              <w:ind w:left="480"/>
              <w:spacing w:after="0"/>
              <w:rPr>
                <w:sz w:val="20"/>
                <w:szCs w:val="20"/>
                <w:color w:val="auto"/>
              </w:rPr>
            </w:pPr>
            <w:r>
              <w:rPr>
                <w:rFonts w:ascii="Arial" w:cs="Arial" w:eastAsia="Arial" w:hAnsi="Arial"/>
                <w:sz w:val="16"/>
                <w:szCs w:val="16"/>
                <w:color w:val="auto"/>
              </w:rPr>
              <w:t>Smaller reporting company</w:t>
            </w:r>
          </w:p>
        </w:tc>
        <w:tc>
          <w:tcPr>
            <w:tcW w:w="680" w:type="dxa"/>
            <w:vAlign w:val="bottom"/>
          </w:tcPr>
          <w:p>
            <w:pPr>
              <w:ind w:left="600"/>
              <w:spacing w:after="0"/>
              <w:rPr>
                <w:sz w:val="20"/>
                <w:szCs w:val="20"/>
                <w:color w:val="auto"/>
              </w:rPr>
            </w:pPr>
            <w:r>
              <w:rPr>
                <w:rFonts w:ascii="Arial" w:cs="Arial" w:eastAsia="Arial" w:hAnsi="Arial"/>
                <w:sz w:val="15"/>
                <w:szCs w:val="15"/>
                <w:color w:val="auto"/>
                <w:w w:val="71"/>
              </w:rPr>
              <w:t>o</w:t>
            </w:r>
          </w:p>
        </w:tc>
      </w:tr>
      <w:tr>
        <w:trPr>
          <w:trHeight w:val="270"/>
        </w:trPr>
        <w:tc>
          <w:tcPr>
            <w:tcW w:w="1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60" w:type="dxa"/>
            <w:vAlign w:val="bottom"/>
          </w:tcPr>
          <w:p>
            <w:pPr>
              <w:ind w:left="480"/>
              <w:spacing w:after="0"/>
              <w:rPr>
                <w:sz w:val="20"/>
                <w:szCs w:val="20"/>
                <w:color w:val="auto"/>
              </w:rPr>
            </w:pPr>
            <w:r>
              <w:rPr>
                <w:rFonts w:ascii="Arial" w:cs="Arial" w:eastAsia="Arial" w:hAnsi="Arial"/>
                <w:sz w:val="16"/>
                <w:szCs w:val="16"/>
                <w:color w:val="auto"/>
              </w:rPr>
              <w:t>Emerging growth company</w:t>
            </w:r>
          </w:p>
        </w:tc>
        <w:tc>
          <w:tcPr>
            <w:tcW w:w="680" w:type="dxa"/>
            <w:vAlign w:val="bottom"/>
          </w:tcPr>
          <w:p>
            <w:pPr>
              <w:ind w:left="600"/>
              <w:spacing w:after="0"/>
              <w:rPr>
                <w:sz w:val="20"/>
                <w:szCs w:val="20"/>
                <w:color w:val="auto"/>
              </w:rPr>
            </w:pPr>
            <w:r>
              <w:rPr>
                <w:rFonts w:ascii="Arial" w:cs="Arial" w:eastAsia="Arial" w:hAnsi="Arial"/>
                <w:sz w:val="15"/>
                <w:szCs w:val="15"/>
                <w:color w:val="auto"/>
                <w:w w:val="71"/>
              </w:rPr>
              <w:t>o</w:t>
            </w:r>
          </w:p>
        </w:tc>
      </w:tr>
    </w:tbl>
    <w:p>
      <w:pPr>
        <w:spacing w:after="0" w:line="19" w:lineRule="exact"/>
        <w:rPr>
          <w:sz w:val="24"/>
          <w:szCs w:val="24"/>
          <w:color w:val="auto"/>
        </w:rPr>
      </w:pPr>
    </w:p>
    <w:p>
      <w:pPr>
        <w:ind w:right="140" w:firstLine="554"/>
        <w:spacing w:after="0" w:line="255"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 w:lineRule="exact"/>
        <w:rPr>
          <w:sz w:val="24"/>
          <w:szCs w:val="24"/>
          <w:color w:val="auto"/>
        </w:rPr>
      </w:pPr>
    </w:p>
    <w:p>
      <w:pPr>
        <w:ind w:left="5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6" w:lineRule="exact"/>
        <w:rPr>
          <w:sz w:val="24"/>
          <w:szCs w:val="24"/>
          <w:color w:val="auto"/>
        </w:rPr>
      </w:pPr>
    </w:p>
    <w:p>
      <w:pPr>
        <w:ind w:left="5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Trading</w:t>
            </w:r>
          </w:p>
        </w:tc>
        <w:tc>
          <w:tcPr>
            <w:tcW w:w="5140" w:type="dxa"/>
            <w:vAlign w:val="bottom"/>
          </w:tcPr>
          <w:p>
            <w:pPr>
              <w:spacing w:after="0"/>
              <w:rPr>
                <w:sz w:val="17"/>
                <w:szCs w:val="17"/>
                <w:color w:val="auto"/>
              </w:rPr>
            </w:pPr>
          </w:p>
        </w:tc>
      </w:tr>
      <w:tr>
        <w:trPr>
          <w:trHeight w:val="210"/>
        </w:trPr>
        <w:tc>
          <w:tcPr>
            <w:tcW w:w="5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Title of each class</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Symbol(s)</w:t>
            </w:r>
          </w:p>
        </w:tc>
        <w:tc>
          <w:tcPr>
            <w:tcW w:w="514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33"/>
        </w:trPr>
        <w:tc>
          <w:tcPr>
            <w:tcW w:w="5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51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Shares, $0.015 par value</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ESNT</w:t>
            </w:r>
          </w:p>
        </w:tc>
        <w:tc>
          <w:tcPr>
            <w:tcW w:w="51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3" w:lineRule="exact"/>
        <w:rPr>
          <w:sz w:val="24"/>
          <w:szCs w:val="24"/>
          <w:color w:val="auto"/>
        </w:rPr>
      </w:pPr>
    </w:p>
    <w:p>
      <w:pPr>
        <w:ind w:left="560"/>
        <w:spacing w:after="0"/>
        <w:rPr>
          <w:sz w:val="20"/>
          <w:szCs w:val="20"/>
          <w:color w:val="auto"/>
        </w:rPr>
      </w:pPr>
      <w:r>
        <w:rPr>
          <w:rFonts w:ascii="Arial" w:cs="Arial" w:eastAsia="Arial" w:hAnsi="Arial"/>
          <w:sz w:val="18"/>
          <w:szCs w:val="18"/>
          <w:color w:val="auto"/>
        </w:rPr>
        <w:t>The number of the registrant’s common shares outstanding as of May 1, 2019 was 98,368,533.</w:t>
      </w:r>
    </w:p>
    <w:p>
      <w:pPr>
        <w:sectPr>
          <w:pgSz w:w="11900" w:h="16838" w:orient="portrait"/>
          <w:cols w:equalWidth="0" w:num="1">
            <w:col w:w="11420"/>
          </w:cols>
          <w:pgMar w:left="240" w:top="23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640" w:type="dxa"/>
            <w:vAlign w:val="bottom"/>
            <w:gridSpan w:val="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9"/>
          </w:tcPr>
          <w:p>
            <w:pPr>
              <w:jc w:val="center"/>
              <w:ind w:right="4040"/>
              <w:spacing w:after="0"/>
              <w:rPr>
                <w:sz w:val="20"/>
                <w:szCs w:val="20"/>
                <w:color w:val="auto"/>
              </w:rPr>
            </w:pPr>
            <w:r>
              <w:rPr>
                <w:rFonts w:ascii="Arial" w:cs="Arial" w:eastAsia="Arial" w:hAnsi="Arial"/>
                <w:sz w:val="18"/>
                <w:szCs w:val="18"/>
                <w:b w:val="1"/>
                <w:bCs w:val="1"/>
                <w:color w:val="auto"/>
                <w:w w:val="89"/>
              </w:rPr>
              <w:t>Essent Group Ltd.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9"/>
          </w:tcPr>
          <w:p>
            <w:pPr>
              <w:jc w:val="center"/>
              <w:ind w:right="4040"/>
              <w:spacing w:after="0"/>
              <w:rPr>
                <w:sz w:val="20"/>
                <w:szCs w:val="20"/>
                <w:color w:val="auto"/>
              </w:rPr>
            </w:pPr>
            <w:r>
              <w:rPr>
                <w:rFonts w:ascii="Arial" w:cs="Arial" w:eastAsia="Arial" w:hAnsi="Arial"/>
                <w:sz w:val="18"/>
                <w:szCs w:val="18"/>
                <w:b w:val="1"/>
                <w:bCs w:val="1"/>
                <w:color w:val="auto"/>
                <w:w w:val="95"/>
              </w:rPr>
              <w:t>Form 10-Q</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9"/>
          </w:tcPr>
          <w:p>
            <w:pPr>
              <w:jc w:val="center"/>
              <w:ind w:right="4020"/>
              <w:spacing w:after="0"/>
              <w:rPr>
                <w:sz w:val="20"/>
                <w:szCs w:val="20"/>
                <w:color w:val="auto"/>
              </w:rPr>
            </w:pPr>
            <w:r>
              <w:rPr>
                <w:rFonts w:ascii="Arial" w:cs="Arial" w:eastAsia="Arial" w:hAnsi="Arial"/>
                <w:sz w:val="18"/>
                <w:szCs w:val="18"/>
                <w:b w:val="1"/>
                <w:bCs w:val="1"/>
                <w:color w:val="auto"/>
                <w:w w:val="93"/>
              </w:rPr>
              <w:t>Index</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54"/>
        </w:trPr>
        <w:tc>
          <w:tcPr>
            <w:tcW w:w="40" w:type="dxa"/>
            <w:vAlign w:val="bottom"/>
          </w:tcPr>
          <w:p>
            <w:pPr>
              <w:spacing w:after="0"/>
              <w:rPr>
                <w:sz w:val="24"/>
                <w:szCs w:val="24"/>
                <w:color w:val="auto"/>
              </w:rPr>
            </w:pPr>
          </w:p>
        </w:tc>
        <w:tc>
          <w:tcPr>
            <w:tcW w:w="1600" w:type="dxa"/>
            <w:vAlign w:val="bottom"/>
            <w:gridSpan w:val="7"/>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9580" w:type="dxa"/>
            <w:vAlign w:val="bottom"/>
            <w:gridSpan w:val="17"/>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INFORMATION</w:t>
              </w:r>
            </w:hyperlink>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5">
              <w:r>
                <w:rPr>
                  <w:rFonts w:ascii="Arial" w:cs="Arial" w:eastAsia="Arial" w:hAnsi="Arial"/>
                  <w:sz w:val="18"/>
                  <w:szCs w:val="18"/>
                  <w:b w:val="1"/>
                  <w:bCs w:val="1"/>
                  <w:color w:val="0000EE"/>
                  <w:w w:val="91"/>
                </w:rPr>
                <w:t>Item 1.</w:t>
              </w:r>
            </w:hyperlink>
          </w:p>
        </w:tc>
        <w:tc>
          <w:tcPr>
            <w:tcW w:w="80" w:type="dxa"/>
            <w:vAlign w:val="bottom"/>
          </w:tcPr>
          <w:p>
            <w:pPr>
              <w:spacing w:after="0"/>
              <w:rPr>
                <w:sz w:val="24"/>
                <w:szCs w:val="24"/>
                <w:color w:val="auto"/>
              </w:rPr>
            </w:pPr>
          </w:p>
        </w:tc>
        <w:tc>
          <w:tcPr>
            <w:tcW w:w="980" w:type="dxa"/>
            <w:vAlign w:val="bottom"/>
            <w:gridSpan w:val="5"/>
          </w:tcPr>
          <w:p>
            <w:pPr>
              <w:spacing w:after="0"/>
              <w:rPr>
                <w:sz w:val="24"/>
                <w:szCs w:val="24"/>
                <w:color w:val="auto"/>
              </w:rPr>
            </w:pPr>
          </w:p>
        </w:tc>
        <w:tc>
          <w:tcPr>
            <w:tcW w:w="2600" w:type="dxa"/>
            <w:vAlign w:val="bottom"/>
            <w:tcBorders>
              <w:bottom w:val="single" w:sz="8" w:color="0000EE"/>
            </w:tcBorders>
            <w:gridSpan w:val="8"/>
          </w:tcPr>
          <w:p>
            <w:pPr>
              <w:spacing w:after="0"/>
              <w:rPr>
                <w:rFonts w:ascii="Arial" w:cs="Arial" w:eastAsia="Arial" w:hAnsi="Arial"/>
                <w:sz w:val="18"/>
                <w:szCs w:val="18"/>
                <w:b w:val="1"/>
                <w:bCs w:val="1"/>
                <w:color w:val="0000EE"/>
                <w:w w:val="90"/>
              </w:rPr>
            </w:pPr>
            <w:hyperlink w:anchor="page5">
              <w:r>
                <w:rPr>
                  <w:rFonts w:ascii="Arial" w:cs="Arial" w:eastAsia="Arial" w:hAnsi="Arial"/>
                  <w:sz w:val="18"/>
                  <w:szCs w:val="18"/>
                  <w:b w:val="1"/>
                  <w:bCs w:val="1"/>
                  <w:color w:val="0000EE"/>
                  <w:w w:val="90"/>
                </w:rPr>
                <w:t>Financial Statements (Unaudited)</w:t>
              </w:r>
            </w:hyperlink>
          </w:p>
        </w:tc>
        <w:tc>
          <w:tcPr>
            <w:tcW w:w="6980" w:type="dxa"/>
            <w:vAlign w:val="bottom"/>
            <w:gridSpan w:val="9"/>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80" w:type="dxa"/>
            <w:vAlign w:val="bottom"/>
            <w:tcBorders>
              <w:bottom w:val="single" w:sz="8" w:color="0000EE"/>
            </w:tcBorders>
            <w:gridSpan w:val="9"/>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Condensed Consolidated Balance Sheets (Unaudited)</w:t>
              </w:r>
            </w:hyperlink>
          </w:p>
        </w:tc>
        <w:tc>
          <w:tcPr>
            <w:tcW w:w="5500" w:type="dxa"/>
            <w:vAlign w:val="bottom"/>
            <w:gridSpan w:val="8"/>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80" w:type="dxa"/>
            <w:vAlign w:val="bottom"/>
            <w:gridSpan w:val="17"/>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Condensed Consolidated Statements of Comprehensive Income (Unaudited)</w:t>
              </w:r>
            </w:hyperlink>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2</w:t>
              </w:r>
            </w:hyperlink>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80" w:type="dxa"/>
            <w:vAlign w:val="bottom"/>
            <w:gridSpan w:val="17"/>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Condensed Consolidated Statements of Changes in Stockholders’ Equity (Unaudited)</w:t>
              </w:r>
            </w:hyperlink>
          </w:p>
        </w:tc>
        <w:tc>
          <w:tcPr>
            <w:tcW w:w="18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3</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40" w:type="dxa"/>
            <w:vAlign w:val="bottom"/>
            <w:tcBorders>
              <w:top w:val="single" w:sz="8" w:color="0000EE"/>
            </w:tcBorders>
            <w:gridSpan w:val="15"/>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Condensed Consolidated Statements of Cash Flows (Unaudited)</w:t>
              </w:r>
            </w:hyperlink>
          </w:p>
        </w:tc>
        <w:tc>
          <w:tcPr>
            <w:tcW w:w="30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4</w:t>
              </w:r>
            </w:hyperlink>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20" w:type="dxa"/>
            <w:vAlign w:val="bottom"/>
            <w:tcBorders>
              <w:bottom w:val="single" w:sz="8" w:color="0000EE"/>
            </w:tcBorders>
            <w:gridSpan w:val="13"/>
          </w:tcPr>
          <w:p>
            <w:pPr>
              <w:spacing w:after="0"/>
              <w:rPr>
                <w:rFonts w:ascii="Arial" w:cs="Arial" w:eastAsia="Arial" w:hAnsi="Arial"/>
                <w:sz w:val="18"/>
                <w:szCs w:val="18"/>
                <w:b w:val="1"/>
                <w:bCs w:val="1"/>
                <w:color w:val="0000EE"/>
                <w:w w:val="89"/>
              </w:rPr>
            </w:pPr>
            <w:hyperlink w:anchor="page9">
              <w:r>
                <w:rPr>
                  <w:rFonts w:ascii="Arial" w:cs="Arial" w:eastAsia="Arial" w:hAnsi="Arial"/>
                  <w:sz w:val="18"/>
                  <w:szCs w:val="18"/>
                  <w:b w:val="1"/>
                  <w:bCs w:val="1"/>
                  <w:color w:val="0000EE"/>
                  <w:w w:val="89"/>
                </w:rPr>
                <w:t>Notes to Condensed Consolidated Financial Statements (Unaudited)</w:t>
              </w:r>
            </w:hyperlink>
          </w:p>
        </w:tc>
        <w:tc>
          <w:tcPr>
            <w:tcW w:w="436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5</w:t>
              </w:r>
            </w:hyperlink>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27">
              <w:r>
                <w:rPr>
                  <w:rFonts w:ascii="Arial" w:cs="Arial" w:eastAsia="Arial" w:hAnsi="Arial"/>
                  <w:sz w:val="18"/>
                  <w:szCs w:val="18"/>
                  <w:b w:val="1"/>
                  <w:bCs w:val="1"/>
                  <w:color w:val="0000EE"/>
                  <w:w w:val="91"/>
                </w:rPr>
                <w:t>Item 2.</w:t>
              </w:r>
            </w:hyperlink>
          </w:p>
        </w:tc>
        <w:tc>
          <w:tcPr>
            <w:tcW w:w="1060" w:type="dxa"/>
            <w:vAlign w:val="bottom"/>
            <w:gridSpan w:val="6"/>
          </w:tcPr>
          <w:p>
            <w:pPr>
              <w:spacing w:after="0"/>
              <w:rPr>
                <w:sz w:val="24"/>
                <w:szCs w:val="24"/>
                <w:color w:val="auto"/>
              </w:rPr>
            </w:pPr>
          </w:p>
        </w:tc>
        <w:tc>
          <w:tcPr>
            <w:tcW w:w="6840" w:type="dxa"/>
            <w:vAlign w:val="bottom"/>
            <w:tcBorders>
              <w:bottom w:val="single" w:sz="8" w:color="0000EE"/>
            </w:tcBorders>
            <w:gridSpan w:val="16"/>
          </w:tcPr>
          <w:p>
            <w:pPr>
              <w:spacing w:after="0"/>
              <w:rPr>
                <w:rFonts w:ascii="Arial" w:cs="Arial" w:eastAsia="Arial" w:hAnsi="Arial"/>
                <w:sz w:val="18"/>
                <w:szCs w:val="18"/>
                <w:b w:val="1"/>
                <w:bCs w:val="1"/>
                <w:color w:val="0000EE"/>
                <w:w w:val="89"/>
              </w:rPr>
            </w:pPr>
            <w:hyperlink w:anchor="page27">
              <w:r>
                <w:rPr>
                  <w:rFonts w:ascii="Arial" w:cs="Arial" w:eastAsia="Arial" w:hAnsi="Arial"/>
                  <w:sz w:val="18"/>
                  <w:szCs w:val="18"/>
                  <w:b w:val="1"/>
                  <w:bCs w:val="1"/>
                  <w:color w:val="0000EE"/>
                  <w:w w:val="89"/>
                </w:rPr>
                <w:t>Management’s Discussion and Analysis of Financial Condition and Results of Operations</w:t>
              </w:r>
            </w:hyperlink>
          </w:p>
        </w:tc>
        <w:tc>
          <w:tcPr>
            <w:tcW w:w="2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23</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b w:val="1"/>
                <w:bCs w:val="1"/>
                <w:color w:val="0000EE"/>
                <w:w w:val="91"/>
              </w:rPr>
            </w:pPr>
            <w:hyperlink w:anchor="page46">
              <w:r>
                <w:rPr>
                  <w:rFonts w:ascii="Arial" w:cs="Arial" w:eastAsia="Arial" w:hAnsi="Arial"/>
                  <w:sz w:val="18"/>
                  <w:szCs w:val="18"/>
                  <w:b w:val="1"/>
                  <w:bCs w:val="1"/>
                  <w:color w:val="0000EE"/>
                  <w:w w:val="91"/>
                </w:rPr>
                <w:t>Item 3.</w:t>
              </w:r>
            </w:hyperlink>
          </w:p>
        </w:tc>
        <w:tc>
          <w:tcPr>
            <w:tcW w:w="1060" w:type="dxa"/>
            <w:vAlign w:val="bottom"/>
            <w:gridSpan w:val="6"/>
          </w:tcPr>
          <w:p>
            <w:pPr>
              <w:spacing w:after="0"/>
              <w:rPr>
                <w:sz w:val="24"/>
                <w:szCs w:val="24"/>
                <w:color w:val="auto"/>
              </w:rPr>
            </w:pPr>
          </w:p>
        </w:tc>
        <w:tc>
          <w:tcPr>
            <w:tcW w:w="9580" w:type="dxa"/>
            <w:vAlign w:val="bottom"/>
            <w:gridSpan w:val="17"/>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42</w:t>
              </w:r>
            </w:hyperlink>
          </w:p>
        </w:tc>
      </w:tr>
      <w:tr>
        <w:trPr>
          <w:trHeight w:val="520"/>
        </w:trPr>
        <w:tc>
          <w:tcPr>
            <w:tcW w:w="40" w:type="dxa"/>
            <w:vAlign w:val="bottom"/>
          </w:tcPr>
          <w:p>
            <w:pPr>
              <w:spacing w:after="0"/>
              <w:rPr>
                <w:sz w:val="24"/>
                <w:szCs w:val="24"/>
                <w:color w:val="auto"/>
              </w:rPr>
            </w:pPr>
          </w:p>
        </w:tc>
        <w:tc>
          <w:tcPr>
            <w:tcW w:w="54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91"/>
              </w:rPr>
            </w:pPr>
            <w:hyperlink w:anchor="page46">
              <w:r>
                <w:rPr>
                  <w:rFonts w:ascii="Arial" w:cs="Arial" w:eastAsia="Arial" w:hAnsi="Arial"/>
                  <w:sz w:val="18"/>
                  <w:szCs w:val="18"/>
                  <w:b w:val="1"/>
                  <w:bCs w:val="1"/>
                  <w:color w:val="0000EE"/>
                  <w:w w:val="91"/>
                </w:rPr>
                <w:t>Item 4.</w:t>
              </w:r>
            </w:hyperlink>
          </w:p>
        </w:tc>
        <w:tc>
          <w:tcPr>
            <w:tcW w:w="1060" w:type="dxa"/>
            <w:vAlign w:val="bottom"/>
            <w:gridSpan w:val="6"/>
          </w:tcPr>
          <w:p>
            <w:pPr>
              <w:spacing w:after="0"/>
              <w:rPr>
                <w:sz w:val="24"/>
                <w:szCs w:val="24"/>
                <w:color w:val="auto"/>
              </w:rPr>
            </w:pPr>
          </w:p>
        </w:tc>
        <w:tc>
          <w:tcPr>
            <w:tcW w:w="1920" w:type="dxa"/>
            <w:vAlign w:val="bottom"/>
            <w:tcBorders>
              <w:top w:val="single" w:sz="8" w:color="0000EE"/>
              <w:bottom w:val="single" w:sz="8" w:color="0000EE"/>
            </w:tcBorders>
            <w:gridSpan w:val="5"/>
          </w:tcPr>
          <w:p>
            <w:pPr>
              <w:spacing w:after="0"/>
              <w:rPr>
                <w:rFonts w:ascii="Arial" w:cs="Arial" w:eastAsia="Arial" w:hAnsi="Arial"/>
                <w:sz w:val="18"/>
                <w:szCs w:val="18"/>
                <w:b w:val="1"/>
                <w:bCs w:val="1"/>
                <w:color w:val="0000EE"/>
                <w:w w:val="88"/>
              </w:rPr>
            </w:pPr>
            <w:hyperlink w:anchor="page46">
              <w:r>
                <w:rPr>
                  <w:rFonts w:ascii="Arial" w:cs="Arial" w:eastAsia="Arial" w:hAnsi="Arial"/>
                  <w:sz w:val="18"/>
                  <w:szCs w:val="18"/>
                  <w:b w:val="1"/>
                  <w:bCs w:val="1"/>
                  <w:color w:val="0000EE"/>
                  <w:w w:val="88"/>
                </w:rPr>
                <w:t>Controls and Procedures</w:t>
              </w:r>
            </w:hyperlink>
          </w:p>
        </w:tc>
        <w:tc>
          <w:tcPr>
            <w:tcW w:w="2740" w:type="dxa"/>
            <w:vAlign w:val="bottom"/>
            <w:tcBorders>
              <w:top w:val="single" w:sz="8" w:color="0000EE"/>
            </w:tcBorders>
            <w:gridSpan w:val="6"/>
          </w:tcPr>
          <w:p>
            <w:pPr>
              <w:spacing w:after="0"/>
              <w:rPr>
                <w:sz w:val="24"/>
                <w:szCs w:val="24"/>
                <w:color w:val="auto"/>
              </w:rPr>
            </w:pPr>
          </w:p>
        </w:tc>
        <w:tc>
          <w:tcPr>
            <w:tcW w:w="4920" w:type="dxa"/>
            <w:vAlign w:val="bottom"/>
            <w:gridSpan w:val="6"/>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42</w:t>
              </w:r>
            </w:hyperlink>
          </w:p>
        </w:tc>
      </w:tr>
      <w:tr>
        <w:trPr>
          <w:trHeight w:val="520"/>
        </w:trPr>
        <w:tc>
          <w:tcPr>
            <w:tcW w:w="40" w:type="dxa"/>
            <w:vAlign w:val="bottom"/>
          </w:tcPr>
          <w:p>
            <w:pPr>
              <w:spacing w:after="0"/>
              <w:rPr>
                <w:sz w:val="24"/>
                <w:szCs w:val="24"/>
                <w:color w:val="auto"/>
              </w:rPr>
            </w:pPr>
          </w:p>
        </w:tc>
        <w:tc>
          <w:tcPr>
            <w:tcW w:w="700" w:type="dxa"/>
            <w:vAlign w:val="bottom"/>
            <w:gridSpan w:val="4"/>
          </w:tcPr>
          <w:p>
            <w:pPr>
              <w:spacing w:after="0"/>
              <w:rPr>
                <w:rFonts w:ascii="Arial" w:cs="Arial" w:eastAsia="Arial" w:hAnsi="Arial"/>
                <w:sz w:val="18"/>
                <w:szCs w:val="18"/>
                <w:b w:val="1"/>
                <w:bCs w:val="1"/>
                <w:color w:val="0000EE"/>
                <w:w w:val="98"/>
              </w:rPr>
            </w:pPr>
            <w:hyperlink w:anchor="page47">
              <w:r>
                <w:rPr>
                  <w:rFonts w:ascii="Arial" w:cs="Arial" w:eastAsia="Arial" w:hAnsi="Arial"/>
                  <w:sz w:val="18"/>
                  <w:szCs w:val="18"/>
                  <w:b w:val="1"/>
                  <w:bCs w:val="1"/>
                  <w:color w:val="0000EE"/>
                  <w:w w:val="98"/>
                </w:rPr>
                <w:t>PART II.</w:t>
              </w:r>
            </w:hyperlink>
          </w:p>
        </w:tc>
        <w:tc>
          <w:tcPr>
            <w:tcW w:w="900" w:type="dxa"/>
            <w:vAlign w:val="bottom"/>
            <w:gridSpan w:val="3"/>
          </w:tcPr>
          <w:p>
            <w:pPr>
              <w:spacing w:after="0"/>
              <w:rPr>
                <w:sz w:val="24"/>
                <w:szCs w:val="24"/>
                <w:color w:val="auto"/>
              </w:rPr>
            </w:pPr>
          </w:p>
        </w:tc>
        <w:tc>
          <w:tcPr>
            <w:tcW w:w="9580" w:type="dxa"/>
            <w:vAlign w:val="bottom"/>
            <w:gridSpan w:val="17"/>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43</w:t>
              </w:r>
            </w:hyperlink>
          </w:p>
        </w:tc>
      </w:tr>
      <w:tr>
        <w:trPr>
          <w:trHeight w:val="520"/>
        </w:trPr>
        <w:tc>
          <w:tcPr>
            <w:tcW w:w="40" w:type="dxa"/>
            <w:vAlign w:val="bottom"/>
          </w:tcPr>
          <w:p>
            <w:pPr>
              <w:spacing w:after="0"/>
              <w:rPr>
                <w:sz w:val="24"/>
                <w:szCs w:val="24"/>
                <w:color w:val="auto"/>
              </w:rPr>
            </w:pPr>
          </w:p>
        </w:tc>
        <w:tc>
          <w:tcPr>
            <w:tcW w:w="540" w:type="dxa"/>
            <w:vAlign w:val="bottom"/>
            <w:tcBorders>
              <w:top w:val="single" w:sz="8" w:color="0000EE"/>
            </w:tcBorders>
          </w:tcPr>
          <w:p>
            <w:pPr>
              <w:spacing w:after="0"/>
              <w:rPr>
                <w:rFonts w:ascii="Arial" w:cs="Arial" w:eastAsia="Arial" w:hAnsi="Arial"/>
                <w:sz w:val="18"/>
                <w:szCs w:val="18"/>
                <w:b w:val="1"/>
                <w:bCs w:val="1"/>
                <w:color w:val="0000EE"/>
                <w:w w:val="91"/>
              </w:rPr>
            </w:pPr>
            <w:hyperlink w:anchor="page47">
              <w:r>
                <w:rPr>
                  <w:rFonts w:ascii="Arial" w:cs="Arial" w:eastAsia="Arial" w:hAnsi="Arial"/>
                  <w:sz w:val="18"/>
                  <w:szCs w:val="18"/>
                  <w:b w:val="1"/>
                  <w:bCs w:val="1"/>
                  <w:color w:val="0000EE"/>
                  <w:w w:val="91"/>
                </w:rPr>
                <w:t>Item 1.</w:t>
              </w:r>
            </w:hyperlink>
          </w:p>
        </w:tc>
        <w:tc>
          <w:tcPr>
            <w:tcW w:w="160" w:type="dxa"/>
            <w:vAlign w:val="bottom"/>
            <w:tcBorders>
              <w:top w:val="single" w:sz="8" w:color="0000EE"/>
            </w:tcBorders>
            <w:gridSpan w:val="3"/>
          </w:tcPr>
          <w:p>
            <w:pPr>
              <w:spacing w:after="0"/>
              <w:rPr>
                <w:sz w:val="24"/>
                <w:szCs w:val="24"/>
                <w:color w:val="auto"/>
              </w:rPr>
            </w:pPr>
          </w:p>
        </w:tc>
        <w:tc>
          <w:tcPr>
            <w:tcW w:w="900" w:type="dxa"/>
            <w:vAlign w:val="bottom"/>
            <w:gridSpan w:val="3"/>
          </w:tcPr>
          <w:p>
            <w:pPr>
              <w:spacing w:after="0"/>
              <w:rPr>
                <w:sz w:val="24"/>
                <w:szCs w:val="24"/>
                <w:color w:val="auto"/>
              </w:rPr>
            </w:pPr>
          </w:p>
        </w:tc>
        <w:tc>
          <w:tcPr>
            <w:tcW w:w="2020" w:type="dxa"/>
            <w:vAlign w:val="bottom"/>
            <w:tcBorders>
              <w:top w:val="single" w:sz="8" w:color="0000EE"/>
            </w:tcBorders>
            <w:gridSpan w:val="6"/>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Legal Proceedings</w:t>
              </w:r>
            </w:hyperlink>
          </w:p>
        </w:tc>
        <w:tc>
          <w:tcPr>
            <w:tcW w:w="7560" w:type="dxa"/>
            <w:vAlign w:val="bottom"/>
            <w:gridSpan w:val="11"/>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43</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600" w:type="dxa"/>
            <w:vAlign w:val="bottom"/>
            <w:gridSpan w:val="7"/>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Item 1A.</w:t>
              </w:r>
            </w:hyperlink>
          </w:p>
        </w:tc>
        <w:tc>
          <w:tcPr>
            <w:tcW w:w="9580" w:type="dxa"/>
            <w:vAlign w:val="bottom"/>
            <w:gridSpan w:val="17"/>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Risk Factors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43</w:t>
              </w:r>
            </w:hyperlink>
          </w:p>
        </w:tc>
      </w:tr>
      <w:tr>
        <w:trPr>
          <w:trHeight w:val="20"/>
        </w:trPr>
        <w:tc>
          <w:tcPr>
            <w:tcW w:w="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47">
              <w:r>
                <w:rPr>
                  <w:rFonts w:ascii="Arial" w:cs="Arial" w:eastAsia="Arial" w:hAnsi="Arial"/>
                  <w:sz w:val="18"/>
                  <w:szCs w:val="18"/>
                  <w:b w:val="1"/>
                  <w:bCs w:val="1"/>
                  <w:color w:val="0000EE"/>
                  <w:w w:val="91"/>
                </w:rPr>
                <w:t>Item 2.</w:t>
              </w:r>
            </w:hyperlink>
          </w:p>
        </w:tc>
        <w:tc>
          <w:tcPr>
            <w:tcW w:w="120" w:type="dxa"/>
            <w:vAlign w:val="bottom"/>
            <w:gridSpan w:val="2"/>
          </w:tcPr>
          <w:p>
            <w:pPr>
              <w:spacing w:after="0"/>
              <w:rPr>
                <w:sz w:val="24"/>
                <w:szCs w:val="24"/>
                <w:color w:val="auto"/>
              </w:rPr>
            </w:pPr>
          </w:p>
        </w:tc>
        <w:tc>
          <w:tcPr>
            <w:tcW w:w="940" w:type="dxa"/>
            <w:vAlign w:val="bottom"/>
            <w:gridSpan w:val="4"/>
          </w:tcPr>
          <w:p>
            <w:pPr>
              <w:spacing w:after="0"/>
              <w:rPr>
                <w:sz w:val="24"/>
                <w:szCs w:val="24"/>
                <w:color w:val="auto"/>
              </w:rPr>
            </w:pPr>
          </w:p>
        </w:tc>
        <w:tc>
          <w:tcPr>
            <w:tcW w:w="4580" w:type="dxa"/>
            <w:vAlign w:val="bottom"/>
            <w:tcBorders>
              <w:bottom w:val="single" w:sz="8" w:color="0000EE"/>
            </w:tcBorders>
            <w:gridSpan w:val="10"/>
          </w:tcPr>
          <w:p>
            <w:pPr>
              <w:spacing w:after="0"/>
              <w:rPr>
                <w:rFonts w:ascii="Arial" w:cs="Arial" w:eastAsia="Arial" w:hAnsi="Arial"/>
                <w:sz w:val="18"/>
                <w:szCs w:val="18"/>
                <w:b w:val="1"/>
                <w:bCs w:val="1"/>
                <w:color w:val="0000EE"/>
                <w:w w:val="87"/>
              </w:rPr>
            </w:pPr>
            <w:hyperlink w:anchor="page47">
              <w:r>
                <w:rPr>
                  <w:rFonts w:ascii="Arial" w:cs="Arial" w:eastAsia="Arial" w:hAnsi="Arial"/>
                  <w:sz w:val="18"/>
                  <w:szCs w:val="18"/>
                  <w:b w:val="1"/>
                  <w:bCs w:val="1"/>
                  <w:color w:val="0000EE"/>
                  <w:w w:val="87"/>
                </w:rPr>
                <w:t>Unregistered Sales of Equity Securities and Use of Proceeds</w:t>
              </w:r>
            </w:hyperlink>
          </w:p>
        </w:tc>
        <w:tc>
          <w:tcPr>
            <w:tcW w:w="5000" w:type="dxa"/>
            <w:vAlign w:val="bottom"/>
            <w:gridSpan w:val="7"/>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43</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b w:val="1"/>
                <w:bCs w:val="1"/>
                <w:color w:val="0000EE"/>
                <w:w w:val="91"/>
              </w:rPr>
            </w:pPr>
            <w:hyperlink w:anchor="page48">
              <w:r>
                <w:rPr>
                  <w:rFonts w:ascii="Arial" w:cs="Arial" w:eastAsia="Arial" w:hAnsi="Arial"/>
                  <w:sz w:val="18"/>
                  <w:szCs w:val="18"/>
                  <w:b w:val="1"/>
                  <w:bCs w:val="1"/>
                  <w:color w:val="0000EE"/>
                  <w:w w:val="91"/>
                </w:rPr>
                <w:t>Item 5.</w:t>
              </w:r>
            </w:hyperlink>
          </w:p>
        </w:tc>
        <w:tc>
          <w:tcPr>
            <w:tcW w:w="1060" w:type="dxa"/>
            <w:vAlign w:val="bottom"/>
            <w:gridSpan w:val="6"/>
          </w:tcPr>
          <w:p>
            <w:pPr>
              <w:spacing w:after="0"/>
              <w:rPr>
                <w:sz w:val="24"/>
                <w:szCs w:val="24"/>
                <w:color w:val="auto"/>
              </w:rPr>
            </w:pPr>
          </w:p>
        </w:tc>
        <w:tc>
          <w:tcPr>
            <w:tcW w:w="9580" w:type="dxa"/>
            <w:vAlign w:val="bottom"/>
            <w:gridSpan w:val="17"/>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44</w:t>
              </w:r>
            </w:hyperlink>
          </w:p>
        </w:tc>
      </w:tr>
      <w:tr>
        <w:trPr>
          <w:trHeight w:val="547"/>
        </w:trPr>
        <w:tc>
          <w:tcPr>
            <w:tcW w:w="40" w:type="dxa"/>
            <w:vAlign w:val="bottom"/>
          </w:tcPr>
          <w:p>
            <w:pPr>
              <w:spacing w:after="0"/>
              <w:rPr>
                <w:sz w:val="24"/>
                <w:szCs w:val="24"/>
                <w:color w:val="auto"/>
              </w:rPr>
            </w:pPr>
          </w:p>
        </w:tc>
        <w:tc>
          <w:tcPr>
            <w:tcW w:w="540" w:type="dxa"/>
            <w:vAlign w:val="bottom"/>
            <w:tcBorders>
              <w:top w:val="single" w:sz="8" w:color="0000EE"/>
            </w:tcBorders>
          </w:tcPr>
          <w:p>
            <w:pPr>
              <w:spacing w:after="0"/>
              <w:rPr>
                <w:rFonts w:ascii="Arial" w:cs="Arial" w:eastAsia="Arial" w:hAnsi="Arial"/>
                <w:sz w:val="18"/>
                <w:szCs w:val="18"/>
                <w:b w:val="1"/>
                <w:bCs w:val="1"/>
                <w:color w:val="0000EE"/>
                <w:w w:val="91"/>
              </w:rPr>
            </w:pPr>
            <w:hyperlink w:anchor="page49">
              <w:r>
                <w:rPr>
                  <w:rFonts w:ascii="Arial" w:cs="Arial" w:eastAsia="Arial" w:hAnsi="Arial"/>
                  <w:sz w:val="18"/>
                  <w:szCs w:val="18"/>
                  <w:b w:val="1"/>
                  <w:bCs w:val="1"/>
                  <w:color w:val="0000EE"/>
                  <w:w w:val="91"/>
                </w:rPr>
                <w:t>Item 6.</w:t>
              </w:r>
            </w:hyperlink>
          </w:p>
        </w:tc>
        <w:tc>
          <w:tcPr>
            <w:tcW w:w="1060" w:type="dxa"/>
            <w:vAlign w:val="bottom"/>
            <w:gridSpan w:val="6"/>
          </w:tcPr>
          <w:p>
            <w:pPr>
              <w:spacing w:after="0"/>
              <w:rPr>
                <w:sz w:val="24"/>
                <w:szCs w:val="24"/>
                <w:color w:val="auto"/>
              </w:rPr>
            </w:pPr>
          </w:p>
        </w:tc>
        <w:tc>
          <w:tcPr>
            <w:tcW w:w="1440" w:type="dxa"/>
            <w:vAlign w:val="bottom"/>
            <w:tcBorders>
              <w:top w:val="single" w:sz="8" w:color="0000EE"/>
            </w:tcBorders>
            <w:gridSpan w:val="4"/>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Exhibits</w:t>
              </w:r>
            </w:hyperlink>
          </w:p>
        </w:tc>
        <w:tc>
          <w:tcPr>
            <w:tcW w:w="8140" w:type="dxa"/>
            <w:vAlign w:val="bottom"/>
            <w:gridSpan w:val="13"/>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45</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160" w:type="dxa"/>
            <w:vAlign w:val="bottom"/>
            <w:tcBorders>
              <w:bottom w:val="single" w:sz="8" w:color="0000EE"/>
            </w:tcBorders>
            <w:gridSpan w:val="5"/>
          </w:tcPr>
          <w:p>
            <w:pPr>
              <w:spacing w:after="0"/>
              <w:rPr>
                <w:rFonts w:ascii="Arial" w:cs="Arial" w:eastAsia="Arial" w:hAnsi="Arial"/>
                <w:sz w:val="18"/>
                <w:szCs w:val="18"/>
                <w:b w:val="1"/>
                <w:bCs w:val="1"/>
                <w:color w:val="0000EE"/>
                <w:w w:val="96"/>
              </w:rPr>
            </w:pPr>
            <w:hyperlink w:anchor="page50">
              <w:r>
                <w:rPr>
                  <w:rFonts w:ascii="Arial" w:cs="Arial" w:eastAsia="Arial" w:hAnsi="Arial"/>
                  <w:sz w:val="18"/>
                  <w:szCs w:val="18"/>
                  <w:b w:val="1"/>
                  <w:bCs w:val="1"/>
                  <w:color w:val="0000EE"/>
                  <w:w w:val="96"/>
                </w:rPr>
                <w:t>SIGNATURES</w:t>
              </w:r>
            </w:hyperlink>
          </w:p>
        </w:tc>
        <w:tc>
          <w:tcPr>
            <w:tcW w:w="44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46</w:t>
              </w:r>
            </w:hyperlink>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Unless the context otherwise indicates or requires, the terms “we,” “our,” “us,” “Essent,” and the “Company,” as used in this Quarterly Report on</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Form 10-Q, refer to Essent Group Ltd. and its directly and indirectly owned subsidiaries, including our primary operating subsidiaries, Essent Guaranty, Inc. and Essent Reinsurance Ltd., as a combined entity, except where otherwise stated or where it is clear that the terms mean only Essent Group Ltd. exclusive of its subsidiaries.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This Quarterly Report on Form 10-Q, or Quarterly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products and services,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6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forward-looking statements contained in this Quarterly Report reflect our views as of the date of this Quarterly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in Part I, Item 2 “Management’s Discussion and Analysis of Financial Condition and Results of Operations” of this Quarterly Report, and in Part I, Item 1A “Risk Factors” of our Annual Report on Form 10-K for the year ended December 31, 2018 filed with the Securities and Exchange Commission. These factors include, without limitation, the following:</w:t>
      </w:r>
    </w:p>
    <w:p>
      <w:pPr>
        <w:spacing w:after="0" w:line="192" w:lineRule="exact"/>
        <w:rPr>
          <w:sz w:val="20"/>
          <w:szCs w:val="20"/>
          <w:color w:val="auto"/>
        </w:rPr>
      </w:pPr>
    </w:p>
    <w:p>
      <w:pPr>
        <w:ind w:left="660" w:right="2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or to Fannie Mae and Freddie Mac, which we refer to collectively as the GSEs, whether through Federal legislation, restructurings or a shift in business practices;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continue to meet the mortgage insurer eligibility requirements of the GSEs;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for our customers or the loss of a significant customer;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lenders or investors seeking alternatives to private mortgage insurance;</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in the number of loans insured through Federal government mortgage insurance programs, including those offered by the Federal Housing Administration;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 in the volume of low down payment mortgage originations;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of loss reserve estimates;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 in the length of time our insurance policies are in force;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deteriorating economic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recently enacted U.S. Federal tax reform and its impact on us, our shareholders and our operations;</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definition of “Qualified Mortgage” reducing the size of the mortgage origination market or creating incentives to use government mortgage insurance programs;</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definition of “Qualified Residential Mortgage” reducing the number of low down payment loans or lenders and investors seeking alternatives to private mortgage insurance;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the Basel III Capital Accord, which may discourage the use of private mortgage insurance;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of risk in our investment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interest rates;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125" w:right="2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inadequacy of the premiums we charge to compensate for our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on management team and qualified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disturbance to our information technology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 in our customers’ capital requirements discouraging the use of mortgage insurance;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declines in the value of borrowers’ homes;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limited availability of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claims arise under and risks associated with our contract underwriting program;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practice that loss reserves are established only upon a loan default;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 in mortgage loan servicing;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future legal proceedings;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customers’ technological demands;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non-U.S. operations becoming subject to U.S. Federal income taxation;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becoming considered a passive foreign investment company for U.S. Federal income tax purposes;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restrictions on the ability of our insurance subsidiaries to pay dividends.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Readers are urged to consider these factors carefully in evaluating the forward-looking statements and are cautioned not to place undue reliance on these forward-looking statements. All of the forward-looking statements we have included in this Quarterly Report are based on information available to us on the date of this Quarterly Report. We undertake no obligation to publicly update or revise any forward-looking statement, whether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20"/>
          </w:cols>
          <w:pgMar w:left="240" w:top="125" w:right="4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b w:val="1"/>
                <w:bCs w:val="1"/>
                <w:color w:val="auto"/>
                <w:w w:val="96"/>
              </w:rPr>
              <w:t>December 31,</w:t>
            </w:r>
          </w:p>
        </w:tc>
      </w:tr>
      <w:tr>
        <w:trPr>
          <w:trHeight w:val="276"/>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Fixed maturities available for sale, at fair value (amortized cost: 2019 — $2,752,373; 2018 — $2,638,950)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2,765,267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2,605,666</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w w:val="97"/>
              </w:rPr>
              <w:t>Short-term investments available for sale, at fair value (amortized cost: 2019 — $210,821; 2018 — $154,400)</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210,822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154,400</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investments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2,976,089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2,760,066</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Other invested assets</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32,735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30,952</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3,008,824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2,791,018</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Cash</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40,489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64,946</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investment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17,627</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38,194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36,881</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policy acquisition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16,049</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Property and equipment (at cost, less accumulated depreciation of $54,771 in 2019 and $53,870 in 2018)</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17,940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7,629</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federal income tax</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202,385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202,385</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11,580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13,436</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3,353,245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3,149,971</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71"/>
        </w:trPr>
        <w:tc>
          <w:tcPr>
            <w:tcW w:w="8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Liabilities and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Reserve for losses and LAE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53,484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49,464</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Unearned premium reserve</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295,320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295,467</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deferred tax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196,040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172,642</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w w:val="93"/>
              </w:rPr>
              <w:t>Credit facility borrowings (at carrying value, less unamortized deferred costs of $1,193 in 2019 and $1,336 in 2018)</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223,807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223,664</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Securities purchases payable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2,041</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Other accrued liabilities</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34,245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40,976</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825,442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784,254</w:t>
            </w:r>
          </w:p>
        </w:tc>
      </w:tr>
      <w:tr>
        <w:trPr>
          <w:trHeight w:val="22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(see Note 7)</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Common shares, $0.015 par value: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Authorized - 233,333; issued and outstanding - 98,364 shares in 2019 and 98,139 shares in 2018</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1,472</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1,106,797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1,110,800</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(28,993)</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1,410,158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1,282,438</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2,527,803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2,365,717</w:t>
            </w:r>
          </w:p>
        </w:tc>
      </w:tr>
      <w:tr>
        <w:trPr>
          <w:trHeight w:val="257"/>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3,353,245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3,149,971</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premiums written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177,644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165,225</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Decrease (increase) in unearned premiums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(12,667)</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177,791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152,558</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13,714</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Realized investment gains, net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197</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994</w:t>
            </w:r>
          </w:p>
        </w:tc>
      </w:tr>
      <w:tr>
        <w:trPr>
          <w:trHeight w:val="237"/>
        </w:trPr>
        <w:tc>
          <w:tcPr>
            <w:tcW w:w="812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revenues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200,526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167,463</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91"/>
        </w:trPr>
        <w:tc>
          <w:tcPr>
            <w:tcW w:w="8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losses and LAE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5,309</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41,030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38,124</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2,450</w:t>
            </w:r>
          </w:p>
        </w:tc>
      </w:tr>
      <w:tr>
        <w:trPr>
          <w:trHeight w:val="237"/>
        </w:trPr>
        <w:tc>
          <w:tcPr>
            <w:tcW w:w="812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losses and expenses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50,807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45,883</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91"/>
        </w:trPr>
        <w:tc>
          <w:tcPr>
            <w:tcW w:w="8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149,719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121,580</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21,999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10,511</w:t>
            </w:r>
          </w:p>
        </w:tc>
      </w:tr>
      <w:tr>
        <w:trPr>
          <w:trHeight w:val="297"/>
        </w:trPr>
        <w:tc>
          <w:tcPr>
            <w:tcW w:w="812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127,720</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111,069</w:t>
            </w:r>
          </w:p>
        </w:tc>
      </w:tr>
      <w:tr>
        <w:trPr>
          <w:trHeight w:val="271"/>
        </w:trPr>
        <w:tc>
          <w:tcPr>
            <w:tcW w:w="8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Earnings per share:</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1.13</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84"/>
        </w:trPr>
        <w:tc>
          <w:tcPr>
            <w:tcW w:w="8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97,595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97,298</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98,104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97,951</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97"/>
        </w:trPr>
        <w:tc>
          <w:tcPr>
            <w:tcW w:w="8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127,720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111,069</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84"/>
        </w:trPr>
        <w:tc>
          <w:tcPr>
            <w:tcW w:w="8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8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3"/>
              </w:rPr>
              <w:t>Change in unrealized appreciation (depreciation) of investments, net of tax expense (benefit) of $7,951 in</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57"/>
        </w:trPr>
        <w:tc>
          <w:tcPr>
            <w:tcW w:w="81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2019 and ($5,193) in 2018</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38,366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(28,750)</w:t>
            </w:r>
          </w:p>
        </w:tc>
      </w:tr>
      <w:tr>
        <w:trPr>
          <w:trHeight w:val="237"/>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Total other comprehensive income (loss)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38,366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(28,750)</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Comprehensive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166,086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82,319</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Three Months Ended March 31, 2019</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Accumulated</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104"/>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Common</w:t>
            </w:r>
          </w:p>
        </w:tc>
        <w:tc>
          <w:tcPr>
            <w:tcW w:w="22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2"/>
              </w:rPr>
              <w:t>Paid-In</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240" w:type="dxa"/>
            <w:vAlign w:val="bottom"/>
          </w:tcPr>
          <w:p>
            <w:pPr>
              <w:spacing w:after="0"/>
              <w:rPr>
                <w:sz w:val="11"/>
                <w:szCs w:val="11"/>
                <w:color w:val="auto"/>
              </w:rPr>
            </w:pPr>
          </w:p>
        </w:tc>
        <w:tc>
          <w:tcPr>
            <w:tcW w:w="110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Retained</w:t>
            </w:r>
          </w:p>
        </w:tc>
        <w:tc>
          <w:tcPr>
            <w:tcW w:w="260" w:type="dxa"/>
            <w:vAlign w:val="bottom"/>
          </w:tcPr>
          <w:p>
            <w:pPr>
              <w:spacing w:after="0"/>
              <w:rPr>
                <w:sz w:val="11"/>
                <w:szCs w:val="11"/>
                <w:color w:val="auto"/>
              </w:rPr>
            </w:pPr>
          </w:p>
        </w:tc>
        <w:tc>
          <w:tcPr>
            <w:tcW w:w="110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Treasury</w:t>
            </w:r>
          </w:p>
        </w:tc>
        <w:tc>
          <w:tcPr>
            <w:tcW w:w="180" w:type="dxa"/>
            <w:vAlign w:val="bottom"/>
          </w:tcPr>
          <w:p>
            <w:pPr>
              <w:spacing w:after="0"/>
              <w:rPr>
                <w:sz w:val="11"/>
                <w:szCs w:val="11"/>
                <w:color w:val="auto"/>
              </w:rPr>
            </w:pPr>
          </w:p>
        </w:tc>
        <w:tc>
          <w:tcPr>
            <w:tcW w:w="1060" w:type="dxa"/>
            <w:vAlign w:val="bottom"/>
          </w:tcPr>
          <w:p>
            <w:pPr>
              <w:jc w:val="center"/>
              <w:ind w:right="124"/>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4"/>
        </w:trPr>
        <w:tc>
          <w:tcPr>
            <w:tcW w:w="32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85"/>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46"/>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Earnings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5"/>
              <w:spacing w:after="0"/>
              <w:rPr>
                <w:sz w:val="20"/>
                <w:szCs w:val="20"/>
                <w:color w:val="auto"/>
              </w:rPr>
            </w:pPr>
            <w:r>
              <w:rPr>
                <w:rFonts w:ascii="Arial" w:cs="Arial" w:eastAsia="Arial" w:hAnsi="Arial"/>
                <w:sz w:val="13"/>
                <w:szCs w:val="13"/>
                <w:b w:val="1"/>
                <w:bCs w:val="1"/>
                <w:color w:val="auto"/>
              </w:rPr>
              <w:t>Stock</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04"/>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36"/>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December 31, 2018</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b w:val="1"/>
                <w:bCs w:val="1"/>
                <w:color w:val="auto"/>
              </w:rPr>
              <w:t>1,472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b w:val="1"/>
                <w:bCs w:val="1"/>
                <w:color w:val="auto"/>
              </w:rPr>
              <w:t>1,110,800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(28,993)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b w:val="1"/>
                <w:bCs w:val="1"/>
                <w:color w:val="auto"/>
              </w:rPr>
              <w:t>1,282,438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b w:val="1"/>
                <w:bCs w:val="1"/>
                <w:color w:val="auto"/>
              </w:rPr>
              <w:t>2,365,717</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6"/>
              <w:spacing w:after="0"/>
              <w:rPr>
                <w:sz w:val="20"/>
                <w:szCs w:val="20"/>
                <w:color w:val="auto"/>
              </w:rPr>
            </w:pPr>
            <w:r>
              <w:rPr>
                <w:rFonts w:ascii="Arial" w:cs="Arial" w:eastAsia="Arial" w:hAnsi="Arial"/>
                <w:sz w:val="16"/>
                <w:szCs w:val="16"/>
                <w:color w:val="auto"/>
              </w:rPr>
              <w:t>127,720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127,720</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6"/>
                <w:szCs w:val="16"/>
                <w:color w:val="auto"/>
              </w:rPr>
              <w:t>38,366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38,366</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Issuance of management incentive shares</w:t>
            </w:r>
          </w:p>
        </w:tc>
        <w:tc>
          <w:tcPr>
            <w:tcW w:w="240" w:type="dxa"/>
            <w:vAlign w:val="bottom"/>
          </w:tcPr>
          <w:p>
            <w:pPr>
              <w:spacing w:after="0"/>
              <w:rPr>
                <w:sz w:val="20"/>
                <w:szCs w:val="20"/>
                <w:color w:val="auto"/>
              </w:rPr>
            </w:pPr>
          </w:p>
        </w:tc>
        <w:tc>
          <w:tcPr>
            <w:tcW w:w="1040" w:type="dxa"/>
            <w:vAlign w:val="bottom"/>
          </w:tcPr>
          <w:p>
            <w:pPr>
              <w:jc w:val="right"/>
              <w:ind w:right="45"/>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4,100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4,100</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Treasury stock acquired</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(8,100)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(8,100)</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Cancellation of treasury stock</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(8,097)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8,100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Balance at March 31, 2019</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1,475</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6"/>
                <w:szCs w:val="16"/>
                <w:b w:val="1"/>
                <w:bCs w:val="1"/>
                <w:color w:val="auto"/>
              </w:rPr>
              <w:t>1,106,797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6"/>
                <w:szCs w:val="16"/>
                <w:b w:val="1"/>
                <w:bCs w:val="1"/>
                <w:color w:val="auto"/>
              </w:rPr>
              <w:t>9,373</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6"/>
                <w:szCs w:val="16"/>
                <w:b w:val="1"/>
                <w:bCs w:val="1"/>
                <w:color w:val="auto"/>
              </w:rPr>
              <w:t>1,410,158</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2,527,803</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Three Months Ended March 31, 2018</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Accumulated</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104"/>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Common</w:t>
            </w:r>
          </w:p>
        </w:tc>
        <w:tc>
          <w:tcPr>
            <w:tcW w:w="22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2"/>
              </w:rPr>
              <w:t>Paid-In</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240" w:type="dxa"/>
            <w:vAlign w:val="bottom"/>
          </w:tcPr>
          <w:p>
            <w:pPr>
              <w:spacing w:after="0"/>
              <w:rPr>
                <w:sz w:val="11"/>
                <w:szCs w:val="11"/>
                <w:color w:val="auto"/>
              </w:rPr>
            </w:pPr>
          </w:p>
        </w:tc>
        <w:tc>
          <w:tcPr>
            <w:tcW w:w="110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Retained</w:t>
            </w:r>
          </w:p>
        </w:tc>
        <w:tc>
          <w:tcPr>
            <w:tcW w:w="260" w:type="dxa"/>
            <w:vAlign w:val="bottom"/>
          </w:tcPr>
          <w:p>
            <w:pPr>
              <w:spacing w:after="0"/>
              <w:rPr>
                <w:sz w:val="11"/>
                <w:szCs w:val="11"/>
                <w:color w:val="auto"/>
              </w:rPr>
            </w:pPr>
          </w:p>
        </w:tc>
        <w:tc>
          <w:tcPr>
            <w:tcW w:w="110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Treasury</w:t>
            </w:r>
          </w:p>
        </w:tc>
        <w:tc>
          <w:tcPr>
            <w:tcW w:w="180" w:type="dxa"/>
            <w:vAlign w:val="bottom"/>
          </w:tcPr>
          <w:p>
            <w:pPr>
              <w:spacing w:after="0"/>
              <w:rPr>
                <w:sz w:val="11"/>
                <w:szCs w:val="11"/>
                <w:color w:val="auto"/>
              </w:rPr>
            </w:pPr>
          </w:p>
        </w:tc>
        <w:tc>
          <w:tcPr>
            <w:tcW w:w="1060" w:type="dxa"/>
            <w:vAlign w:val="bottom"/>
          </w:tcPr>
          <w:p>
            <w:pPr>
              <w:jc w:val="center"/>
              <w:ind w:right="124"/>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4"/>
        </w:trPr>
        <w:tc>
          <w:tcPr>
            <w:tcW w:w="32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85"/>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46"/>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Earnings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5"/>
              <w:spacing w:after="0"/>
              <w:rPr>
                <w:sz w:val="20"/>
                <w:szCs w:val="20"/>
                <w:color w:val="auto"/>
              </w:rPr>
            </w:pPr>
            <w:r>
              <w:rPr>
                <w:rFonts w:ascii="Arial" w:cs="Arial" w:eastAsia="Arial" w:hAnsi="Arial"/>
                <w:sz w:val="13"/>
                <w:szCs w:val="13"/>
                <w:b w:val="1"/>
                <w:bCs w:val="1"/>
                <w:color w:val="auto"/>
              </w:rPr>
              <w:t>Stock</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04"/>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36"/>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December 31, 2017</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b w:val="1"/>
                <w:bCs w:val="1"/>
                <w:color w:val="auto"/>
              </w:rPr>
              <w:t>1,476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b w:val="1"/>
                <w:bCs w:val="1"/>
                <w:color w:val="auto"/>
              </w:rPr>
              <w:t>1,127,137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(3,252)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b w:val="1"/>
                <w:bCs w:val="1"/>
                <w:color w:val="auto"/>
              </w:rPr>
              <w:t>815,075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b w:val="1"/>
                <w:bCs w:val="1"/>
                <w:color w:val="auto"/>
              </w:rPr>
              <w:t>1,940,436</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6"/>
              <w:spacing w:after="0"/>
              <w:rPr>
                <w:sz w:val="20"/>
                <w:szCs w:val="20"/>
                <w:color w:val="auto"/>
              </w:rPr>
            </w:pPr>
            <w:r>
              <w:rPr>
                <w:rFonts w:ascii="Arial" w:cs="Arial" w:eastAsia="Arial" w:hAnsi="Arial"/>
                <w:sz w:val="16"/>
                <w:szCs w:val="16"/>
                <w:color w:val="auto"/>
              </w:rPr>
              <w:t>111,069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111,069</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(28,750)</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Issuance of management incentive shares</w:t>
            </w:r>
          </w:p>
        </w:tc>
        <w:tc>
          <w:tcPr>
            <w:tcW w:w="240" w:type="dxa"/>
            <w:vAlign w:val="bottom"/>
          </w:tcPr>
          <w:p>
            <w:pPr>
              <w:spacing w:after="0"/>
              <w:rPr>
                <w:sz w:val="20"/>
                <w:szCs w:val="20"/>
                <w:color w:val="auto"/>
              </w:rPr>
            </w:pPr>
          </w:p>
        </w:tc>
        <w:tc>
          <w:tcPr>
            <w:tcW w:w="1040" w:type="dxa"/>
            <w:vAlign w:val="bottom"/>
          </w:tcPr>
          <w:p>
            <w:pPr>
              <w:jc w:val="right"/>
              <w:ind w:right="45"/>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3,605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3,605</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Treasury stock acquired</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(31,070)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(31,070)</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Cancellation of treasury stock</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31,070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Balance at March 31, 2018</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1,472</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6"/>
                <w:szCs w:val="16"/>
                <w:b w:val="1"/>
                <w:bCs w:val="1"/>
                <w:color w:val="auto"/>
              </w:rPr>
              <w:t>1,099,676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(32,002)</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6"/>
                <w:szCs w:val="16"/>
                <w:b w:val="1"/>
                <w:bCs w:val="1"/>
                <w:color w:val="auto"/>
              </w:rPr>
              <w:t>926,144</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1,995,290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r>
      <w:tr>
        <w:trPr>
          <w:trHeight w:val="236"/>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127,720</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111,069</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6"/>
                <w:szCs w:val="16"/>
                <w:color w:val="auto"/>
              </w:rPr>
              <w:t>Gain on the sale of investments, net</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Equity in net income of other invested assets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901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897</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3,605</w:t>
            </w: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6"/>
                <w:szCs w:val="16"/>
                <w:color w:val="auto"/>
              </w:rPr>
              <w:t>Amortization of premium on investment securities</w:t>
            </w:r>
          </w:p>
        </w:tc>
        <w:tc>
          <w:tcPr>
            <w:tcW w:w="3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3,551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3,287</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Deferred income tax provision</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15,447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9,882</w:t>
            </w: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6"/>
                <w:szCs w:val="16"/>
                <w:color w:val="auto"/>
              </w:rPr>
              <w:t>Change in:</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Accrued investment income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(1,576)</w:t>
            </w:r>
          </w:p>
        </w:tc>
      </w:tr>
      <w:tr>
        <w:trPr>
          <w:trHeight w:val="237"/>
        </w:trPr>
        <w:tc>
          <w:tcPr>
            <w:tcW w:w="8360" w:type="dxa"/>
            <w:vAlign w:val="bottom"/>
            <w:gridSpan w:val="2"/>
          </w:tcPr>
          <w:p>
            <w:pPr>
              <w:ind w:left="50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(2,238)</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Deferred policy acquisition costs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w:t>
            </w:r>
          </w:p>
        </w:tc>
      </w:tr>
      <w:tr>
        <w:trPr>
          <w:trHeight w:val="237"/>
        </w:trPr>
        <w:tc>
          <w:tcPr>
            <w:tcW w:w="8360" w:type="dxa"/>
            <w:vAlign w:val="bottom"/>
            <w:gridSpan w:val="2"/>
          </w:tcPr>
          <w:p>
            <w:pPr>
              <w:ind w:left="500"/>
              <w:spacing w:after="0"/>
              <w:rPr>
                <w:sz w:val="20"/>
                <w:szCs w:val="20"/>
                <w:color w:val="auto"/>
              </w:rPr>
            </w:pPr>
            <w:r>
              <w:rPr>
                <w:rFonts w:ascii="Arial" w:cs="Arial" w:eastAsia="Arial" w:hAnsi="Arial"/>
                <w:sz w:val="16"/>
                <w:szCs w:val="16"/>
                <w:color w:val="auto"/>
              </w:rPr>
              <w:t>Prepaid federal income tax</w:t>
            </w:r>
          </w:p>
        </w:tc>
        <w:tc>
          <w:tcPr>
            <w:tcW w:w="32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100,863</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(4,619)</w:t>
            </w:r>
          </w:p>
        </w:tc>
      </w:tr>
      <w:tr>
        <w:trPr>
          <w:trHeight w:val="237"/>
        </w:trPr>
        <w:tc>
          <w:tcPr>
            <w:tcW w:w="8360" w:type="dxa"/>
            <w:vAlign w:val="bottom"/>
            <w:gridSpan w:val="2"/>
          </w:tcPr>
          <w:p>
            <w:pPr>
              <w:ind w:left="500"/>
              <w:spacing w:after="0"/>
              <w:rPr>
                <w:sz w:val="20"/>
                <w:szCs w:val="20"/>
                <w:color w:val="auto"/>
              </w:rPr>
            </w:pPr>
            <w:r>
              <w:rPr>
                <w:rFonts w:ascii="Arial" w:cs="Arial" w:eastAsia="Arial" w:hAnsi="Arial"/>
                <w:sz w:val="16"/>
                <w:szCs w:val="16"/>
                <w:color w:val="auto"/>
              </w:rPr>
              <w:t>Reserve for losses and LAE</w:t>
            </w:r>
          </w:p>
        </w:tc>
        <w:tc>
          <w:tcPr>
            <w:tcW w:w="3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4,020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3,116</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Unearned premium reserve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12,667</w:t>
            </w:r>
          </w:p>
        </w:tc>
      </w:tr>
      <w:tr>
        <w:trPr>
          <w:trHeight w:val="237"/>
        </w:trPr>
        <w:tc>
          <w:tcPr>
            <w:tcW w:w="8360" w:type="dxa"/>
            <w:vAlign w:val="bottom"/>
            <w:gridSpan w:val="2"/>
          </w:tcPr>
          <w:p>
            <w:pPr>
              <w:ind w:left="500"/>
              <w:spacing w:after="0"/>
              <w:rPr>
                <w:sz w:val="20"/>
                <w:szCs w:val="20"/>
                <w:color w:val="auto"/>
              </w:rPr>
            </w:pPr>
            <w:r>
              <w:rPr>
                <w:rFonts w:ascii="Arial" w:cs="Arial" w:eastAsia="Arial" w:hAnsi="Arial"/>
                <w:sz w:val="16"/>
                <w:szCs w:val="16"/>
                <w:color w:val="auto"/>
              </w:rPr>
              <w:t>Other accrued liabilities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(17,303)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(14,679)</w:t>
            </w:r>
          </w:p>
        </w:tc>
      </w:tr>
      <w:tr>
        <w:trPr>
          <w:trHeight w:val="33"/>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138,682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221,868</w:t>
            </w:r>
          </w:p>
        </w:tc>
      </w:tr>
      <w:tr>
        <w:trPr>
          <w:trHeight w:val="156"/>
        </w:trPr>
        <w:tc>
          <w:tcPr>
            <w:tcW w:w="8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6"/>
                <w:szCs w:val="16"/>
                <w:color w:val="auto"/>
              </w:rPr>
              <w:t>Net change in short-term investments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(56,422)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(68,068)</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Purchase of investments available for sale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(192,530)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(266,847)</w:t>
            </w: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6"/>
                <w:szCs w:val="16"/>
                <w:color w:val="auto"/>
              </w:rPr>
              <w:t>Proceeds from maturity of investments available for sale</w:t>
            </w:r>
          </w:p>
        </w:tc>
        <w:tc>
          <w:tcPr>
            <w:tcW w:w="3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17,014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16,601</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Proceeds from sales of investments available for sale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79,714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102,458</w:t>
            </w: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6"/>
                <w:szCs w:val="16"/>
                <w:color w:val="auto"/>
              </w:rPr>
              <w:t>Purchase of other invested assets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(1,983)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Return of investment from other invested assets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6"/>
                <w:szCs w:val="16"/>
                <w:color w:val="auto"/>
              </w:rPr>
              <w:t>Purchase of property and equipment</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(508)</w:t>
            </w:r>
          </w:p>
        </w:tc>
      </w:tr>
      <w:tr>
        <w:trPr>
          <w:trHeight w:val="33"/>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(155,039)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(216,364)</w:t>
            </w:r>
          </w:p>
        </w:tc>
      </w:tr>
      <w:tr>
        <w:trPr>
          <w:trHeight w:val="156"/>
        </w:trPr>
        <w:tc>
          <w:tcPr>
            <w:tcW w:w="8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6"/>
                <w:szCs w:val="16"/>
                <w:color w:val="auto"/>
              </w:rPr>
              <w:t>Credit facility borrowings</w:t>
            </w:r>
          </w:p>
        </w:tc>
        <w:tc>
          <w:tcPr>
            <w:tcW w:w="32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15,000</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Treasury stock acquired</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(31,070)</w:t>
            </w:r>
          </w:p>
        </w:tc>
      </w:tr>
      <w:tr>
        <w:trPr>
          <w:trHeight w:val="21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(8,100)</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(16,070)</w:t>
            </w:r>
          </w:p>
        </w:tc>
      </w:tr>
      <w:tr>
        <w:trPr>
          <w:trHeight w:val="33"/>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56"/>
        </w:trPr>
        <w:tc>
          <w:tcPr>
            <w:tcW w:w="8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Net decrease in cash</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(24,457)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(10,566)</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at beginning of year</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64,946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43,524</w:t>
            </w:r>
          </w:p>
        </w:tc>
      </w:tr>
      <w:tr>
        <w:trPr>
          <w:trHeight w:val="284"/>
        </w:trPr>
        <w:tc>
          <w:tcPr>
            <w:tcW w:w="83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b w:val="1"/>
                <w:bCs w:val="1"/>
                <w:color w:val="auto"/>
              </w:rPr>
              <w:t>Cash at end of period</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40,489</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32,958</w:t>
            </w:r>
          </w:p>
        </w:tc>
      </w:tr>
      <w:tr>
        <w:trPr>
          <w:trHeight w:val="149"/>
        </w:trPr>
        <w:tc>
          <w:tcPr>
            <w:tcW w:w="8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tax payments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Interest payments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(2,532)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(2,324)</w:t>
            </w: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In these notes to condensed consolidated financial statements, “Essent”, “Company”, “we”, “us”, and “our” refer to Essent Group Ltd. and its subsidiaries, unless the context otherwise requires.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 down payment (generally less than 20%) mortgage loans into the secondary mortgage market, primarily to two government-sponsored enterprises (“GSEs”), Fannie Mae and Freddie Mac.</w:t>
      </w:r>
    </w:p>
    <w:p>
      <w:pPr>
        <w:spacing w:after="0" w:line="187"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color w:val="auto"/>
        </w:rPr>
        <w:t>The primary mortgage insurance operations are conducted through Essent Guaranty, Inc. (“Essent Guaranty”), a wholly-owned subsidiary approved as a qualified mortgage insurer by the GSEs and is licensed to write mortgage insurance in all 50 states and the District of Columbia. A significant portion of our premium revenue relates to master policies with certain lending institutions. For the three months ended March 31, 2019, one lender represented 10% of our total revenue. The loss of this customer could have a significant impact on our revenues and results of operations.</w:t>
      </w:r>
    </w:p>
    <w:p>
      <w:pPr>
        <w:spacing w:after="0" w:line="17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Essent Guaranty reinsures 25% of GSE-eligible new insurance written to Essent Reinsurance Ltd. (“Essent Re”), an affiliated Bermuda domiciled Class 3A Insurer licensed pursuant to Section 4 of the Bermuda Insurance Act 1978 that provides insurance and reinsurance coverage of mortgage credit risk. Essent Re also provides insurance and reinsurance to Freddie Mac and Fannie Mae. In 2016, Essent Re formed Essent Agency (Bermuda) Ltd., a wholly-owned subsidiary, which provides underwriting consulting services to third-party reinsurers. In accordance with certain state law requirements, Essent Guaranty also reinsures that portion of the risk that is in excess of 25% of the mortgage balance with respect to any loan insured, after consideration of other reinsurance, to Essent Guaranty of PA, Inc. (“Essent PA”), an affiliate.</w:t>
      </w:r>
    </w:p>
    <w:p>
      <w:pPr>
        <w:spacing w:after="0" w:line="178"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In addition to offering mortgage insurance, we provide contract underwriting services on a limited basis through CUW Solutions, LLC ("CUW Solutions"), a Delaware limited liability company, that provides, among other things, mortgage contract underwriting services to lenders and mortgage insurance underwriting services to affiliates.</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prepared the condensed consolidated financial statements included herein pursuant to the rules and regulations of the Securities and Exchange Commission (“SEC”). We have condensed or omitted certain information and footnote disclosures normally included in consolidated financial statements prepared in accordance with U.S. generally accepted accounting principles (“GAAP”) pursuant to such rules and regulations. In the opinion of management, the statements include all adjustments (which include normal recurring adjustments) required for a fair statement of financial position, results of operations and cash flows for the interim periods presented. These statements should be read in conjunction with the consolidated financial statements and notes thereto, including Note 1 and Note 2 to the consolidated financial statements, included in our Annual Report on Form 10-K for the year ended December 31, 2018, which discloses the principles of consolidation and a summary of significant accounting policies. The results of operations for the interim periods are not necessarily indicative of the results for the full year. We evaluated the need to recognize or disclose events that occurred subsequent to March 31, 2019 prior to the issuance of these condensed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Recently Issued Accounting Standards</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This update requires organizations that lease assets to recognize on the balance sheet the assets and liabilities for the rights and obligations created by those leases. The new guidance also requires additional disclosures about the amount, timing and uncertainty of cash flows arising from leases. The provisions of this update were effective for annual and interim periods beginning after December 15, 2018. We adopted this standard on January 1, 2019 using the modified retrospective adoption approach for our existing operating leases at January 1, 2019. As permitted by this ASU, for leases that commenced before January 1, 2019 we elected the practical expedients of not reassessing whether any expired or existing contracts are or contain leases, not reassessing the lease classification for any expired or existing leases and not reassessing any initial direct costs for existing leases. In addition, we elected the practical expedient to use hindsight in determining the lease term. We also elected to recognize rent expense for short-term leases on a straight line basis over the lease term as permitted under this ASU. The adoption of this ASU did not have a material effect on the Company's consolidated operating results or financial position.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Measurement of Credit Losses on Financial Instruments (Topic 326)</w:t>
      </w:r>
      <w:r>
        <w:rPr>
          <w:rFonts w:ascii="Arial" w:cs="Arial" w:eastAsia="Arial" w:hAnsi="Arial"/>
          <w:sz w:val="17"/>
          <w:szCs w:val="17"/>
          <w:color w:val="auto"/>
        </w:rPr>
        <w:t>. This update is intended to provide financial statement users with more information about the expected credit losses on financial instruments and other commitments to extend credit held by a reporting entity at each reporting date. The amendments in this ASU replace the incurred loss impairment methodology in current GAAP with a methodology that reflects expected credit losses and requires consideration of a broader range of reasonable and supportable information to inform credit loss estimates. The new guidance requires financial assets measured at amortized cost to be presented at the net amount expected to be collected through the use of an allowance for credit losses. Credit losses relating to available-for-sale debt securities will also be recorded through an allowance rather than as a write-down of the amortized cost of the securities. The provisions of this update are effective for annual and interim periods beginning after December 15, 2019. While the Company is still evaluating this ASU, we do not expect it to impact our accounting for insurance losses and loss adjustment expenses ("LAE") as these items are not within the scope of this ASU.</w:t>
      </w:r>
    </w:p>
    <w:p>
      <w:pPr>
        <w:spacing w:after="0" w:line="195" w:lineRule="exact"/>
        <w:rPr>
          <w:sz w:val="20"/>
          <w:szCs w:val="20"/>
          <w:color w:val="auto"/>
        </w:rPr>
      </w:pPr>
    </w:p>
    <w:p>
      <w:pPr>
        <w:ind w:right="60" w:firstLine="648"/>
        <w:spacing w:after="0" w:line="272"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The amendments in this update modify the disclosure requirements for fair value measurements by removing,</w:t>
      </w:r>
      <w:r>
        <w:rPr>
          <w:rFonts w:ascii="Arial" w:cs="Arial" w:eastAsia="Arial" w:hAnsi="Arial"/>
          <w:sz w:val="18"/>
          <w:szCs w:val="18"/>
          <w:i w:val="1"/>
          <w:iCs w:val="1"/>
          <w:color w:val="auto"/>
        </w:rPr>
        <w:t xml:space="preserve"> </w:t>
      </w:r>
      <w:r>
        <w:rPr>
          <w:rFonts w:ascii="Arial" w:cs="Arial" w:eastAsia="Arial" w:hAnsi="Arial"/>
          <w:sz w:val="18"/>
          <w:szCs w:val="18"/>
          <w:color w:val="auto"/>
        </w:rPr>
        <w:t>modifying, or adding certain disclosures. The provisions of this update are effective for interim and annual periods beginning after December 15, 2019, with early adoption permitted for the removed disclosures. The Company is evaluating the impact the adoption of this ASU will have on the consolidated financial statements and related disclosures.</w:t>
      </w:r>
    </w:p>
    <w:p>
      <w:pPr>
        <w:spacing w:after="0" w:line="178"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 - Goodwill and Other - Internal-Use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for Implementation Costs Incurred in a Cloud Computing Arrangement That Is a Service Contract. </w:t>
      </w:r>
      <w:r>
        <w:rPr>
          <w:rFonts w:ascii="Arial" w:cs="Arial" w:eastAsia="Arial" w:hAnsi="Arial"/>
          <w:sz w:val="16"/>
          <w:szCs w:val="16"/>
          <w:color w:val="auto"/>
        </w:rPr>
        <w:t>The amendments in this update align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for capitalizing implementation costs associated with cloud computing arrangements hosted by a vendor with the requirements for capitalizing implementation costs incurred to develop or obtain internal-use software. The provisions of this update are effective for interim and annual periods beginning after December 15, 2019, with early adoption permitted. The Company has elected to adopt this ASU prospectively to eligible costs incurred effective January 1, 2019. The adoption of this ASU did not have a material effect on the Company’s consolidated operating results or financial position.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Investments available for sale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March 31, 2019 (In thousands)</w:t>
            </w:r>
          </w:p>
        </w:tc>
        <w:tc>
          <w:tcPr>
            <w:tcW w:w="1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02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288,897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286,843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4"/>
          </w:tcPr>
          <w:p>
            <w:pPr>
              <w:ind w:left="2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33,638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33,187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675,268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5,601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672,142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4"/>
          </w:tcPr>
          <w:p>
            <w:pPr>
              <w:ind w:left="20"/>
              <w:spacing w:after="0"/>
              <w:rPr>
                <w:sz w:val="20"/>
                <w:szCs w:val="20"/>
                <w:color w:val="auto"/>
              </w:rPr>
            </w:pPr>
            <w:r>
              <w:rPr>
                <w:rFonts w:ascii="Arial" w:cs="Arial" w:eastAsia="Arial" w:hAnsi="Arial"/>
                <w:sz w:val="18"/>
                <w:szCs w:val="18"/>
                <w:color w:val="auto"/>
              </w:rPr>
              <w:t>Municipal debt securities(1)</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447,538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14,172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461,382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Non-U.S. government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45,034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4"/>
          </w:tcPr>
          <w:p>
            <w:pPr>
              <w:ind w:left="20"/>
              <w:spacing w:after="0"/>
              <w:rPr>
                <w:sz w:val="20"/>
                <w:szCs w:val="20"/>
                <w:color w:val="auto"/>
              </w:rPr>
            </w:pPr>
            <w:r>
              <w:rPr>
                <w:rFonts w:ascii="Arial" w:cs="Arial" w:eastAsia="Arial" w:hAnsi="Arial"/>
                <w:sz w:val="18"/>
                <w:szCs w:val="18"/>
                <w:color w:val="auto"/>
              </w:rPr>
              <w:t>Corporate debt securities(2)</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759,846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7,690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763,401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185,393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187,210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4"/>
          </w:tcPr>
          <w:p>
            <w:pPr>
              <w:ind w:left="2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316,759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314,736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210,821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210,822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gridSpan w:val="4"/>
          </w:tcPr>
          <w:p>
            <w:pPr>
              <w:ind w:left="20"/>
              <w:spacing w:after="0"/>
              <w:rPr>
                <w:sz w:val="20"/>
                <w:szCs w:val="20"/>
                <w:color w:val="auto"/>
              </w:rPr>
            </w:pPr>
            <w:r>
              <w:rPr>
                <w:rFonts w:ascii="Arial" w:cs="Arial" w:eastAsia="Arial" w:hAnsi="Arial"/>
                <w:sz w:val="18"/>
                <w:szCs w:val="18"/>
                <w:color w:val="auto"/>
              </w:rPr>
              <w:t>Total investments available for sale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2,963,194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33,240</w:t>
            </w:r>
          </w:p>
        </w:tc>
        <w:tc>
          <w:tcPr>
            <w:tcW w:w="120" w:type="dxa"/>
            <w:vAlign w:val="bottom"/>
          </w:tcPr>
          <w:p>
            <w:pPr>
              <w:spacing w:after="0"/>
              <w:rPr>
                <w:sz w:val="20"/>
                <w:szCs w:val="20"/>
                <w:color w:val="auto"/>
              </w:rPr>
            </w:pPr>
          </w:p>
        </w:tc>
        <w:tc>
          <w:tcPr>
            <w:tcW w:w="1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(20,345)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2,976,089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0" w:type="dxa"/>
            <w:vAlign w:val="bottom"/>
          </w:tcPr>
          <w:p>
            <w:pPr>
              <w:spacing w:after="0"/>
              <w:rPr>
                <w:sz w:val="23"/>
                <w:szCs w:val="23"/>
                <w:color w:val="auto"/>
              </w:rPr>
            </w:pPr>
          </w:p>
        </w:tc>
        <w:tc>
          <w:tcPr>
            <w:tcW w:w="5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December 31, 2018 (In thousands)</w:t>
            </w:r>
          </w:p>
        </w:tc>
        <w:tc>
          <w:tcPr>
            <w:tcW w:w="120" w:type="dxa"/>
            <w:vAlign w:val="bottom"/>
            <w:vMerge w:val="restart"/>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23"/>
                <w:szCs w:val="23"/>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23"/>
                <w:szCs w:val="23"/>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02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295,145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289,892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4"/>
          </w:tcPr>
          <w:p>
            <w:pPr>
              <w:ind w:left="2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33,645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32,997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9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649,228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637,178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4"/>
          </w:tcPr>
          <w:p>
            <w:pPr>
              <w:ind w:left="20"/>
              <w:spacing w:after="0"/>
              <w:rPr>
                <w:sz w:val="20"/>
                <w:szCs w:val="20"/>
                <w:color w:val="auto"/>
              </w:rPr>
            </w:pPr>
            <w:r>
              <w:rPr>
                <w:rFonts w:ascii="Arial" w:cs="Arial" w:eastAsia="Arial" w:hAnsi="Arial"/>
                <w:sz w:val="18"/>
                <w:szCs w:val="18"/>
                <w:color w:val="auto"/>
              </w:rPr>
              <w:t>Municipal debt securities(1)</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481,547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5,351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483,879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9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Non-U.S. government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44,999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4"/>
          </w:tcPr>
          <w:p>
            <w:pPr>
              <w:ind w:left="20"/>
              <w:spacing w:after="0"/>
              <w:rPr>
                <w:sz w:val="20"/>
                <w:szCs w:val="20"/>
                <w:color w:val="auto"/>
              </w:rPr>
            </w:pPr>
            <w:r>
              <w:rPr>
                <w:rFonts w:ascii="Arial" w:cs="Arial" w:eastAsia="Arial" w:hAnsi="Arial"/>
                <w:sz w:val="18"/>
                <w:szCs w:val="18"/>
                <w:color w:val="auto"/>
              </w:rPr>
              <w:t>Corporate debt securities(2)</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738,964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1,005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(14,768)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725,201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9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122,369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121,838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4"/>
          </w:tcPr>
          <w:p>
            <w:pPr>
              <w:ind w:left="2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288,371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284,997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9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139,082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139,083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gridSpan w:val="4"/>
          </w:tcPr>
          <w:p>
            <w:pPr>
              <w:ind w:left="20"/>
              <w:spacing w:after="0"/>
              <w:rPr>
                <w:sz w:val="20"/>
                <w:szCs w:val="20"/>
                <w:color w:val="auto"/>
              </w:rPr>
            </w:pPr>
            <w:r>
              <w:rPr>
                <w:rFonts w:ascii="Arial" w:cs="Arial" w:eastAsia="Arial" w:hAnsi="Arial"/>
                <w:sz w:val="18"/>
                <w:szCs w:val="18"/>
                <w:color w:val="auto"/>
              </w:rPr>
              <w:t>Total investments available for sale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2,793,350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10,846</w:t>
            </w:r>
          </w:p>
        </w:tc>
        <w:tc>
          <w:tcPr>
            <w:tcW w:w="120" w:type="dxa"/>
            <w:vAlign w:val="bottom"/>
          </w:tcPr>
          <w:p>
            <w:pPr>
              <w:spacing w:after="0"/>
              <w:rPr>
                <w:sz w:val="20"/>
                <w:szCs w:val="20"/>
                <w:color w:val="auto"/>
              </w:rPr>
            </w:pPr>
          </w:p>
        </w:tc>
        <w:tc>
          <w:tcPr>
            <w:tcW w:w="1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(44,130)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2,760,066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24"/>
                <w:szCs w:val="24"/>
                <w:color w:val="auto"/>
              </w:rPr>
            </w:pPr>
          </w:p>
        </w:tc>
        <w:tc>
          <w:tcPr>
            <w:tcW w:w="13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(1) The following table summarizes municipal debt securities as of :</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Special revenue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940" w:type="dxa"/>
            <w:vAlign w:val="bottom"/>
            <w:gridSpan w:val="3"/>
          </w:tcPr>
          <w:p>
            <w:pPr>
              <w:ind w:left="20"/>
              <w:spacing w:after="0"/>
              <w:rPr>
                <w:sz w:val="20"/>
                <w:szCs w:val="20"/>
                <w:color w:val="auto"/>
              </w:rPr>
            </w:pPr>
            <w:r>
              <w:rPr>
                <w:rFonts w:ascii="Arial" w:cs="Arial" w:eastAsia="Arial" w:hAnsi="Arial"/>
                <w:sz w:val="18"/>
                <w:szCs w:val="18"/>
                <w:color w:val="auto"/>
              </w:rPr>
              <w:t>General obligation bonds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26.0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94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Certificate of participation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940" w:type="dxa"/>
            <w:vAlign w:val="bottom"/>
            <w:gridSpan w:val="3"/>
          </w:tcPr>
          <w:p>
            <w:pPr>
              <w:ind w:left="20"/>
              <w:spacing w:after="0"/>
              <w:rPr>
                <w:sz w:val="20"/>
                <w:szCs w:val="20"/>
                <w:color w:val="auto"/>
              </w:rPr>
            </w:pPr>
            <w:r>
              <w:rPr>
                <w:rFonts w:ascii="Arial" w:cs="Arial" w:eastAsia="Arial" w:hAnsi="Arial"/>
                <w:sz w:val="18"/>
                <w:szCs w:val="18"/>
                <w:color w:val="auto"/>
              </w:rPr>
              <w:t>Tax allocation bonds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94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Special tax bonds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940" w:type="dxa"/>
            <w:vAlign w:val="bottom"/>
            <w:gridSpan w:val="3"/>
          </w:tcPr>
          <w:p>
            <w:pPr>
              <w:ind w:left="16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vMerge w:val="restart"/>
          </w:tcPr>
          <w:p>
            <w:pPr>
              <w:jc w:val="right"/>
              <w:ind w:right="8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ind w:left="340"/>
              <w:spacing w:after="0"/>
              <w:rPr>
                <w:sz w:val="20"/>
                <w:szCs w:val="20"/>
                <w:color w:val="auto"/>
              </w:rPr>
            </w:pPr>
            <w:r>
              <w:rPr>
                <w:rFonts w:ascii="Arial" w:cs="Arial" w:eastAsia="Arial" w:hAnsi="Arial"/>
                <w:sz w:val="14"/>
                <w:szCs w:val="14"/>
                <w:b w:val="1"/>
                <w:bCs w:val="1"/>
                <w:color w:val="auto"/>
              </w:rPr>
              <w:t>March 31,</w:t>
            </w:r>
          </w:p>
        </w:tc>
        <w:tc>
          <w:tcPr>
            <w:tcW w:w="1280" w:type="dxa"/>
            <w:vAlign w:val="bottom"/>
          </w:tcPr>
          <w:p>
            <w:pPr>
              <w:jc w:val="right"/>
              <w:ind w:right="13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76"/>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 The following table summarizes corporate debt securities as of :</w:t>
            </w:r>
          </w:p>
        </w:tc>
        <w:tc>
          <w:tcPr>
            <w:tcW w:w="34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Financial</w:t>
            </w:r>
          </w:p>
        </w:tc>
        <w:tc>
          <w:tcPr>
            <w:tcW w:w="4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Consumer, non-cyclical</w:t>
            </w:r>
          </w:p>
        </w:tc>
        <w:tc>
          <w:tcPr>
            <w:tcW w:w="4800" w:type="dxa"/>
            <w:vAlign w:val="bottom"/>
            <w:gridSpan w:val="3"/>
          </w:tcPr>
          <w:p>
            <w:pPr>
              <w:jc w:val="right"/>
              <w:ind w:right="99"/>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Communications</w:t>
            </w:r>
          </w:p>
        </w:tc>
        <w:tc>
          <w:tcPr>
            <w:tcW w:w="480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Consumer, cyclical</w:t>
            </w:r>
          </w:p>
        </w:tc>
        <w:tc>
          <w:tcPr>
            <w:tcW w:w="4800" w:type="dxa"/>
            <w:vAlign w:val="bottom"/>
            <w:gridSpan w:val="3"/>
          </w:tcPr>
          <w:p>
            <w:pPr>
              <w:jc w:val="right"/>
              <w:ind w:right="99"/>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480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4800" w:type="dxa"/>
            <w:vAlign w:val="bottom"/>
            <w:gridSpan w:val="3"/>
          </w:tcPr>
          <w:p>
            <w:pPr>
              <w:jc w:val="right"/>
              <w:ind w:right="99"/>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Utilities</w:t>
            </w:r>
          </w:p>
        </w:tc>
        <w:tc>
          <w:tcPr>
            <w:tcW w:w="480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4800" w:type="dxa"/>
            <w:vAlign w:val="bottom"/>
            <w:gridSpan w:val="3"/>
          </w:tcPr>
          <w:p>
            <w:pPr>
              <w:jc w:val="right"/>
              <w:ind w:right="99"/>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materials</w:t>
            </w:r>
          </w:p>
        </w:tc>
        <w:tc>
          <w:tcPr>
            <w:tcW w:w="3520" w:type="dxa"/>
            <w:vAlign w:val="bottom"/>
            <w:tcBorders>
              <w:bottom w:val="single" w:sz="8" w:color="CCEEFF"/>
            </w:tcBorders>
            <w:gridSpan w:val="2"/>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7"/>
        </w:trPr>
        <w:tc>
          <w:tcPr>
            <w:tcW w:w="4800" w:type="dxa"/>
            <w:vAlign w:val="bottom"/>
          </w:tcPr>
          <w:p>
            <w:pPr>
              <w:ind w:left="160"/>
              <w:spacing w:after="0"/>
              <w:rPr>
                <w:sz w:val="20"/>
                <w:szCs w:val="20"/>
                <w:color w:val="auto"/>
              </w:rPr>
            </w:pPr>
            <w:r>
              <w:rPr>
                <w:rFonts w:ascii="Arial" w:cs="Arial" w:eastAsia="Arial" w:hAnsi="Arial"/>
                <w:sz w:val="18"/>
                <w:szCs w:val="18"/>
                <w:color w:val="auto"/>
              </w:rPr>
              <w:t>Total</w:t>
            </w:r>
          </w:p>
        </w:tc>
        <w:tc>
          <w:tcPr>
            <w:tcW w:w="3520" w:type="dxa"/>
            <w:vAlign w:val="bottom"/>
            <w:gridSpan w:val="2"/>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420" w:type="dxa"/>
            <w:vAlign w:val="bottom"/>
            <w:vMerge w:val="restart"/>
          </w:tcPr>
          <w:p>
            <w:pPr>
              <w:jc w:val="right"/>
              <w:ind w:right="259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80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125" w:right="4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amortized cost and fair value of investments available for sale at March 31, 2019, by contractual maturity, are shown below. Expected maturities will differ from contractual maturities because borrowers may have the right to call or prepay obligations with or without call or prepayment penalties. Because most U.S. agency mortgage-backed securities, residential and commercial mortgage securities and asset-backed securities provide for periodic payments throughout their lives, they are listed below in separate categories.</w:t>
      </w: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gridSpan w:val="2"/>
          </w:tcPr>
          <w:p>
            <w:pPr>
              <w:ind w:left="260"/>
              <w:spacing w:after="0"/>
              <w:rPr>
                <w:sz w:val="20"/>
                <w:szCs w:val="20"/>
                <w:color w:val="auto"/>
              </w:rPr>
            </w:pPr>
            <w:r>
              <w:rPr>
                <w:rFonts w:ascii="Arial" w:cs="Arial" w:eastAsia="Arial" w:hAnsi="Arial"/>
                <w:sz w:val="14"/>
                <w:szCs w:val="14"/>
                <w:b w:val="1"/>
                <w:bCs w:val="1"/>
                <w:color w:val="auto"/>
              </w:rPr>
              <w:t>Amortized</w:t>
            </w:r>
          </w:p>
        </w:tc>
        <w:tc>
          <w:tcPr>
            <w:tcW w:w="440" w:type="dxa"/>
            <w:vAlign w:val="bottom"/>
          </w:tcPr>
          <w:p>
            <w:pPr>
              <w:spacing w:after="0"/>
              <w:rPr>
                <w:sz w:val="14"/>
                <w:szCs w:val="14"/>
                <w:color w:val="auto"/>
              </w:rPr>
            </w:pPr>
          </w:p>
        </w:tc>
        <w:tc>
          <w:tcPr>
            <w:tcW w:w="1480" w:type="dxa"/>
            <w:vAlign w:val="bottom"/>
          </w:tcPr>
          <w:p>
            <w:pPr>
              <w:jc w:val="right"/>
              <w:ind w:right="731"/>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9,992</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9,932</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179,482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179,829</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99,423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97,082</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288,897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286,843</w:t>
            </w:r>
          </w:p>
        </w:tc>
        <w:tc>
          <w:tcPr>
            <w:tcW w:w="0" w:type="dxa"/>
            <w:vAlign w:val="bottom"/>
          </w:tcPr>
          <w:p>
            <w:pPr>
              <w:spacing w:after="0"/>
              <w:rPr>
                <w:sz w:val="1"/>
                <w:szCs w:val="1"/>
                <w:color w:val="auto"/>
              </w:rPr>
            </w:pPr>
          </w:p>
        </w:tc>
      </w:tr>
      <w:tr>
        <w:trPr>
          <w:trHeight w:val="22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U.S. agency securities:</w:t>
            </w:r>
          </w:p>
        </w:tc>
        <w:tc>
          <w:tcPr>
            <w:tcW w:w="3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33,638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33,187</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33,638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33,187</w:t>
            </w:r>
          </w:p>
        </w:tc>
        <w:tc>
          <w:tcPr>
            <w:tcW w:w="0" w:type="dxa"/>
            <w:vAlign w:val="bottom"/>
          </w:tcPr>
          <w:p>
            <w:pPr>
              <w:spacing w:after="0"/>
              <w:rPr>
                <w:sz w:val="1"/>
                <w:szCs w:val="1"/>
                <w:color w:val="auto"/>
              </w:rPr>
            </w:pPr>
          </w:p>
        </w:tc>
      </w:tr>
      <w:tr>
        <w:trPr>
          <w:trHeight w:val="22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Municipal debt securities:</w:t>
            </w:r>
          </w:p>
        </w:tc>
        <w:tc>
          <w:tcPr>
            <w:tcW w:w="3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4,251</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85,262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85,920</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184,082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190,665</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10 years</w:t>
            </w:r>
          </w:p>
        </w:tc>
        <w:tc>
          <w:tcPr>
            <w:tcW w:w="3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173,948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180,546</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447,538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461,382</w:t>
            </w:r>
          </w:p>
        </w:tc>
        <w:tc>
          <w:tcPr>
            <w:tcW w:w="0" w:type="dxa"/>
            <w:vAlign w:val="bottom"/>
          </w:tcPr>
          <w:p>
            <w:pPr>
              <w:spacing w:after="0"/>
              <w:rPr>
                <w:sz w:val="1"/>
                <w:szCs w:val="1"/>
                <w:color w:val="auto"/>
              </w:rPr>
            </w:pPr>
          </w:p>
        </w:tc>
      </w:tr>
      <w:tr>
        <w:trPr>
          <w:trHeight w:val="22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Non-U.S. government securities:</w:t>
            </w:r>
          </w:p>
        </w:tc>
        <w:tc>
          <w:tcPr>
            <w:tcW w:w="3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19,804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20,275</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25,230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26,091</w:t>
            </w:r>
          </w:p>
        </w:tc>
        <w:tc>
          <w:tcPr>
            <w:tcW w:w="0" w:type="dxa"/>
            <w:vAlign w:val="bottom"/>
          </w:tcPr>
          <w:p>
            <w:pPr>
              <w:spacing w:after="0"/>
              <w:rPr>
                <w:sz w:val="1"/>
                <w:szCs w:val="1"/>
                <w:color w:val="auto"/>
              </w:rPr>
            </w:pPr>
          </w:p>
        </w:tc>
      </w:tr>
      <w:tr>
        <w:trPr>
          <w:trHeight w:val="237"/>
        </w:trPr>
        <w:tc>
          <w:tcPr>
            <w:tcW w:w="7420" w:type="dxa"/>
            <w:vAlign w:val="bottom"/>
            <w:gridSpan w:val="2"/>
          </w:tcPr>
          <w:p>
            <w:pPr>
              <w:ind w:left="48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45,034</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46,366</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3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82,329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82,043</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421,500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422,725</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254,780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257,349</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37"/>
        </w:trPr>
        <w:tc>
          <w:tcPr>
            <w:tcW w:w="7420" w:type="dxa"/>
            <w:vAlign w:val="bottom"/>
            <w:gridSpan w:val="2"/>
          </w:tcPr>
          <w:p>
            <w:pPr>
              <w:ind w:left="48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759,846</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763,401</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3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675,268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672,142</w:t>
            </w:r>
          </w:p>
        </w:tc>
        <w:tc>
          <w:tcPr>
            <w:tcW w:w="0" w:type="dxa"/>
            <w:vAlign w:val="bottom"/>
          </w:tcPr>
          <w:p>
            <w:pPr>
              <w:spacing w:after="0"/>
              <w:rPr>
                <w:sz w:val="1"/>
                <w:szCs w:val="1"/>
                <w:color w:val="auto"/>
              </w:rPr>
            </w:pPr>
          </w:p>
        </w:tc>
      </w:tr>
      <w:tr>
        <w:trPr>
          <w:trHeight w:val="237"/>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3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185,393</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187,210</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316,759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314,736</w:t>
            </w:r>
          </w:p>
        </w:tc>
        <w:tc>
          <w:tcPr>
            <w:tcW w:w="0" w:type="dxa"/>
            <w:vAlign w:val="bottom"/>
          </w:tcPr>
          <w:p>
            <w:pPr>
              <w:spacing w:after="0"/>
              <w:rPr>
                <w:sz w:val="1"/>
                <w:szCs w:val="1"/>
                <w:color w:val="auto"/>
              </w:rPr>
            </w:pPr>
          </w:p>
        </w:tc>
      </w:tr>
      <w:tr>
        <w:trPr>
          <w:trHeight w:val="237"/>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Money market funds</w:t>
            </w:r>
          </w:p>
        </w:tc>
        <w:tc>
          <w:tcPr>
            <w:tcW w:w="3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210,821</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210,822</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investments available for sale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2,963,194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2,976,089</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gains and losses realized on the sale of investments available for sale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2018</w:t>
            </w: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Realized gross gains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791</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Realized gross losses</w:t>
            </w:r>
          </w:p>
        </w:tc>
        <w:tc>
          <w:tcPr>
            <w:tcW w:w="420" w:type="dxa"/>
            <w:vAlign w:val="bottom"/>
          </w:tcPr>
          <w:p>
            <w:pPr>
              <w:spacing w:after="0"/>
              <w:rPr>
                <w:sz w:val="21"/>
                <w:szCs w:val="21"/>
                <w:color w:val="auto"/>
              </w:rPr>
            </w:pPr>
          </w:p>
        </w:tc>
        <w:tc>
          <w:tcPr>
            <w:tcW w:w="1300" w:type="dxa"/>
            <w:vAlign w:val="bottom"/>
          </w:tcPr>
          <w:p>
            <w:pPr>
              <w:jc w:val="right"/>
              <w:ind w:right="39"/>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594</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investments available for sale in an unrealized loss position and the related unrealized losses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12 months or more</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3"/>
                <w:szCs w:val="13"/>
                <w:color w:val="auto"/>
              </w:rPr>
            </w:pPr>
          </w:p>
        </w:tc>
        <w:tc>
          <w:tcPr>
            <w:tcW w:w="82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75"/>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3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March 31, 2019 (In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185,624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185,624</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33,187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33,187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34,343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361,212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395,555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(8,727)</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w:t>
            </w:r>
          </w:p>
        </w:tc>
        <w:tc>
          <w:tcPr>
            <w:tcW w:w="26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47,265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47,804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17,581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371,460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389,041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(4,135)</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43,743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12,345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56,088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191,697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51,473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243,170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0" w:type="dxa"/>
            <w:vAlign w:val="bottom"/>
          </w:tcPr>
          <w:p>
            <w:pPr>
              <w:spacing w:after="0"/>
              <w:rPr>
                <w:sz w:val="1"/>
                <w:szCs w:val="1"/>
                <w:color w:val="auto"/>
              </w:rPr>
            </w:pPr>
          </w:p>
        </w:tc>
      </w:tr>
      <w:tr>
        <w:trPr>
          <w:trHeight w:val="237"/>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287,903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w w:val="99"/>
              </w:rPr>
              <w:t>1,062,566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(17,824)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1,350,469</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(20,345)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12 months or more</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3"/>
                <w:szCs w:val="13"/>
                <w:color w:val="auto"/>
              </w:rPr>
            </w:pPr>
          </w:p>
        </w:tc>
        <w:tc>
          <w:tcPr>
            <w:tcW w:w="82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75"/>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3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2018 (In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45,505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165,015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210,520</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(5,946)</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32,997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32,997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7"/>
        </w:trPr>
        <w:tc>
          <w:tcPr>
            <w:tcW w:w="4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106,177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341,579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447,756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(14,570)</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w:t>
            </w:r>
          </w:p>
        </w:tc>
        <w:tc>
          <w:tcPr>
            <w:tcW w:w="26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114,442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104,930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219,372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7"/>
        </w:trPr>
        <w:tc>
          <w:tcPr>
            <w:tcW w:w="4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Non-U.S. government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13,497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Corporate debt securities</w:t>
            </w:r>
          </w:p>
        </w:tc>
        <w:tc>
          <w:tcPr>
            <w:tcW w:w="26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381,912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231,124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613,036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(14,768)</w:t>
            </w:r>
          </w:p>
        </w:tc>
        <w:tc>
          <w:tcPr>
            <w:tcW w:w="0" w:type="dxa"/>
            <w:vAlign w:val="bottom"/>
          </w:tcPr>
          <w:p>
            <w:pPr>
              <w:spacing w:after="0"/>
              <w:rPr>
                <w:sz w:val="1"/>
                <w:szCs w:val="1"/>
                <w:color w:val="auto"/>
              </w:rPr>
            </w:pPr>
          </w:p>
        </w:tc>
      </w:tr>
      <w:tr>
        <w:trPr>
          <w:trHeight w:val="27"/>
        </w:trPr>
        <w:tc>
          <w:tcPr>
            <w:tcW w:w="4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51,477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13,321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64,798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217,546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29,852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247,398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(3,679)</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930,556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918,818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(30,033)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1,849,374</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(44,130)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gross unrealized losses on these investment securities are principally associated with the changes in market interest rates as well as changes in credit spreads subsequent to their purchase. Each issuer is current on its scheduled interest and principal payments. We assess our intent to sell these securities and whether we will be required to sell these securities before the recovery of their amortized cost basis when determining whether an impairment is other-than-temporary. There were no other-than-temporary impairments in each of the three months ended March 31, 2019 and 2018.</w:t>
      </w:r>
    </w:p>
    <w:p>
      <w:pPr>
        <w:spacing w:after="0" w:line="154"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The Company's other invested assets at March 31, 2019 and December 31, 2018 totaled $32.7 million and $31.0 million, respectively. Other invested assets are comprised of limited partnership interests which are accounted for under the equity method of accounting with changes in value reported in other income. Due to the timing of receiving financial information from these partnerships, the results are generally reported on a one month or quarter lag.</w:t>
      </w:r>
    </w:p>
    <w:p>
      <w:pPr>
        <w:spacing w:after="0" w:line="14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fair value of investments deposited with insurance regulatory authorities to meet statutory requirements was $9.2 million at March 31, 2019 and $8.9 million at December 31, 2018. In connection with its insurance and reinsurance activities, Essent Re is required to maintain assets in trusts for the benefit of its contractual counterparties. The fair value of the investments on deposit in these trusts was $871.8 million at March 31, 2019 and $759.9 million at December 31, 2018. In connection with excess of loss reinsurance agreements (see Note 4), Essent Guaranty is required to maintain assets on deposit for the benefit of the reinsurers. The fair value of the assets on deposit was $6.8 million at March 31, 2019 and $3.4 million at December 31, 2018. Essent Guaranty is also required to maintain assets on deposit for the benefit of the sponsor of a fixed income investment commitment. The fair value of the assets on deposit was $6.3 million at March 31, 2019 and $6.3 million at December 31, 2018.</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investment income consists of:</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2018</w:t>
            </w: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19,743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13,643</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420" w:type="dxa"/>
            <w:vAlign w:val="bottom"/>
          </w:tcPr>
          <w:p>
            <w:pPr>
              <w:spacing w:after="0"/>
              <w:rPr>
                <w:sz w:val="21"/>
                <w:szCs w:val="21"/>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751</w:t>
            </w:r>
          </w:p>
        </w:tc>
      </w:tr>
      <w:tr>
        <w:trPr>
          <w:trHeight w:val="27"/>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investment income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20,801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14,394</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Investment expenses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(680)</w:t>
            </w:r>
          </w:p>
        </w:tc>
      </w:tr>
      <w:tr>
        <w:trPr>
          <w:trHeight w:val="27"/>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19,880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13,714</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Reinsurance</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the ordinary course of business, our insurance subsidiaries may use reinsurance to provide protection against adverse loss experience and to expand our capital sources. Reinsurance recoverables are recorded as assets, predicated on a reinsurer's ability to meet their obligations under the reinsurance agreements. If the reinsurers are unable to satisfy their obligations under the agreements, our insurance subsidiaries would be liable for such defaulted amounts.</w:t>
      </w:r>
    </w:p>
    <w:p>
      <w:pPr>
        <w:spacing w:after="0" w:line="187"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Essent Guaranty has entered into fully collateralized reinsurance agreements with unaffiliated special purpose insurers domiciled in Bermuda ("Radnor Re Transactions"). For the reinsurance coverage periods, Essent Guaranty and its affiliates retain the first layer of the respective aggregate losses, and a Radnor Re special purpose insurer will then provide second layer coverage up to the outstanding reinsurance coverage amount. Essent Guaranty and its affiliates retain losses in excess of the outstanding reinsurance coverage amount. The reinsurance premium due to each Radnor Re special purpose insurer is calculated by multiplying the outstanding reinsurance coverage amount at the beginning of a period by a coupon rate, which is the sum of one-month LIBOR plus a risk margin, and then subtracting actual investment income collected on the assets in the related reinsurance trust during that period. The aggregate excess of loss reinsurance coverage decreases over a ten-year period as the underlying covered mortgages amortize. Essent Guaranty has rights to terminate the Radnor Re Transactions, which include an option to terminate the reinsurance agreement with Radnor Re 2018-1 Ltd. after five years from issuance and an option to terminate the reinsurance agreement with Radnor Re 2019-1 Ltd. after seven years from issuance. If the reinsurance agreement with Radnor Re 2018-1 Ltd. is not terminated after five years from issuance, the risk margin component of the reinsurance premium payable to Radnor Re 2018-1 Ltd. increases by 50%. If the reinsurance agreement with Radnor Re 2019-1 Ltd. is not terminated after seven years from issuance, there is no increase in the the risk margin component of the reinsurance premium payable to Radnor Re 2019-1 Ltd. The Radnor Re entities financed the coverage by issuing mortgage insurance-linked notes ("ILNs") in an aggregate amount equal to the initial coverage to unaffiliated investors. The notes have ten-year legal maturities and are non-recourse to any assets of Essent Guaranty or its affiliates. The proceeds of the notes were deposited into reinsurance trusts for the benefit of Essent Guaranty that will be the source of reinsurance claim payments to Essent Guaranty and principal repayments on the ILNs.</w:t>
      </w:r>
    </w:p>
    <w:p>
      <w:pPr>
        <w:spacing w:after="0" w:line="16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Essent Guaranty has also entered into reinsurance agreements with a panel of reinsurers that provide aggregate excess of loss coverage immediately above or pari-passu to the coverage provided by the Radnor Re Transactions. The aggregate excess of loss reinsurance coverage decreases over a ten-year period as the underlying covered mortgages amortize. Essent Guaranty has rights to terminate the reinsurance agreement, which includes an option to terminate after five years from issuance. If the reinsurance agreement is not terminated after five years from issuance, the reinsurance premium payable will increase by 50%.</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respective coverages and retentions as March 31,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jc w:val="right"/>
              <w:ind w:right="254"/>
              <w:spacing w:after="0"/>
              <w:rPr>
                <w:sz w:val="20"/>
                <w:szCs w:val="20"/>
                <w:color w:val="auto"/>
              </w:rPr>
            </w:pPr>
            <w:r>
              <w:rPr>
                <w:rFonts w:ascii="Arial" w:cs="Arial" w:eastAsia="Arial" w:hAnsi="Arial"/>
                <w:sz w:val="14"/>
                <w:szCs w:val="14"/>
                <w:b w:val="1"/>
                <w:bCs w:val="1"/>
                <w:color w:val="auto"/>
              </w:rPr>
              <w:t>Remaining</w:t>
            </w: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7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w w:val="92"/>
              </w:rPr>
              <w:t>Reinsurance in Force</w:t>
            </w:r>
          </w:p>
        </w:tc>
        <w:tc>
          <w:tcPr>
            <w:tcW w:w="4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39" w:lineRule="exact"/>
              <w:rPr>
                <w:sz w:val="20"/>
                <w:szCs w:val="20"/>
                <w:color w:val="auto"/>
              </w:rPr>
            </w:pPr>
            <w:r>
              <w:rPr>
                <w:rFonts w:ascii="Arial" w:cs="Arial" w:eastAsia="Arial" w:hAnsi="Arial"/>
                <w:sz w:val="14"/>
                <w:szCs w:val="14"/>
                <w:b w:val="1"/>
                <w:bCs w:val="1"/>
                <w:color w:val="auto"/>
                <w:w w:val="92"/>
              </w:rPr>
              <w:t>Remaining</w:t>
            </w: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39"/>
              <w:spacing w:after="0" w:line="13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17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Origination Year</w:t>
            </w:r>
          </w:p>
        </w:tc>
        <w:tc>
          <w:tcPr>
            <w:tcW w:w="24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Insurance</w:t>
            </w:r>
          </w:p>
        </w:tc>
        <w:tc>
          <w:tcPr>
            <w:tcW w:w="24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Risk</w:t>
            </w:r>
          </w:p>
        </w:tc>
        <w:tc>
          <w:tcPr>
            <w:tcW w:w="340" w:type="dxa"/>
            <w:vAlign w:val="bottom"/>
          </w:tcPr>
          <w:p>
            <w:pPr>
              <w:spacing w:after="0"/>
              <w:rPr>
                <w:sz w:val="12"/>
                <w:szCs w:val="12"/>
                <w:color w:val="auto"/>
              </w:rPr>
            </w:pPr>
          </w:p>
        </w:tc>
        <w:tc>
          <w:tcPr>
            <w:tcW w:w="100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ILN</w:t>
            </w:r>
          </w:p>
        </w:tc>
        <w:tc>
          <w:tcPr>
            <w:tcW w:w="440" w:type="dxa"/>
            <w:vAlign w:val="bottom"/>
          </w:tcPr>
          <w:p>
            <w:pPr>
              <w:spacing w:after="0"/>
              <w:rPr>
                <w:sz w:val="12"/>
                <w:szCs w:val="12"/>
                <w:color w:val="auto"/>
              </w:rPr>
            </w:pPr>
          </w:p>
        </w:tc>
        <w:tc>
          <w:tcPr>
            <w:tcW w:w="152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rPr>
              <w:t>Other Reinsurance</w:t>
            </w: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114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7"/>
              </w:rPr>
              <w:t>First Layer</w:t>
            </w:r>
          </w:p>
        </w:tc>
        <w:tc>
          <w:tcPr>
            <w:tcW w:w="0" w:type="dxa"/>
            <w:vAlign w:val="bottom"/>
          </w:tcPr>
          <w:p>
            <w:pPr>
              <w:spacing w:after="0"/>
              <w:rPr>
                <w:sz w:val="1"/>
                <w:szCs w:val="1"/>
                <w:color w:val="auto"/>
              </w:rPr>
            </w:pPr>
          </w:p>
        </w:tc>
      </w:tr>
      <w:tr>
        <w:trPr>
          <w:trHeight w:val="192"/>
        </w:trPr>
        <w:tc>
          <w:tcPr>
            <w:tcW w:w="17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in Force</w:t>
            </w: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Force</w:t>
            </w:r>
          </w:p>
        </w:tc>
        <w:tc>
          <w:tcPr>
            <w:tcW w:w="3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39"/>
              <w:spacing w:after="0"/>
              <w:rPr>
                <w:sz w:val="20"/>
                <w:szCs w:val="20"/>
                <w:color w:val="auto"/>
              </w:rPr>
            </w:pPr>
            <w:r>
              <w:rPr>
                <w:rFonts w:ascii="Arial" w:cs="Arial" w:eastAsia="Arial" w:hAnsi="Arial"/>
                <w:sz w:val="14"/>
                <w:szCs w:val="14"/>
                <w:b w:val="1"/>
                <w:bCs w:val="1"/>
                <w:color w:val="auto"/>
                <w:w w:val="92"/>
              </w:rPr>
              <w:t>Retention</w:t>
            </w:r>
          </w:p>
        </w:tc>
        <w:tc>
          <w:tcPr>
            <w:tcW w:w="0" w:type="dxa"/>
            <w:vAlign w:val="bottom"/>
          </w:tcPr>
          <w:p>
            <w:pPr>
              <w:spacing w:after="0"/>
              <w:rPr>
                <w:sz w:val="1"/>
                <w:szCs w:val="1"/>
                <w:color w:val="auto"/>
              </w:rPr>
            </w:pPr>
          </w:p>
        </w:tc>
      </w:tr>
      <w:tr>
        <w:trPr>
          <w:trHeight w:val="250"/>
        </w:trPr>
        <w:tc>
          <w:tcPr>
            <w:tcW w:w="16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35,526,434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8,869,353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424,412</w:t>
            </w:r>
          </w:p>
        </w:tc>
        <w:tc>
          <w:tcPr>
            <w:tcW w:w="44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w:t>
            </w:r>
          </w:p>
        </w:tc>
        <w:tc>
          <w:tcPr>
            <w:tcW w:w="380" w:type="dxa"/>
            <w:vAlign w:val="bottom"/>
            <w:tcBorders>
              <w:top w:val="single" w:sz="8" w:color="auto"/>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165,167</w:t>
            </w:r>
          </w:p>
        </w:tc>
        <w:tc>
          <w:tcPr>
            <w:tcW w:w="4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0"/>
              </w:rPr>
              <w:t>(2)</w:t>
            </w:r>
          </w:p>
        </w:tc>
        <w:tc>
          <w:tcPr>
            <w:tcW w:w="46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589,579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224,453</w:t>
            </w:r>
          </w:p>
        </w:tc>
        <w:tc>
          <w:tcPr>
            <w:tcW w:w="0" w:type="dxa"/>
            <w:vAlign w:val="bottom"/>
          </w:tcPr>
          <w:p>
            <w:pPr>
              <w:spacing w:after="0"/>
              <w:rPr>
                <w:sz w:val="1"/>
                <w:szCs w:val="1"/>
                <w:color w:val="auto"/>
              </w:rPr>
            </w:pPr>
          </w:p>
        </w:tc>
      </w:tr>
      <w:tr>
        <w:trPr>
          <w:trHeight w:val="243"/>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43,948,691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11,010,711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473,184</w:t>
            </w:r>
          </w:p>
        </w:tc>
        <w:tc>
          <w:tcPr>
            <w:tcW w:w="440" w:type="dxa"/>
            <w:vAlign w:val="bottom"/>
          </w:tcPr>
          <w:p>
            <w:pPr>
              <w:jc w:val="right"/>
              <w:ind w:right="90"/>
              <w:spacing w:after="0"/>
              <w:rPr>
                <w:sz w:val="20"/>
                <w:szCs w:val="20"/>
                <w:color w:val="auto"/>
              </w:rPr>
            </w:pPr>
            <w:r>
              <w:rPr>
                <w:rFonts w:ascii="Arial" w:cs="Arial" w:eastAsia="Arial" w:hAnsi="Arial"/>
                <w:sz w:val="18"/>
                <w:szCs w:val="18"/>
                <w:b w:val="1"/>
                <w:bCs w:val="1"/>
                <w:color w:val="auto"/>
              </w:rPr>
              <w:t>(3)</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118,650</w:t>
            </w: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(4)</w:t>
            </w:r>
          </w:p>
        </w:tc>
        <w:tc>
          <w:tcPr>
            <w:tcW w:w="46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591,834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253,643</w:t>
            </w:r>
          </w:p>
        </w:tc>
        <w:tc>
          <w:tcPr>
            <w:tcW w:w="0" w:type="dxa"/>
            <w:vAlign w:val="bottom"/>
          </w:tcPr>
          <w:p>
            <w:pPr>
              <w:spacing w:after="0"/>
              <w:rPr>
                <w:sz w:val="1"/>
                <w:szCs w:val="1"/>
                <w:color w:val="auto"/>
              </w:rPr>
            </w:pPr>
          </w:p>
        </w:tc>
      </w:tr>
      <w:tr>
        <w:trPr>
          <w:trHeight w:val="27"/>
        </w:trPr>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7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79,475,125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19,880,064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897,596</w:t>
            </w:r>
          </w:p>
        </w:tc>
        <w:tc>
          <w:tcPr>
            <w:tcW w:w="44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283,817</w:t>
            </w:r>
          </w:p>
        </w:tc>
        <w:tc>
          <w:tcPr>
            <w:tcW w:w="40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1,181,413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478,096</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Reinsurance provided by Radnor Re 2018-1 Ltd., through its issuance of ILNs, effective March 2018.</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Reinsurance provided by a panel of reinsurers effective November 2018. Coverage provided immediately above the coverage provided by Radnor Re 2018-1 Ltd.</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Reinsurance provided by Radnor Re 2019-1 Ltd., through its issuance of ILNs, effective February 2019.</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Reinsurance provided by a panel of reinsurers effective February 2019. Coverage provided pari-passu to the coverage provided by Radnor Re 2019-1 Ltd.</w:t>
      </w:r>
    </w:p>
    <w:p>
      <w:pPr>
        <w:spacing w:after="0" w:line="18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effect of reinsurance on net premiums written and earned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-1090930</wp:posOffset>
            </wp:positionV>
            <wp:extent cx="14065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59" w:lineRule="exact"/>
        <w:rPr>
          <w:sz w:val="20"/>
          <w:szCs w:val="20"/>
          <w:color w:val="auto"/>
        </w:rPr>
      </w:pPr>
    </w:p>
    <w:p>
      <w:pPr>
        <w:ind w:left="90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March 31,</w:t>
            </w:r>
          </w:p>
        </w:tc>
        <w:tc>
          <w:tcPr>
            <w:tcW w:w="1200" w:type="dxa"/>
            <w:vAlign w:val="bottom"/>
            <w:tcBorders>
              <w:bottom w:val="single" w:sz="8" w:color="auto"/>
            </w:tcBorders>
          </w:tcPr>
          <w:p>
            <w:pPr>
              <w:spacing w:after="0"/>
              <w:rPr>
                <w:sz w:val="15"/>
                <w:szCs w:val="15"/>
                <w:color w:val="auto"/>
              </w:rPr>
            </w:pPr>
          </w:p>
        </w:tc>
      </w:tr>
      <w:tr>
        <w:trPr>
          <w:trHeight w:val="258"/>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2018</w:t>
            </w: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premiums written:</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180"/>
              <w:spacing w:after="0"/>
              <w:rPr>
                <w:sz w:val="20"/>
                <w:szCs w:val="20"/>
                <w:color w:val="auto"/>
              </w:rPr>
            </w:pPr>
            <w:r>
              <w:rPr>
                <w:rFonts w:ascii="Arial" w:cs="Arial" w:eastAsia="Arial" w:hAnsi="Arial"/>
                <w:sz w:val="18"/>
                <w:szCs w:val="18"/>
                <w:color w:val="auto"/>
              </w:rPr>
              <w:t>Direct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183,682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165,519</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Ceded</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297"/>
        </w:trPr>
        <w:tc>
          <w:tcPr>
            <w:tcW w:w="790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Net premiums written</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177,644</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165,225</w:t>
            </w:r>
          </w:p>
        </w:tc>
      </w:tr>
      <w:tr>
        <w:trPr>
          <w:trHeight w:val="311"/>
        </w:trPr>
        <w:tc>
          <w:tcPr>
            <w:tcW w:w="7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183,829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152,852</w:t>
            </w:r>
          </w:p>
        </w:tc>
      </w:tr>
      <w:tr>
        <w:trPr>
          <w:trHeight w:val="243"/>
        </w:trPr>
        <w:tc>
          <w:tcPr>
            <w:tcW w:w="7900" w:type="dxa"/>
            <w:vAlign w:val="bottom"/>
            <w:gridSpan w:val="2"/>
          </w:tcPr>
          <w:p>
            <w:pPr>
              <w:ind w:left="180"/>
              <w:spacing w:after="0"/>
              <w:rPr>
                <w:sz w:val="20"/>
                <w:szCs w:val="20"/>
                <w:color w:val="auto"/>
              </w:rPr>
            </w:pPr>
            <w:r>
              <w:rPr>
                <w:rFonts w:ascii="Arial" w:cs="Arial" w:eastAsia="Arial" w:hAnsi="Arial"/>
                <w:sz w:val="18"/>
                <w:szCs w:val="18"/>
                <w:color w:val="auto"/>
              </w:rPr>
              <w:t>Ceded</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(6,038)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7"/>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177,791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152,558</w:t>
            </w:r>
          </w:p>
        </w:tc>
      </w:tr>
      <w:tr>
        <w:trPr>
          <w:trHeight w:val="20"/>
        </w:trPr>
        <w:tc>
          <w:tcPr>
            <w:tcW w:w="7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The amount of monthly reinsurance premium ceded to the Radnor Re entities will fluctuate due to changes in one-month LIBOR and changes in money market rates that affect investment income collected on the assets in the reinsurance trusts. As the reinsurance premium will vary based on changes in these rates, we concluded that the Radnor Re Transactions contain embedded derivatives that will be accounted for separately like freestanding derivatives.</w:t>
      </w:r>
    </w:p>
    <w:p>
      <w:pPr>
        <w:spacing w:after="0" w:line="14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connection with the Radnor Re Transactions, we concluded that the risk transfer requirements for reinsurance accounting were met as each Radnor Re entity is assuming significant insurance risk and a reasonable possibility of a significant loss. In addition, we assessed whether each Radnor Re entity was a variable interest entity ("VIE") and the appropriate accounting for the Radnor Re entities if they were VIEs. A VIE is a legal entity that does not have sufficient equity at risk to finance its activities without additional subordinated financial support or is structured such that equity investors lack the ability to make significant decisions relating to the entity’s operations through voting rights or do not substantively participate in the gains and losses of the entity. A VIE is consolidated by its primary beneficiary. The primary beneficiary is the entity that has both (1) the power to direct the activities of the VIE that most significantly affect the entity’s economic performance and (2) the obligation to absorb losses or the right to receive benefits that could be potentially significant to the VIE. While also considering these factors, the consolidation conclusion depends on the breadth of the decision-making ability and ability to influence activities that significantly affect the economic performance of the VIE. We concluded that the Radnor Re entities are VIEs. However, given that Essent Guaranty (1) does not have the unilateral power to direct the activities that most significantly affect their economic performance and (2) does not have the obligation to absorb losses or the right to receive benefits that could be potentially significant to these entities, the Radnor Re entities are not consolidated in these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The following table presents total assets of each Radnor Re special purpose insurer as well as our maximum exposure to loss associated with each Radnor Re entity, representing the fair value of the embedded derivative included in other assets on our condensed consolidated balance sheet and the estimated net present value of investment earnings on the assets in the reinsurance trust, each as of March 31, 2019:</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5"/>
              </w:rPr>
              <w:t>Maximum Exposure to Loss</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Total VIE Assets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5"/>
              </w:rPr>
              <w:t>On - Balance Sheet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Off - Balance Sheet</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Total</w:t>
            </w:r>
          </w:p>
        </w:tc>
      </w:tr>
      <w:tr>
        <w:trPr>
          <w:trHeight w:val="250"/>
        </w:trPr>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Radnor Re 2018-1 Ltd.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424,412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19,339</w:t>
            </w:r>
          </w:p>
        </w:tc>
      </w:tr>
      <w:tr>
        <w:trPr>
          <w:trHeight w:val="243"/>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Radnor Re 2019-1 Ltd.</w:t>
            </w:r>
          </w:p>
        </w:tc>
        <w:tc>
          <w:tcPr>
            <w:tcW w:w="24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473,184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27,246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27,382</w:t>
            </w:r>
          </w:p>
        </w:tc>
      </w:tr>
      <w:tr>
        <w:trPr>
          <w:trHeight w:val="27"/>
        </w:trPr>
        <w:tc>
          <w:tcPr>
            <w:tcW w:w="4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897,596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45,297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46,721</w:t>
            </w:r>
          </w:p>
        </w:tc>
      </w:tr>
      <w:tr>
        <w:trPr>
          <w:trHeight w:val="20"/>
        </w:trPr>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Reserve for Losses and Loss Adjustment Expenses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reserve balances for losses and loss adjustment expenses (“LAE”) for the three months ended March 31:</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losses and LAE at beginning of period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46,850</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Less: Reinsurance recoverables</w:t>
            </w: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reserve for losses and LAE at beginning of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49,464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46,850</w:t>
            </w:r>
          </w:p>
        </w:tc>
      </w:tr>
      <w:tr>
        <w:trPr>
          <w:trHeight w:val="22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Add provision for losses and LAE, net of reinsurance, occurring in:</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9,952</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(4,643)</w:t>
            </w: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incurred losses and LAE during the current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7,107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5,309</w:t>
            </w:r>
          </w:p>
        </w:tc>
      </w:tr>
      <w:tr>
        <w:trPr>
          <w:trHeight w:val="22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Deduct payments for losses and LAE, net of reinsurance, occurring in:</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3,072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2,193</w:t>
            </w: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and LAE payments during the current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3,087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2,193</w:t>
            </w:r>
          </w:p>
        </w:tc>
      </w:tr>
      <w:tr>
        <w:trPr>
          <w:trHeight w:val="237"/>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Net reserve for losses and LAE at end of period</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53,484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49,966</w:t>
            </w: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Plus: Reinsurance recoverables</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Reserve for losses and LAE at end of period</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53,484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49,966</w:t>
            </w:r>
          </w:p>
        </w:tc>
      </w:tr>
      <w:tr>
        <w:trPr>
          <w:trHeight w:val="67"/>
        </w:trPr>
        <w:tc>
          <w:tcPr>
            <w:tcW w:w="79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78"/>
        </w:trPr>
        <w:tc>
          <w:tcPr>
            <w:tcW w:w="7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Loans in default at end of period</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4,096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4,442</w:t>
            </w:r>
          </w:p>
        </w:tc>
      </w:tr>
    </w:tbl>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For the three months ended March 31, 2019, $3.1 million was paid for incurred claims and claim adjustment expenses attributable to insured events of prior years. There has been a $4.7 million favorable prior year development during the three months ended March 31, 2019. Reserves remaining as of March 31, 2019 for prior years are $41.7 million as a result of re-estimation of unpaid losses and loss adjustment expenses. For the three months ended March 31, 2018, $2.2 million was paid for incurred claims and claim adjustment expenses attributable to insured events of prior years. There was a $4.6 million favorable prior year development during the three months ended March 31, 2018. Reserves remaining as of March 31, 2018 for prior years were $40.0 million as a result of re-estimation of unpaid losses and loss adjustment expenses. In both periods, the favorable prior years' loss development was the result of a re-estimation of amounts ultimately to be paid on prior year defaults in the default inventory, including the impact of previously identified defaults that cured. Original estimates are increased or decreased as additional information becomes known regarding individual claims.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229" w:lineRule="exact"/>
        <w:rPr>
          <w:sz w:val="20"/>
          <w:szCs w:val="20"/>
          <w:color w:val="auto"/>
        </w:rPr>
      </w:pPr>
    </w:p>
    <w:p>
      <w:pPr>
        <w:ind w:right="100" w:firstLine="648"/>
        <w:spacing w:after="0" w:line="268" w:lineRule="auto"/>
        <w:rPr>
          <w:sz w:val="20"/>
          <w:szCs w:val="20"/>
          <w:color w:val="auto"/>
        </w:rPr>
      </w:pPr>
      <w:r>
        <w:rPr>
          <w:rFonts w:ascii="Arial" w:cs="Arial" w:eastAsia="Arial" w:hAnsi="Arial"/>
          <w:sz w:val="17"/>
          <w:szCs w:val="17"/>
          <w:color w:val="auto"/>
        </w:rPr>
        <w:t>Essent Group and its subsidiaries, Essent Irish Intermediate Holdings Limited and Essent US Holdings, Inc. (collectively, the "Borrowers"), are parties to a secured credit facility (the “Credit Facility”) with committed capacity of $500 million. The Credit Facility provides for a $275 million revolving credit facility, $225 million of term loans and a $100 million uncommitted line that may be exercised at the Borrowers’ option so long as the Borrowers receive commitments from the lenders.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 A commitment fee is due quarterly on the average daily amount of the undrawn revolving commitment. The applicable margin and the commitment fee are based on the senior unsecured debt rating or long-term issuer rating of Essent Group to the extent available, or the insurer financial strength rating of Essent Guaranty. The current annual commitment fee rate is 0.35%. The obligations under the Credit Facility are secured by certain assets of the Borrowers, excluding the stock and assets of its insurance and reinsurance subsidiaries. The Credit Facility contains several covenants, including financial covenants relating to minimum net worth, capital and liquidity levels, maximum debt to capitalization level and Essent Guaranty's compliance with the PMIERs (see Note 12). The borrowings under the Credit Facility contractually mature on May 17, 2021. This description is not intended to be complete in all respects and is qualified in its entirety by the terms of the Credit Facility, including its covenants. As of March 31, 2019, the Company was in compliance with the covenants and $225 million had been borrowed under the Credit Facility with a weighted average interest rate of 4.48%. As of December 31, 2018, $225 million had been borrowed with a weighted average interest rate of 4.43%.</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under Guarantees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Under the terms of CUW Solutions' contract underwriting agreements with lenders and subject to contractual limitations on liability, we agree to indemnify certain lenders against losses incurred in the event that we make an error in determining whether loans processed meet specified underwriting criteria, to the extent that such error materially restricts or impairs the salability of such loan, results in a material reduction in the value of such loan or results in the lender repurchasing the loan. The indemnification may be in the form of monetary or other remedies. We paid less than $0.1 million related to remedies for each of the three months ended March 31, 2019 and 2018. As of March 31, 2019, management believes any potential claims for indemnification related to contract underwriting services through March 31, 2019 are not material to our consolidated financial position or results of operations.</w:t>
      </w:r>
    </w:p>
    <w:p>
      <w:pPr>
        <w:spacing w:after="0" w:line="16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March 31, 2019,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condensed consolidated balance sheets related to indemnifications.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lease office space for use in our operations under leases accounted for as operating leases. These leases generally include options to extend them for periods of up to ten years. Our option to extend the term of our primary office locations at the greater of existing or prevailing market rates was not recognized in our right-of-use asset and lease liability. When establishing the value of our right-of-use asset and lease liability, we determine the discount rate for the underlying leases using the prevailing market interest rate for a borrowing of the same duration of the lease plus the risk premium inherent in the borrowings under our Credit Facility. Right-of-use assets and lease liabilities are reported on the condensed consolidated balance sheet as property and equipment and other accrued liabilities, respectively.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lease cost and other lease information as of March 31, 2019:</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50"/>
        </w:trPr>
        <w:tc>
          <w:tcPr>
            <w:tcW w:w="94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Lease cost: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480" w:type="dxa"/>
            <w:vAlign w:val="bottom"/>
            <w:gridSpan w:val="4"/>
          </w:tcPr>
          <w:p>
            <w:pPr>
              <w:ind w:left="140"/>
              <w:spacing w:after="0"/>
              <w:rPr>
                <w:sz w:val="20"/>
                <w:szCs w:val="20"/>
                <w:color w:val="auto"/>
              </w:rPr>
            </w:pPr>
            <w:r>
              <w:rPr>
                <w:rFonts w:ascii="Arial" w:cs="Arial" w:eastAsia="Arial" w:hAnsi="Arial"/>
                <w:sz w:val="18"/>
                <w:szCs w:val="18"/>
                <w:color w:val="auto"/>
              </w:rPr>
              <w:t>Operating lease cost</w:t>
            </w:r>
          </w:p>
        </w:tc>
        <w:tc>
          <w:tcPr>
            <w:tcW w:w="24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72"/>
              <w:spacing w:after="0"/>
              <w:rPr>
                <w:sz w:val="20"/>
                <w:szCs w:val="20"/>
                <w:color w:val="auto"/>
              </w:rPr>
            </w:pPr>
            <w:r>
              <w:rPr>
                <w:rFonts w:ascii="Arial" w:cs="Arial" w:eastAsia="Arial" w:hAnsi="Arial"/>
                <w:sz w:val="18"/>
                <w:szCs w:val="18"/>
                <w:color w:val="auto"/>
              </w:rPr>
              <w:t>591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48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Short-term lease cost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480" w:type="dxa"/>
            <w:vAlign w:val="bottom"/>
            <w:gridSpan w:val="4"/>
          </w:tcPr>
          <w:p>
            <w:pPr>
              <w:ind w:left="140"/>
              <w:spacing w:after="0"/>
              <w:rPr>
                <w:sz w:val="20"/>
                <w:szCs w:val="20"/>
                <w:color w:val="auto"/>
              </w:rPr>
            </w:pPr>
            <w:r>
              <w:rPr>
                <w:rFonts w:ascii="Arial" w:cs="Arial" w:eastAsia="Arial" w:hAnsi="Arial"/>
                <w:sz w:val="18"/>
                <w:szCs w:val="18"/>
                <w:color w:val="auto"/>
              </w:rPr>
              <w:t>Sublease income</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48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Total lease cost</w:t>
            </w:r>
          </w:p>
        </w:tc>
        <w:tc>
          <w:tcPr>
            <w:tcW w:w="24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601</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6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9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 information:</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480" w:type="dxa"/>
            <w:vAlign w:val="bottom"/>
            <w:gridSpan w:val="4"/>
          </w:tcPr>
          <w:p>
            <w:pPr>
              <w:ind w:left="140"/>
              <w:spacing w:after="0"/>
              <w:rPr>
                <w:sz w:val="20"/>
                <w:szCs w:val="20"/>
                <w:color w:val="auto"/>
              </w:rPr>
            </w:pPr>
            <w:r>
              <w:rPr>
                <w:rFonts w:ascii="Arial" w:cs="Arial" w:eastAsia="Arial" w:hAnsi="Arial"/>
                <w:sz w:val="18"/>
                <w:szCs w:val="18"/>
                <w:color w:val="auto"/>
              </w:rPr>
              <w:t>Weighted average remaining lease term - operating leases</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ind w:left="820"/>
              <w:spacing w:after="0"/>
              <w:rPr>
                <w:sz w:val="20"/>
                <w:szCs w:val="20"/>
                <w:color w:val="auto"/>
              </w:rPr>
            </w:pPr>
            <w:r>
              <w:rPr>
                <w:rFonts w:ascii="Arial" w:cs="Arial" w:eastAsia="Arial" w:hAnsi="Arial"/>
                <w:sz w:val="18"/>
                <w:szCs w:val="18"/>
                <w:color w:val="auto"/>
              </w:rPr>
              <w:t>5.5 years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48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Weighted average discount rate - operating leases</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9480" w:type="dxa"/>
            <w:vAlign w:val="bottom"/>
            <w:gridSpan w:val="4"/>
          </w:tcPr>
          <w:p>
            <w:pPr>
              <w:ind w:left="620"/>
              <w:spacing w:after="0"/>
              <w:rPr>
                <w:sz w:val="20"/>
                <w:szCs w:val="20"/>
                <w:color w:val="auto"/>
              </w:rPr>
            </w:pPr>
            <w:r>
              <w:rPr>
                <w:rFonts w:ascii="Arial" w:cs="Arial" w:eastAsia="Arial" w:hAnsi="Arial"/>
                <w:sz w:val="18"/>
                <w:szCs w:val="18"/>
                <w:color w:val="auto"/>
              </w:rPr>
              <w:t>The following table presents a maturity analysis of our lease liabilities as follows at March 31, 2019: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9520" w:type="dxa"/>
            <w:vAlign w:val="bottom"/>
            <w:gridSpan w:val="5"/>
          </w:tcPr>
          <w:p>
            <w:pPr>
              <w:ind w:left="4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2019 (April 1 through December 31)</w:t>
            </w:r>
          </w:p>
        </w:tc>
        <w:tc>
          <w:tcPr>
            <w:tcW w:w="2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1,984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1600" w:type="dxa"/>
            <w:vAlign w:val="bottom"/>
          </w:tcPr>
          <w:p>
            <w:pPr>
              <w:spacing w:after="0"/>
              <w:rPr>
                <w:sz w:val="21"/>
                <w:szCs w:val="21"/>
                <w:color w:val="auto"/>
              </w:rPr>
            </w:pPr>
          </w:p>
        </w:tc>
        <w:tc>
          <w:tcPr>
            <w:tcW w:w="6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ind w:left="1140"/>
              <w:spacing w:after="0"/>
              <w:rPr>
                <w:sz w:val="20"/>
                <w:szCs w:val="20"/>
                <w:color w:val="auto"/>
              </w:rPr>
            </w:pPr>
            <w:r>
              <w:rPr>
                <w:rFonts w:ascii="Arial" w:cs="Arial" w:eastAsia="Arial" w:hAnsi="Arial"/>
                <w:sz w:val="18"/>
                <w:szCs w:val="18"/>
                <w:color w:val="auto"/>
              </w:rPr>
              <w:t>2,628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600" w:type="dxa"/>
            <w:vAlign w:val="bottom"/>
            <w:tcBorders>
              <w:bottom w:val="single" w:sz="8" w:color="CCEEFF"/>
            </w:tcBorders>
            <w:shd w:val="clear" w:color="auto" w:fill="CCEEFF"/>
          </w:tcPr>
          <w:p>
            <w:pPr>
              <w:spacing w:after="0"/>
              <w:rPr>
                <w:sz w:val="21"/>
                <w:szCs w:val="21"/>
                <w:color w:val="auto"/>
              </w:rPr>
            </w:pPr>
          </w:p>
        </w:tc>
        <w:tc>
          <w:tcPr>
            <w:tcW w:w="6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2,657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1600" w:type="dxa"/>
            <w:vAlign w:val="bottom"/>
          </w:tcPr>
          <w:p>
            <w:pPr>
              <w:spacing w:after="0"/>
              <w:rPr>
                <w:sz w:val="21"/>
                <w:szCs w:val="21"/>
                <w:color w:val="auto"/>
              </w:rPr>
            </w:pPr>
          </w:p>
        </w:tc>
        <w:tc>
          <w:tcPr>
            <w:tcW w:w="6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ind w:left="1140"/>
              <w:spacing w:after="0"/>
              <w:rPr>
                <w:sz w:val="20"/>
                <w:szCs w:val="20"/>
                <w:color w:val="auto"/>
              </w:rPr>
            </w:pPr>
            <w:r>
              <w:rPr>
                <w:rFonts w:ascii="Arial" w:cs="Arial" w:eastAsia="Arial" w:hAnsi="Arial"/>
                <w:sz w:val="18"/>
                <w:szCs w:val="18"/>
                <w:color w:val="auto"/>
              </w:rPr>
              <w:t>2,711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600" w:type="dxa"/>
            <w:vAlign w:val="bottom"/>
            <w:tcBorders>
              <w:bottom w:val="single" w:sz="8" w:color="CCEEFF"/>
            </w:tcBorders>
            <w:shd w:val="clear" w:color="auto" w:fill="CCEEFF"/>
          </w:tcPr>
          <w:p>
            <w:pPr>
              <w:spacing w:after="0"/>
              <w:rPr>
                <w:sz w:val="21"/>
                <w:szCs w:val="21"/>
                <w:color w:val="auto"/>
              </w:rPr>
            </w:pPr>
          </w:p>
        </w:tc>
        <w:tc>
          <w:tcPr>
            <w:tcW w:w="6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2,553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520" w:type="dxa"/>
            <w:vAlign w:val="bottom"/>
            <w:gridSpan w:val="5"/>
          </w:tcPr>
          <w:p>
            <w:pPr>
              <w:ind w:left="40"/>
              <w:spacing w:after="0"/>
              <w:rPr>
                <w:sz w:val="20"/>
                <w:szCs w:val="20"/>
                <w:color w:val="auto"/>
              </w:rPr>
            </w:pPr>
            <w:r>
              <w:rPr>
                <w:rFonts w:ascii="Arial" w:cs="Arial" w:eastAsia="Arial" w:hAnsi="Arial"/>
                <w:sz w:val="18"/>
                <w:szCs w:val="18"/>
                <w:color w:val="auto"/>
              </w:rPr>
              <w:t>2024 and thereafter</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ind w:left="1140"/>
              <w:spacing w:after="0"/>
              <w:rPr>
                <w:sz w:val="20"/>
                <w:szCs w:val="20"/>
                <w:color w:val="auto"/>
              </w:rPr>
            </w:pPr>
            <w:r>
              <w:rPr>
                <w:rFonts w:ascii="Arial" w:cs="Arial" w:eastAsia="Arial" w:hAnsi="Arial"/>
                <w:sz w:val="18"/>
                <w:szCs w:val="18"/>
                <w:color w:val="auto"/>
              </w:rPr>
              <w:t>1,963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700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lease payments to be paid</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520" w:type="dxa"/>
            <w:vAlign w:val="bottom"/>
            <w:gridSpan w:val="5"/>
          </w:tcPr>
          <w:p>
            <w:pPr>
              <w:ind w:left="40"/>
              <w:spacing w:after="0"/>
              <w:rPr>
                <w:sz w:val="20"/>
                <w:szCs w:val="20"/>
                <w:color w:val="auto"/>
              </w:rPr>
            </w:pPr>
            <w:r>
              <w:rPr>
                <w:rFonts w:ascii="Arial" w:cs="Arial" w:eastAsia="Arial" w:hAnsi="Arial"/>
                <w:sz w:val="18"/>
                <w:szCs w:val="18"/>
                <w:color w:val="auto"/>
              </w:rPr>
              <w:t>Less: Future interest expense</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700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5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Present value of lease liabilities</w:t>
            </w: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12,912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9480" w:type="dxa"/>
            <w:vAlign w:val="bottom"/>
            <w:tcBorders>
              <w:top w:val="single" w:sz="8" w:color="CCEEFF"/>
              <w:bottom w:val="single" w:sz="8" w:color="CCEEFF"/>
            </w:tcBorders>
            <w:gridSpan w:val="4"/>
            <w:vMerge w:val="restart"/>
          </w:tcPr>
          <w:p>
            <w:pPr>
              <w:ind w:left="620"/>
              <w:spacing w:after="0"/>
              <w:rPr>
                <w:sz w:val="20"/>
                <w:szCs w:val="20"/>
                <w:color w:val="auto"/>
              </w:rPr>
            </w:pPr>
            <w:r>
              <w:rPr>
                <w:rFonts w:ascii="Arial" w:cs="Arial" w:eastAsia="Arial" w:hAnsi="Arial"/>
                <w:sz w:val="18"/>
                <w:szCs w:val="18"/>
                <w:color w:val="auto"/>
              </w:rPr>
              <w:t>The future minimum lease payments of non-cancelable operating leases are as follows at December 31, 2018:</w:t>
            </w: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9480" w:type="dxa"/>
            <w:vAlign w:val="bottom"/>
            <w:gridSpan w:val="4"/>
            <w:vMerge w:val="continue"/>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952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 Ended December 31 (In thousands)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600" w:type="dxa"/>
            <w:vAlign w:val="bottom"/>
            <w:tcBorders>
              <w:bottom w:val="single" w:sz="8" w:color="CCEEFF"/>
            </w:tcBorders>
            <w:shd w:val="clear" w:color="auto" w:fill="CCEEFF"/>
          </w:tcPr>
          <w:p>
            <w:pPr>
              <w:spacing w:after="0"/>
              <w:rPr>
                <w:sz w:val="21"/>
                <w:szCs w:val="21"/>
                <w:color w:val="auto"/>
              </w:rPr>
            </w:pPr>
          </w:p>
        </w:tc>
        <w:tc>
          <w:tcPr>
            <w:tcW w:w="6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2,674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1600" w:type="dxa"/>
            <w:vAlign w:val="bottom"/>
          </w:tcPr>
          <w:p>
            <w:pPr>
              <w:spacing w:after="0"/>
              <w:rPr>
                <w:sz w:val="21"/>
                <w:szCs w:val="21"/>
                <w:color w:val="auto"/>
              </w:rPr>
            </w:pPr>
          </w:p>
        </w:tc>
        <w:tc>
          <w:tcPr>
            <w:tcW w:w="6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ind w:left="1140"/>
              <w:spacing w:after="0"/>
              <w:rPr>
                <w:sz w:val="20"/>
                <w:szCs w:val="20"/>
                <w:color w:val="auto"/>
              </w:rPr>
            </w:pPr>
            <w:r>
              <w:rPr>
                <w:rFonts w:ascii="Arial" w:cs="Arial" w:eastAsia="Arial" w:hAnsi="Arial"/>
                <w:sz w:val="18"/>
                <w:szCs w:val="18"/>
                <w:color w:val="auto"/>
              </w:rPr>
              <w:t>2,628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600" w:type="dxa"/>
            <w:vAlign w:val="bottom"/>
            <w:tcBorders>
              <w:bottom w:val="single" w:sz="8" w:color="CCEEFF"/>
            </w:tcBorders>
            <w:shd w:val="clear" w:color="auto" w:fill="CCEEFF"/>
          </w:tcPr>
          <w:p>
            <w:pPr>
              <w:spacing w:after="0"/>
              <w:rPr>
                <w:sz w:val="21"/>
                <w:szCs w:val="21"/>
                <w:color w:val="auto"/>
              </w:rPr>
            </w:pPr>
          </w:p>
        </w:tc>
        <w:tc>
          <w:tcPr>
            <w:tcW w:w="6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2,657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1600" w:type="dxa"/>
            <w:vAlign w:val="bottom"/>
          </w:tcPr>
          <w:p>
            <w:pPr>
              <w:spacing w:after="0"/>
              <w:rPr>
                <w:sz w:val="21"/>
                <w:szCs w:val="21"/>
                <w:color w:val="auto"/>
              </w:rPr>
            </w:pPr>
          </w:p>
        </w:tc>
        <w:tc>
          <w:tcPr>
            <w:tcW w:w="6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600" w:type="dxa"/>
            <w:vAlign w:val="bottom"/>
            <w:tcBorders>
              <w:bottom w:val="single" w:sz="8" w:color="CCEEFF"/>
            </w:tcBorders>
            <w:shd w:val="clear" w:color="auto" w:fill="CCEEFF"/>
          </w:tcPr>
          <w:p>
            <w:pPr>
              <w:spacing w:after="0"/>
              <w:rPr>
                <w:sz w:val="21"/>
                <w:szCs w:val="21"/>
                <w:color w:val="auto"/>
              </w:rPr>
            </w:pPr>
          </w:p>
        </w:tc>
        <w:tc>
          <w:tcPr>
            <w:tcW w:w="6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2,553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520" w:type="dxa"/>
            <w:vAlign w:val="bottom"/>
            <w:gridSpan w:val="5"/>
          </w:tcPr>
          <w:p>
            <w:pPr>
              <w:ind w:left="40"/>
              <w:spacing w:after="0"/>
              <w:rPr>
                <w:sz w:val="20"/>
                <w:szCs w:val="20"/>
                <w:color w:val="auto"/>
              </w:rPr>
            </w:pPr>
            <w:r>
              <w:rPr>
                <w:rFonts w:ascii="Arial" w:cs="Arial" w:eastAsia="Arial" w:hAnsi="Arial"/>
                <w:sz w:val="18"/>
                <w:szCs w:val="18"/>
                <w:color w:val="auto"/>
              </w:rPr>
              <w:t>2024 and thereafter</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ind w:left="1140"/>
              <w:spacing w:after="0"/>
              <w:rPr>
                <w:sz w:val="20"/>
                <w:szCs w:val="20"/>
                <w:color w:val="auto"/>
              </w:rPr>
            </w:pPr>
            <w:r>
              <w:rPr>
                <w:rFonts w:ascii="Arial" w:cs="Arial" w:eastAsia="Arial" w:hAnsi="Arial"/>
                <w:sz w:val="18"/>
                <w:szCs w:val="18"/>
                <w:color w:val="auto"/>
              </w:rPr>
              <w:t>1,963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700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5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Total minimum payments required</w:t>
            </w: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15,186</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Minimum lease payments shown above have not been reduced by minimum sublease rental income of $0.1 million due in 2019 under the non-cancelable sublease.</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Stock-Based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nonvested common share and nonvested common share unit activity for the three months ended March 31, 2019:</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5"/>
          </w:tcPr>
          <w:p>
            <w:pPr>
              <w:ind w:left="440"/>
              <w:spacing w:after="0"/>
              <w:rPr>
                <w:sz w:val="20"/>
                <w:szCs w:val="20"/>
                <w:color w:val="auto"/>
              </w:rPr>
            </w:pPr>
            <w:r>
              <w:rPr>
                <w:rFonts w:ascii="Arial" w:cs="Arial" w:eastAsia="Arial" w:hAnsi="Arial"/>
                <w:sz w:val="14"/>
                <w:szCs w:val="14"/>
                <w:b w:val="1"/>
                <w:bCs w:val="1"/>
                <w:color w:val="auto"/>
              </w:rPr>
              <w:t>Time and Performance-</w:t>
            </w:r>
          </w:p>
        </w:tc>
        <w:tc>
          <w:tcPr>
            <w:tcW w:w="2360" w:type="dxa"/>
            <w:vAlign w:val="bottom"/>
            <w:gridSpan w:val="5"/>
          </w:tcPr>
          <w:p>
            <w:pPr>
              <w:ind w:left="780"/>
              <w:spacing w:after="0"/>
              <w:rPr>
                <w:sz w:val="20"/>
                <w:szCs w:val="20"/>
                <w:color w:val="auto"/>
              </w:rPr>
            </w:pPr>
            <w:r>
              <w:rPr>
                <w:rFonts w:ascii="Arial" w:cs="Arial" w:eastAsia="Arial" w:hAnsi="Arial"/>
                <w:sz w:val="14"/>
                <w:szCs w:val="14"/>
                <w:b w:val="1"/>
                <w:bCs w:val="1"/>
                <w:color w:val="auto"/>
              </w:rPr>
              <w:t>Time-Based</w:t>
            </w:r>
          </w:p>
        </w:tc>
        <w:tc>
          <w:tcPr>
            <w:tcW w:w="2260" w:type="dxa"/>
            <w:vAlign w:val="bottom"/>
            <w:gridSpan w:val="4"/>
            <w:vMerge w:val="restart"/>
          </w:tcPr>
          <w:p>
            <w:pPr>
              <w:jc w:val="right"/>
              <w:ind w:right="678"/>
              <w:spacing w:after="0"/>
              <w:rPr>
                <w:sz w:val="20"/>
                <w:szCs w:val="20"/>
                <w:color w:val="auto"/>
              </w:rPr>
            </w:pPr>
            <w:r>
              <w:rPr>
                <w:rFonts w:ascii="Arial" w:cs="Arial" w:eastAsia="Arial" w:hAnsi="Arial"/>
                <w:sz w:val="14"/>
                <w:szCs w:val="14"/>
                <w:b w:val="1"/>
                <w:bCs w:val="1"/>
                <w:color w:val="auto"/>
              </w:rPr>
              <w:t>Share Units</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tcBorders>
              <w:bottom w:val="single" w:sz="8" w:color="auto"/>
            </w:tcBorders>
            <w:gridSpan w:val="4"/>
          </w:tcPr>
          <w:p>
            <w:pPr>
              <w:jc w:val="right"/>
              <w:ind w:right="458"/>
              <w:spacing w:after="0"/>
              <w:rPr>
                <w:sz w:val="20"/>
                <w:szCs w:val="20"/>
                <w:color w:val="auto"/>
              </w:rPr>
            </w:pPr>
            <w:r>
              <w:rPr>
                <w:rFonts w:ascii="Arial" w:cs="Arial" w:eastAsia="Arial" w:hAnsi="Arial"/>
                <w:sz w:val="14"/>
                <w:szCs w:val="14"/>
                <w:b w:val="1"/>
                <w:bCs w:val="1"/>
                <w:color w:val="auto"/>
              </w:rPr>
              <w:t>Based Share Awards</w:t>
            </w:r>
          </w:p>
        </w:tc>
        <w:tc>
          <w:tcPr>
            <w:tcW w:w="100" w:type="dxa"/>
            <w:vAlign w:val="bottom"/>
          </w:tcPr>
          <w:p>
            <w:pPr>
              <w:spacing w:after="0"/>
              <w:rPr>
                <w:sz w:val="16"/>
                <w:szCs w:val="16"/>
                <w:color w:val="auto"/>
              </w:rPr>
            </w:pPr>
          </w:p>
        </w:tc>
        <w:tc>
          <w:tcPr>
            <w:tcW w:w="2260" w:type="dxa"/>
            <w:vAlign w:val="bottom"/>
            <w:tcBorders>
              <w:bottom w:val="single" w:sz="8" w:color="auto"/>
            </w:tcBorders>
            <w:gridSpan w:val="4"/>
          </w:tcPr>
          <w:p>
            <w:pPr>
              <w:jc w:val="right"/>
              <w:ind w:right="598"/>
              <w:spacing w:after="0"/>
              <w:rPr>
                <w:sz w:val="20"/>
                <w:szCs w:val="20"/>
                <w:color w:val="auto"/>
              </w:rPr>
            </w:pPr>
            <w:r>
              <w:rPr>
                <w:rFonts w:ascii="Arial" w:cs="Arial" w:eastAsia="Arial" w:hAnsi="Arial"/>
                <w:sz w:val="14"/>
                <w:szCs w:val="14"/>
                <w:b w:val="1"/>
                <w:bCs w:val="1"/>
                <w:color w:val="auto"/>
              </w:rPr>
              <w:t>Share Awards</w:t>
            </w:r>
          </w:p>
        </w:tc>
        <w:tc>
          <w:tcPr>
            <w:tcW w:w="100" w:type="dxa"/>
            <w:vAlign w:val="bottom"/>
          </w:tcPr>
          <w:p>
            <w:pPr>
              <w:spacing w:after="0"/>
              <w:rPr>
                <w:sz w:val="16"/>
                <w:szCs w:val="16"/>
                <w:color w:val="auto"/>
              </w:rPr>
            </w:pPr>
          </w:p>
        </w:tc>
        <w:tc>
          <w:tcPr>
            <w:tcW w:w="226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9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ind w:right="11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20" w:type="dxa"/>
            <w:vAlign w:val="bottom"/>
            <w:vMerge w:val="restart"/>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Share Units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482</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29.49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32.82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449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45.32</w:t>
            </w:r>
          </w:p>
        </w:tc>
        <w:tc>
          <w:tcPr>
            <w:tcW w:w="100" w:type="dxa"/>
            <w:vAlign w:val="bottom"/>
          </w:tcPr>
          <w:p>
            <w:pPr>
              <w:spacing w:after="0"/>
              <w:rPr>
                <w:sz w:val="21"/>
                <w:szCs w:val="21"/>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40.98</w:t>
            </w:r>
          </w:p>
        </w:tc>
        <w:tc>
          <w:tcPr>
            <w:tcW w:w="10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40.98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17.01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27.48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March 31, 2019</w:t>
            </w:r>
          </w:p>
        </w:tc>
        <w:tc>
          <w:tcPr>
            <w:tcW w:w="10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414</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41.18</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174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40.83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374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38.14</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February 2019, certain members of senior management were granted nonvested common shares under the Essent Group Ltd. 2013 Long-Term Incentive Plan ("2013 Plan") that were subject to time-based vesting. These awards vest in three equal installments on March 1, 2020, 2021 and 2022. In March 2019, certain members of senior management were granted nonvested common shares under the 2013 Plan that were subject to performance-based vesting. The performance-based share awards vest based upon our compounded annual book value per share growth percentage during a three-year performance period that commenced on January 1, 2019 and vest on March 1, 2022. The portion of these nonvested performance-based share awards that will be earned based upon the achievement of compounded annual book value per share growth is as follows: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Performance level</w:t>
            </w:r>
          </w:p>
        </w:tc>
        <w:tc>
          <w:tcPr>
            <w:tcW w:w="2380" w:type="dxa"/>
            <w:vAlign w:val="bottom"/>
          </w:tcPr>
          <w:p>
            <w:pPr>
              <w:jc w:val="right"/>
              <w:ind w:right="194"/>
              <w:spacing w:after="0"/>
              <w:rPr>
                <w:sz w:val="20"/>
                <w:szCs w:val="20"/>
                <w:color w:val="auto"/>
              </w:rPr>
            </w:pPr>
            <w:r>
              <w:rPr>
                <w:rFonts w:ascii="Arial" w:cs="Arial" w:eastAsia="Arial" w:hAnsi="Arial"/>
                <w:sz w:val="14"/>
                <w:szCs w:val="14"/>
                <w:b w:val="1"/>
                <w:bCs w:val="1"/>
                <w:color w:val="auto"/>
                <w:w w:val="93"/>
              </w:rPr>
              <w:t>Compounded Annual Book Value</w:t>
            </w:r>
          </w:p>
        </w:tc>
        <w:tc>
          <w:tcPr>
            <w:tcW w:w="1880" w:type="dxa"/>
            <w:vAlign w:val="bottom"/>
          </w:tcPr>
          <w:p>
            <w:pPr>
              <w:jc w:val="right"/>
              <w:ind w:right="294"/>
              <w:spacing w:after="0"/>
              <w:rPr>
                <w:sz w:val="20"/>
                <w:szCs w:val="20"/>
                <w:color w:val="auto"/>
              </w:rPr>
            </w:pPr>
            <w:r>
              <w:rPr>
                <w:rFonts w:ascii="Arial" w:cs="Arial" w:eastAsia="Arial" w:hAnsi="Arial"/>
                <w:sz w:val="14"/>
                <w:szCs w:val="14"/>
                <w:b w:val="1"/>
                <w:bCs w:val="1"/>
                <w:color w:val="auto"/>
              </w:rPr>
              <w:t>Nonvested Common</w:t>
            </w:r>
          </w:p>
        </w:tc>
        <w:tc>
          <w:tcPr>
            <w:tcW w:w="0" w:type="dxa"/>
            <w:vAlign w:val="bottom"/>
          </w:tcPr>
          <w:p>
            <w:pPr>
              <w:spacing w:after="0"/>
              <w:rPr>
                <w:sz w:val="1"/>
                <w:szCs w:val="1"/>
                <w:color w:val="auto"/>
              </w:rPr>
            </w:pPr>
          </w:p>
        </w:tc>
      </w:tr>
      <w:tr>
        <w:trPr>
          <w:trHeight w:val="192"/>
        </w:trPr>
        <w:tc>
          <w:tcPr>
            <w:tcW w:w="7160" w:type="dxa"/>
            <w:vAlign w:val="bottom"/>
            <w:gridSpan w:val="2"/>
            <w:vMerge w:val="continue"/>
          </w:tcPr>
          <w:p>
            <w:pPr>
              <w:spacing w:after="0"/>
              <w:rPr>
                <w:sz w:val="16"/>
                <w:szCs w:val="16"/>
                <w:color w:val="auto"/>
              </w:rPr>
            </w:pPr>
          </w:p>
        </w:tc>
        <w:tc>
          <w:tcPr>
            <w:tcW w:w="2380" w:type="dxa"/>
            <w:vAlign w:val="bottom"/>
          </w:tcPr>
          <w:p>
            <w:pPr>
              <w:jc w:val="right"/>
              <w:ind w:right="654"/>
              <w:spacing w:after="0"/>
              <w:rPr>
                <w:sz w:val="20"/>
                <w:szCs w:val="20"/>
                <w:color w:val="auto"/>
              </w:rPr>
            </w:pPr>
            <w:r>
              <w:rPr>
                <w:rFonts w:ascii="Arial" w:cs="Arial" w:eastAsia="Arial" w:hAnsi="Arial"/>
                <w:sz w:val="14"/>
                <w:szCs w:val="14"/>
                <w:b w:val="1"/>
                <w:bCs w:val="1"/>
                <w:color w:val="auto"/>
              </w:rPr>
              <w:t>Per Share Growth</w:t>
            </w:r>
          </w:p>
        </w:tc>
        <w:tc>
          <w:tcPr>
            <w:tcW w:w="1880" w:type="dxa"/>
            <w:vAlign w:val="bottom"/>
          </w:tcPr>
          <w:p>
            <w:pPr>
              <w:jc w:val="right"/>
              <w:ind w:right="454"/>
              <w:spacing w:after="0"/>
              <w:rPr>
                <w:sz w:val="20"/>
                <w:szCs w:val="20"/>
                <w:color w:val="auto"/>
              </w:rPr>
            </w:pPr>
            <w:r>
              <w:rPr>
                <w:rFonts w:ascii="Arial" w:cs="Arial" w:eastAsia="Arial" w:hAnsi="Arial"/>
                <w:sz w:val="14"/>
                <w:szCs w:val="14"/>
                <w:b w:val="1"/>
                <w:bCs w:val="1"/>
                <w:color w:val="auto"/>
              </w:rPr>
              <w:t>Shares Earned</w:t>
            </w:r>
          </w:p>
        </w:tc>
        <w:tc>
          <w:tcPr>
            <w:tcW w:w="0" w:type="dxa"/>
            <w:vAlign w:val="bottom"/>
          </w:tcPr>
          <w:p>
            <w:pPr>
              <w:spacing w:after="0"/>
              <w:rPr>
                <w:sz w:val="1"/>
                <w:szCs w:val="1"/>
                <w:color w:val="auto"/>
              </w:rPr>
            </w:pPr>
          </w:p>
        </w:tc>
      </w:tr>
      <w:tr>
        <w:trPr>
          <w:trHeight w:val="250"/>
        </w:trPr>
        <w:tc>
          <w:tcPr>
            <w:tcW w:w="69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380" w:type="dxa"/>
            <w:vAlign w:val="bottom"/>
            <w:tcBorders>
              <w:top w:val="single" w:sz="8" w:color="auto"/>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&lt;14%</w:t>
            </w: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b w:val="1"/>
                <w:bCs w:val="1"/>
                <w:color w:val="auto"/>
              </w:rPr>
              <w:t>Threshold</w:t>
            </w:r>
          </w:p>
        </w:tc>
        <w:tc>
          <w:tcPr>
            <w:tcW w:w="2380" w:type="dxa"/>
            <w:vAlign w:val="bottom"/>
          </w:tcPr>
          <w:p>
            <w:pPr>
              <w:jc w:val="right"/>
              <w:ind w:right="174"/>
              <w:spacing w:after="0"/>
              <w:rPr>
                <w:sz w:val="20"/>
                <w:szCs w:val="20"/>
                <w:color w:val="auto"/>
              </w:rPr>
            </w:pPr>
            <w:r>
              <w:rPr>
                <w:rFonts w:ascii="Arial" w:cs="Arial" w:eastAsia="Arial" w:hAnsi="Arial"/>
                <w:sz w:val="18"/>
                <w:szCs w:val="18"/>
                <w:color w:val="auto"/>
              </w:rPr>
              <w:t>14%</w:t>
            </w:r>
          </w:p>
        </w:tc>
        <w:tc>
          <w:tcPr>
            <w:tcW w:w="18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15%</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6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80" w:type="dxa"/>
            <w:vAlign w:val="bottom"/>
          </w:tcPr>
          <w:p>
            <w:pPr>
              <w:jc w:val="right"/>
              <w:ind w:right="174"/>
              <w:spacing w:after="0"/>
              <w:rPr>
                <w:sz w:val="20"/>
                <w:szCs w:val="20"/>
                <w:color w:val="auto"/>
              </w:rPr>
            </w:pPr>
            <w:r>
              <w:rPr>
                <w:rFonts w:ascii="Arial" w:cs="Arial" w:eastAsia="Arial" w:hAnsi="Arial"/>
                <w:sz w:val="18"/>
                <w:szCs w:val="18"/>
                <w:color w:val="auto"/>
              </w:rPr>
              <w:t>16%</w:t>
            </w:r>
          </w:p>
        </w:tc>
        <w:tc>
          <w:tcPr>
            <w:tcW w:w="18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17%</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b w:val="1"/>
                <w:bCs w:val="1"/>
                <w:color w:val="auto"/>
              </w:rPr>
              <w:t>Maximum</w:t>
            </w:r>
          </w:p>
        </w:tc>
        <w:tc>
          <w:tcPr>
            <w:tcW w:w="2380" w:type="dxa"/>
            <w:vAlign w:val="bottom"/>
          </w:tcPr>
          <w:p>
            <w:pPr>
              <w:jc w:val="right"/>
              <w:ind w:right="174"/>
              <w:spacing w:after="0"/>
              <w:rPr>
                <w:sz w:val="20"/>
                <w:szCs w:val="20"/>
                <w:color w:val="auto"/>
              </w:rPr>
            </w:pPr>
            <w:r>
              <w:rPr>
                <w:rFonts w:ascii="Arial" w:cs="Arial" w:eastAsia="Arial" w:hAnsi="Arial"/>
                <w:sz w:val="18"/>
                <w:szCs w:val="18"/>
                <w:color w:val="auto"/>
              </w:rPr>
              <w:t>≥18%</w:t>
            </w:r>
          </w:p>
        </w:tc>
        <w:tc>
          <w:tcPr>
            <w:tcW w:w="18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94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2380" w:type="dxa"/>
            <w:vAlign w:val="bottom"/>
            <w:tcBorders>
              <w:bottom w:val="single" w:sz="8" w:color="auto"/>
            </w:tcBorders>
            <w:shd w:val="clear" w:color="auto" w:fill="CCEEFF"/>
          </w:tcPr>
          <w:p>
            <w:pPr>
              <w:spacing w:after="0"/>
              <w:rPr>
                <w:sz w:val="24"/>
                <w:szCs w:val="24"/>
                <w:color w:val="auto"/>
              </w:rPr>
            </w:pPr>
          </w:p>
        </w:tc>
        <w:tc>
          <w:tcPr>
            <w:tcW w:w="18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the event that the compounded annual book value per share growth falls between the performance levels shown above, the nonvested common shares earned will be determined on a straight-line basis between the respective levels shown.</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connection with our incentive program covering bonus awards for performance year 2018, in February 2019, time-based share units were issued to certain employees that vest in three equal installments on March 1, 2020, 2021 and 2022. In May 2019, 17,024 time-based share units were granted to non-employee directors that vest one year from the date of grant.</w:t>
      </w:r>
    </w:p>
    <w:p>
      <w:pPr>
        <w:spacing w:after="0" w:line="181"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 total fair value on the vesting date of nonvested shares or share units that vested was $22.0 million and $74.0 million for the three months ended March 31, 2019 and 2018, respectively. As of March 31, 2019, there was $28.7 million of total unrecognized compensation expense related to nonvested shares or share units outstanding at March 31, 2019 and we expect to recognize the expense over a weighted average period of 2.3 years.</w:t>
      </w:r>
    </w:p>
    <w:p>
      <w:pPr>
        <w:spacing w:after="0" w:line="166"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Employees have the option to tender shares to Essent Group to pay the minimum employee statutory withholding taxes associated with shares upon vesting. Common shares tendered by employees to pay employee withholding taxes totaled 189,965 in the three months ended March 31, 2019. The tendered shares were recorded at cost and included in treasury stock. All treasury stock has been cancelled as of March 31, 2019.</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Compensation expense, net of forfeitures, and related tax effects recognized in connection with nonvested shares was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2018</w:t>
            </w: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expense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4,100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3,605</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Income tax benefit</w:t>
            </w:r>
          </w:p>
        </w:tc>
        <w:tc>
          <w:tcPr>
            <w:tcW w:w="420" w:type="dxa"/>
            <w:vAlign w:val="bottom"/>
          </w:tcPr>
          <w:p>
            <w:pPr>
              <w:spacing w:after="0"/>
              <w:rPr>
                <w:sz w:val="21"/>
                <w:szCs w:val="21"/>
                <w:color w:val="auto"/>
              </w:rPr>
            </w:pPr>
          </w:p>
        </w:tc>
        <w:tc>
          <w:tcPr>
            <w:tcW w:w="1300" w:type="dxa"/>
            <w:vAlign w:val="bottom"/>
          </w:tcPr>
          <w:p>
            <w:pPr>
              <w:jc w:val="right"/>
              <w:ind w:right="39"/>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672</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Earnings per Share (EPS)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reconciles the net income and the weighted average common shares outstanding used in the computations of basic and diluted earnings per common share:</w:t>
      </w:r>
    </w:p>
    <w:p>
      <w:pPr>
        <w:spacing w:after="0" w:line="324" w:lineRule="exact"/>
        <w:rPr>
          <w:sz w:val="20"/>
          <w:szCs w:val="20"/>
          <w:color w:val="auto"/>
        </w:rPr>
      </w:pPr>
    </w:p>
    <w:p>
      <w:pPr>
        <w:ind w:left="90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March 31,</w:t>
            </w:r>
          </w:p>
        </w:tc>
        <w:tc>
          <w:tcPr>
            <w:tcW w:w="1200" w:type="dxa"/>
            <w:vAlign w:val="bottom"/>
            <w:tcBorders>
              <w:bottom w:val="single" w:sz="8" w:color="auto"/>
            </w:tcBorders>
          </w:tcPr>
          <w:p>
            <w:pPr>
              <w:spacing w:after="0"/>
              <w:rPr>
                <w:sz w:val="15"/>
                <w:szCs w:val="15"/>
                <w:color w:val="auto"/>
              </w:rPr>
            </w:pPr>
          </w:p>
        </w:tc>
      </w:tr>
      <w:tr>
        <w:trPr>
          <w:trHeight w:val="258"/>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127,720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111,069</w:t>
            </w: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Less: dividends declared</w:t>
            </w: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available to common shareholders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127,720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111,069</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7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Diluted earnings per share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1.13</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97,595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97,298</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Dilutive effect of nonvested shares</w:t>
            </w:r>
          </w:p>
        </w:tc>
        <w:tc>
          <w:tcPr>
            <w:tcW w:w="4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653</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98,104</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97,951</w:t>
            </w:r>
          </w:p>
        </w:tc>
      </w:tr>
      <w:tr>
        <w:trPr>
          <w:trHeight w:val="27"/>
        </w:trPr>
        <w:tc>
          <w:tcPr>
            <w:tcW w:w="7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142,642 and 166,323 antidilutive shares for the three months ended March 31, 2019 and 2018, respectively.</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nonvested performance-based share awards are considered contingently issuable for purposes of the EPS calculation. Based on the compounded annual book value per share growth as of March 31, 2019 and 2018, 100% of the dilutive performance-based share awards would be issuable under the terms of the arrangements at each date if March 31 was the end of the contingency period.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Accumulated Other Comprehensive Income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rollforward of accumulated other comprehensive income (loss) for the three months ended March 31,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76"/>
        </w:trPr>
        <w:tc>
          <w:tcPr>
            <w:tcW w:w="3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9"/>
              </w:rPr>
              <w:t>Before Tax</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Tax Effect</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Net of Tax</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6"/>
              </w:rPr>
              <w:t>Before Tax</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Tax Effect</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Net of Tax</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Balance at beginning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(33,276)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4,283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(28,993)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(1,849)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(3,252)</w:t>
            </w: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4020" w:type="dxa"/>
            <w:vAlign w:val="bottom"/>
            <w:gridSpan w:val="2"/>
          </w:tcPr>
          <w:p>
            <w:pPr>
              <w:ind w:left="280"/>
              <w:spacing w:after="0"/>
              <w:rPr>
                <w:sz w:val="20"/>
                <w:szCs w:val="20"/>
                <w:color w:val="auto"/>
              </w:rPr>
            </w:pPr>
            <w:r>
              <w:rPr>
                <w:rFonts w:ascii="Arial" w:cs="Arial" w:eastAsia="Arial" w:hAnsi="Arial"/>
                <w:sz w:val="18"/>
                <w:szCs w:val="18"/>
                <w:color w:val="auto"/>
                <w:w w:val="93"/>
              </w:rPr>
              <w:t>Unrealized holding gains (losses) on investments:</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4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5"/>
              </w:rPr>
              <w:t>Unrealized holding gains (losses) arising during</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40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the period</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46,977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38,906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(28,626)</w:t>
            </w:r>
          </w:p>
        </w:tc>
      </w:tr>
      <w:tr>
        <w:trPr>
          <w:trHeight w:val="229"/>
        </w:trPr>
        <w:tc>
          <w:tcPr>
            <w:tcW w:w="4020" w:type="dxa"/>
            <w:vAlign w:val="bottom"/>
            <w:gridSpan w:val="2"/>
          </w:tcPr>
          <w:p>
            <w:pPr>
              <w:ind w:left="380"/>
              <w:spacing w:after="0"/>
              <w:rPr>
                <w:sz w:val="20"/>
                <w:szCs w:val="20"/>
                <w:color w:val="auto"/>
              </w:rPr>
            </w:pPr>
            <w:r>
              <w:rPr>
                <w:rFonts w:ascii="Arial" w:cs="Arial" w:eastAsia="Arial" w:hAnsi="Arial"/>
                <w:sz w:val="18"/>
                <w:szCs w:val="18"/>
                <w:color w:val="auto"/>
              </w:rPr>
              <w:t>Less: Reclassification adjustment for gains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020" w:type="dxa"/>
            <w:vAlign w:val="bottom"/>
            <w:gridSpan w:val="2"/>
          </w:tcPr>
          <w:p>
            <w:pPr>
              <w:ind w:left="540"/>
              <w:spacing w:after="0"/>
              <w:rPr>
                <w:sz w:val="20"/>
                <w:szCs w:val="20"/>
                <w:color w:val="auto"/>
              </w:rPr>
            </w:pPr>
            <w:r>
              <w:rPr>
                <w:rFonts w:ascii="Arial" w:cs="Arial" w:eastAsia="Arial" w:hAnsi="Arial"/>
                <w:sz w:val="18"/>
                <w:szCs w:val="18"/>
                <w:color w:val="auto"/>
              </w:rPr>
              <w:t>included in net income (1)</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4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unrealized gains (losses) on investments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46,317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38,366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(28,750)</w:t>
            </w:r>
          </w:p>
        </w:tc>
      </w:tr>
      <w:tr>
        <w:trPr>
          <w:trHeight w:val="237"/>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46,317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38,366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(33,943)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5,193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(28,750)</w:t>
            </w: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13,041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(35,792)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(32,002)</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Included in net realized investment gains on our condensed 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065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of Financial Instruments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carry certain of our financial instruments at fair value. We define fair value as the current amount that would be exchanged to sell an asset or transfer a liability, other than in a forced liquidation.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spacing w:after="0" w:line="18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Quoted prices for identical instruments in active markets accessible at the measurement date.</w:t>
      </w:r>
    </w:p>
    <w:p>
      <w:pPr>
        <w:spacing w:after="0" w:line="225" w:lineRule="exact"/>
        <w:rPr>
          <w:rFonts w:ascii="Arial" w:cs="Arial" w:eastAsia="Arial" w:hAnsi="Arial"/>
          <w:sz w:val="18"/>
          <w:szCs w:val="18"/>
          <w:color w:val="auto"/>
        </w:rPr>
      </w:pPr>
    </w:p>
    <w:p>
      <w:pPr>
        <w:jc w:val="both"/>
        <w:ind w:left="660" w:right="20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Valuations derived from one or more significant inputs that are unobservable.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Fair Value</w:t>
      </w:r>
    </w:p>
    <w:p>
      <w:pPr>
        <w:spacing w:after="0" w:line="22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used the following methods and assumptions in estimating fair values of financial instruments:</w:t>
      </w:r>
    </w:p>
    <w:p>
      <w:pPr>
        <w:spacing w:after="0" w:line="225" w:lineRule="exact"/>
        <w:rPr>
          <w:sz w:val="20"/>
          <w:szCs w:val="20"/>
          <w:color w:val="auto"/>
        </w:rPr>
      </w:pPr>
    </w:p>
    <w:p>
      <w:pPr>
        <w:ind w:left="660" w:right="20" w:hanging="328"/>
        <w:spacing w:after="0" w:line="273"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Investments available for sale — Investments available for sale are valued using quoted market prices in active markets, when available, and those investments are classified as Level 1 of the fair value hierarchy. Level 1 investments available for sale include investments such as U.S. Treasury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U.S. agency securities, U.S. agency mortgage-backed securities, municipal debt securities, non-U.S. government securities, corporate debt securities, residential and commercial mortgage securities and asset-backed securities are classified as Level 2 investments.</w:t>
      </w:r>
    </w:p>
    <w:p>
      <w:pPr>
        <w:spacing w:after="0" w:line="178" w:lineRule="exact"/>
        <w:rPr>
          <w:rFonts w:ascii="Arial" w:cs="Arial" w:eastAsia="Arial" w:hAnsi="Arial"/>
          <w:sz w:val="17"/>
          <w:szCs w:val="17"/>
          <w:color w:val="auto"/>
        </w:rPr>
      </w:pPr>
    </w:p>
    <w:p>
      <w:pPr>
        <w:ind w:left="660"/>
        <w:spacing w:after="0" w:line="287" w:lineRule="auto"/>
        <w:rPr>
          <w:rFonts w:ascii="Arial" w:cs="Arial" w:eastAsia="Arial" w:hAnsi="Arial"/>
          <w:sz w:val="17"/>
          <w:szCs w:val="17"/>
          <w:color w:val="auto"/>
        </w:rPr>
      </w:pPr>
      <w:r>
        <w:rPr>
          <w:rFonts w:ascii="Arial" w:cs="Arial" w:eastAsia="Arial" w:hAnsi="Arial"/>
          <w:sz w:val="16"/>
          <w:szCs w:val="16"/>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U.S. agency securities, U.S. agency mortgage-backed securities, municipal debt securities, non-U.S. government securities and corporate debt securities are valued by our primary vendor using recently executed transactions and proprietary models based on observable inputs, such as interest rate spreads, yield curves and credit risk. Residential and commercial mortgage securities and asset-backed securities are valued by our primary vendor using proprietary models based on observable inputs, such as interest rate spreads, prepayment speeds and credit risk. As part of our evaluation of investment prices provided by our primary pricing service, we obtained and reviewed their pricing methodologies which include a description of how each security type is evaluated and priced. We review the reasonableness of prices received from our primary pricing service by comparison to prices obtained from additional pricing sources. We have not made any adjustments to the prices obtained from our primary pricing service.</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125" w:right="2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All assets measured at fair value are categorized in the table below based upon the lowest level of significant input to the valuations. All fair value measurements at the reporting date were on a recurring basis.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Quoted Prices</w:t>
            </w:r>
          </w:p>
        </w:tc>
        <w:tc>
          <w:tcPr>
            <w:tcW w:w="280" w:type="dxa"/>
            <w:vAlign w:val="bottom"/>
          </w:tcPr>
          <w:p>
            <w:pPr>
              <w:spacing w:after="0"/>
              <w:rPr>
                <w:sz w:val="14"/>
                <w:szCs w:val="14"/>
                <w:color w:val="auto"/>
              </w:rPr>
            </w:pPr>
          </w:p>
        </w:tc>
        <w:tc>
          <w:tcPr>
            <w:tcW w:w="14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Significant</w:t>
            </w: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in Active</w:t>
            </w: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Significant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Identical</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March 31, 2019 (In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Instruments</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Financial Assets:</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286,843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286,843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33,187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33,187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672,142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672,142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Municipal debt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461,382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461,382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Non-U.S. government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46,366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46,366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Corporate debt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763,401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763,401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187,210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187,210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314,736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314,736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210,822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210,822</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assets at fair value (1)</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497,665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2,478,424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2,976,089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right="4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Does not include the fair value of an immaterial embedded derivative, which we have accounted for separately as a freestanding derivative and included in other assets in our condensed consolidated balance sheet. See Note 4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14065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Quoted Prices</w:t>
            </w:r>
          </w:p>
        </w:tc>
        <w:tc>
          <w:tcPr>
            <w:tcW w:w="280" w:type="dxa"/>
            <w:vAlign w:val="bottom"/>
          </w:tcPr>
          <w:p>
            <w:pPr>
              <w:spacing w:after="0"/>
              <w:rPr>
                <w:sz w:val="14"/>
                <w:szCs w:val="14"/>
                <w:color w:val="auto"/>
              </w:rPr>
            </w:pPr>
          </w:p>
        </w:tc>
        <w:tc>
          <w:tcPr>
            <w:tcW w:w="14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Significant</w:t>
            </w: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in Active</w:t>
            </w: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Significant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Identical</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2018 (In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Instruments</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Financial Assets:</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289,892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289,892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32,997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32,997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637,178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637,178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Municipal debt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483,879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483,879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Non-U.S. government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45,001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45,001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Corporate debt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725,201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725,201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121,838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121,838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284,997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284,997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139,083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139,083</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assets at fair value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428,975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2,331,091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2,760,066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ind w:right="436"/>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Statutory Accounting</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 presents Essent Guaranty’s and Essent PA’s statutory net income, statutory surplus and contingency reserve liability as of and for the three months ended March 31:</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b w:val="1"/>
                <w:bCs w:val="1"/>
                <w:color w:val="auto"/>
              </w:rPr>
              <w:t>2018</w:t>
            </w:r>
          </w:p>
        </w:tc>
      </w:tr>
      <w:tr>
        <w:trPr>
          <w:trHeight w:val="250"/>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Essent Guaranty</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gridSpan w:val="2"/>
          </w:tcPr>
          <w:p>
            <w:pPr>
              <w:ind w:left="280"/>
              <w:spacing w:after="0"/>
              <w:rPr>
                <w:sz w:val="20"/>
                <w:szCs w:val="20"/>
                <w:color w:val="auto"/>
              </w:rPr>
            </w:pPr>
            <w:r>
              <w:rPr>
                <w:rFonts w:ascii="Arial" w:cs="Arial" w:eastAsia="Arial" w:hAnsi="Arial"/>
                <w:sz w:val="18"/>
                <w:szCs w:val="18"/>
                <w:color w:val="auto"/>
              </w:rPr>
              <w:t>Statutory net income</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101,989</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93,002</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Statutory surplus</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905,534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807,363</w:t>
            </w:r>
          </w:p>
        </w:tc>
      </w:tr>
      <w:tr>
        <w:trPr>
          <w:trHeight w:val="243"/>
        </w:trPr>
        <w:tc>
          <w:tcPr>
            <w:tcW w:w="6900" w:type="dxa"/>
            <w:vAlign w:val="bottom"/>
            <w:gridSpan w:val="2"/>
          </w:tcPr>
          <w:p>
            <w:pPr>
              <w:ind w:left="280"/>
              <w:spacing w:after="0"/>
              <w:rPr>
                <w:sz w:val="20"/>
                <w:szCs w:val="20"/>
                <w:color w:val="auto"/>
              </w:rPr>
            </w:pPr>
            <w:r>
              <w:rPr>
                <w:rFonts w:ascii="Arial" w:cs="Arial" w:eastAsia="Arial" w:hAnsi="Arial"/>
                <w:sz w:val="18"/>
                <w:szCs w:val="18"/>
                <w:color w:val="auto"/>
              </w:rPr>
              <w:t>Contingency reserve liability</w:t>
            </w: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981,207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734,944</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97"/>
        </w:trPr>
        <w:tc>
          <w:tcPr>
            <w:tcW w:w="6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43"/>
        </w:trPr>
        <w:tc>
          <w:tcPr>
            <w:tcW w:w="6900" w:type="dxa"/>
            <w:vAlign w:val="bottom"/>
            <w:gridSpan w:val="2"/>
          </w:tcPr>
          <w:p>
            <w:pPr>
              <w:ind w:left="40"/>
              <w:spacing w:after="0"/>
              <w:rPr>
                <w:sz w:val="20"/>
                <w:szCs w:val="20"/>
                <w:color w:val="auto"/>
              </w:rPr>
            </w:pPr>
            <w:r>
              <w:rPr>
                <w:rFonts w:ascii="Arial" w:cs="Arial" w:eastAsia="Arial" w:hAnsi="Arial"/>
                <w:sz w:val="18"/>
                <w:szCs w:val="18"/>
                <w:color w:val="auto"/>
              </w:rPr>
              <w:t>Essent PA</w:t>
            </w:r>
          </w:p>
        </w:tc>
        <w:tc>
          <w:tcPr>
            <w:tcW w:w="5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Statutory net income</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2,475</w:t>
            </w:r>
          </w:p>
        </w:tc>
      </w:tr>
      <w:tr>
        <w:trPr>
          <w:trHeight w:val="243"/>
        </w:trPr>
        <w:tc>
          <w:tcPr>
            <w:tcW w:w="6900" w:type="dxa"/>
            <w:vAlign w:val="bottom"/>
            <w:gridSpan w:val="2"/>
          </w:tcPr>
          <w:p>
            <w:pPr>
              <w:ind w:left="280"/>
              <w:spacing w:after="0"/>
              <w:rPr>
                <w:sz w:val="20"/>
                <w:szCs w:val="20"/>
                <w:color w:val="auto"/>
              </w:rPr>
            </w:pPr>
            <w:r>
              <w:rPr>
                <w:rFonts w:ascii="Arial" w:cs="Arial" w:eastAsia="Arial" w:hAnsi="Arial"/>
                <w:sz w:val="18"/>
                <w:szCs w:val="18"/>
                <w:color w:val="auto"/>
              </w:rPr>
              <w:t>Statutory surplus</w:t>
            </w: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50,216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46,505</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6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Contingency reserve liability</w:t>
            </w:r>
          </w:p>
        </w:tc>
        <w:tc>
          <w:tcPr>
            <w:tcW w:w="5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49,744</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44,606</w:t>
            </w:r>
          </w:p>
        </w:tc>
      </w:tr>
      <w:tr>
        <w:trPr>
          <w:trHeight w:val="27"/>
        </w:trPr>
        <w:tc>
          <w:tcPr>
            <w:tcW w:w="6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Net income determined in accordance with statutory accounting practices differs from GAAP. In 2019 and 2018, the more significant differences between net income determined under statutory accounting practices and GAAP for Essent Guaranty and Essent PA relate to policy acquisition costs and income taxes. Under statutory accounting practices, policy acquisition costs are expensed as incurred while such costs are capitalized and amortized to expense over the life of the policy under GAAP. We are eligible for a tax deduction, subject to certain limitations for amounts required by state law or regulation to be set aside in statutory contingency reserves when we purchase non-interest-bearing United States Mortgage Guaranty Tax and Loss Bonds (“T&amp;L Bonds”) issued by the Treasury Department. Under statutory accounting practices, this deduction reduces the tax provision recorded by Essent Guaranty and Essent PA and, as a result, increases statutory net income and surplus as compared to net income and equity determined in accordance with GAAP.</w:t>
      </w:r>
    </w:p>
    <w:p>
      <w:pPr>
        <w:spacing w:after="0" w:line="192"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At March 31, 2019 and 2018, the statutory capital of our U.S. insurance subsidiaries, which is defined as the total of statutory surplus and contingency reserves, was in excess of the statutory capital necessary to satisfy their regulatory requirements.</w:t>
      </w:r>
    </w:p>
    <w:p>
      <w:pPr>
        <w:spacing w:after="0" w:line="17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Effective December 31, 2015, Fannie Mae and Freddie Mac, at the direction of the Federal Housing Finance Agency,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In 2018, the GSEs released revised PMIERs framework ("PMIERs 2.0") which became effective on March 31, 2019. As of March 31, 2019, Essent Guaranty, our GSE-approved mortgage insurance company, was in compliance with PMIERs 2.0.</w:t>
      </w:r>
    </w:p>
    <w:p>
      <w:pPr>
        <w:spacing w:after="0" w:line="16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Statement of Statutory Accounting Principles No. 58, </w:t>
      </w:r>
      <w:r>
        <w:rPr>
          <w:rFonts w:ascii="Arial" w:cs="Arial" w:eastAsia="Arial" w:hAnsi="Arial"/>
          <w:sz w:val="17"/>
          <w:szCs w:val="17"/>
          <w:i w:val="1"/>
          <w:iCs w:val="1"/>
          <w:color w:val="auto"/>
        </w:rPr>
        <w:t>Mortgage Guaranty Insurance,</w:t>
      </w:r>
      <w:r>
        <w:rPr>
          <w:rFonts w:ascii="Arial" w:cs="Arial" w:eastAsia="Arial" w:hAnsi="Arial"/>
          <w:sz w:val="17"/>
          <w:szCs w:val="17"/>
          <w:color w:val="auto"/>
        </w:rPr>
        <w:t xml:space="preserve"> requires mortgage insurers to establish a special contingency reserve for statutory accounting purposes included in total liabilities equal to 50% of earned premium for that year. During the three months ended March 31, 2019, Essent Guaranty increased its contingency reserve by $64.6 million and Essent PA increased its contingency reserve by $1.2 million.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Essent Guaranty and Essent PA did not release any amounts from their contingency reserves in the three months ended March 31, 2019 or 2018.</w:t>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125" w:right="3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Under The Insurance Act 1978, as amended, and related regulations of Bermuda (the "Insurance Act"), Essent Re is required to annually prepare statutory financial statements and a statutory financial return in accordance with the financial reporting provisions of the Insurance Act, which is a basis other than GAAP. The Insurance Act also requires that Essent Re maintain minimum share capital of $1 million and must ensure that the value of its general business assets exceeds the amount of its general business liabilities by an amount greater than the prescribed minimum solvency margins and enhanced capital requirement pertaining to its general business. At December 31, 2018, all such requirements were met.</w:t>
      </w:r>
    </w:p>
    <w:p>
      <w:pPr>
        <w:spacing w:after="0" w:line="1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Essent Re's statutory capital and surplus was $846.4 million as of March 31, 2019 and $798.5 million as of December 31, 2018. Essent Re's statutory net income was $39.5 million and $31.2 million for the three months ended March 31, 2019 and 2018, respectively. Statutory capital and surplus as of March 31, 2019 and December 31, 2018 and statutory net income in the three months ended March 31, 2019 and 2018 determined in accordance with statutory accounting practices were not significantly different than the amounts determined under GAAP.</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i w:val="1"/>
          <w:iCs w:val="1"/>
          <w:color w:val="auto"/>
        </w:rPr>
        <w:t>The following discussion should be read together with the “Selected Financial Data” and our audited consolidated financial statements and related notes included in our Annual Report on Form 10-K as of and for the year ended December 31, 2018 as filed with the Securities and Exchange Commission and referred to herein as the “Annual Report,” and our condensed consolidated financial statements and related notes as of and for the three months ended March 31, 2019 included in Part I, Item 1 of this Quarterly Report on Form 10-Q, which we refer to as the “Quarterly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in this Quarterly Report and Part I, Item 1A “Risk Factors” in our Annual Report.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an established and growing private mortgage insurance company. Essent Guaranty, Inc., our wholly-owned insurance subsidiary which we refer to as "Essent Guaranty," is licensed to write coverage in all 50 states and the District of Columbia. The financial strength of Essent Guaranty is rated Baa1 with a stable outlook by Moody’s Investor Services (“Moody's”), BBB+ with a stable outlook by S&amp;P Global Ratings (“S&amp;P”) and A (Excellent) with a stable outlook by A.M. Best.</w:t>
      </w:r>
    </w:p>
    <w:p>
      <w:pPr>
        <w:spacing w:after="0" w:line="187"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Our holding company is domiciled in Bermuda and our U.S. insurance business is headquartered in Radnor, Pennsylvania. We operate additional underwriting and service centers in Winston-Salem, North Carolina and Irvine, California. We have a highly experienced, talented team with 377 employees as of March 31, 2019. We generated new insurance written, or NIW, of approximately $11.0 billion and $9.3 billion for the three months ended March 31, 2019 and 2018, respectively. As of March 31, 2019, we had approximately $143.2 billion of insurance in force.</w:t>
      </w:r>
    </w:p>
    <w:p>
      <w:pPr>
        <w:spacing w:after="0" w:line="17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also offer mortgage-related insurance and reinsurance through our wholly-owned Bermuda-based subsidiary, Essent Reinsurance Ltd., which we refer to as "Essent Re." As of March 31, 2019, Essent Re provided insurance or reinsurance relating to GSE risk share and other reinsurance transactions covering approximately $771.2 million of risk. Essent Re has also reinsured 25% of Essent Guaranty’s GSE-eligible mortgage insurance NIW originated since July 1, 2014 under a quota share reinsurance agreement. The insurer financial strength rating of Essent Re is BBB+ with a stable outlook by S&amp;P and A (Excellent) with a stable outlook by A.M. Best.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Developments</w:t>
      </w:r>
    </w:p>
    <w:p>
      <w:pPr>
        <w:spacing w:after="0" w:line="229"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Our results are significantly impacted by, and our future success may be affected by, legislative and regulatory developments affecting the housing finance industry. See Part I, Item 1 “Business—Regulation” and Part II, Item 7 “Management’s Discussion and Analysis of Financial Condition and Results of Operations—Legislative and Regulatory Developments” in our Annual Report for a discussion of the laws and regulations to which we are subject as well as legislative and regulatory developments affecting the housing finance industry.</w:t>
      </w:r>
    </w:p>
    <w:p>
      <w:pPr>
        <w:spacing w:after="0" w:line="187"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Effective December 31, 2015, Fannie Mae and Freddie Mac, at the direction of the Federal Housing Finance Agency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In 2018, the GSEs released revised PMIERs framework ("PMIERs 2.0") which became effective on March 31, 2019. As of March 31, 2019, Essent Guaranty, our GSE-approved mortgage insurance company, was in compliance with PMIERs 2.0. See additional discussion in “— Liquidity and Capital Resources —Private Mortgage Insurer Eligibility Requirements.”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Premiums associated with our U.S. mortgage insurance business are based on insurance in force ("IIF") during all or a portion of a period. A change in the average IIF during a period causes premiums to increase or decrease as compared to prior periods. Average net premium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spacing w:after="0" w:line="154" w:lineRule="exact"/>
        <w:rPr>
          <w:sz w:val="20"/>
          <w:szCs w:val="20"/>
          <w:color w:val="auto"/>
        </w:rPr>
      </w:pPr>
    </w:p>
    <w:p>
      <w:pPr>
        <w:ind w:left="660" w:right="260" w:hanging="328"/>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NIW, which is the aggregate principal amount of the new mortgages that are insured during a period. Many factors affect NIW, including, among others, the volume of low down payment home mortgage originations and the competition to provide credit enhancement on those mortgages;</w:t>
      </w:r>
    </w:p>
    <w:p>
      <w:pPr>
        <w:spacing w:after="0" w:line="123" w:lineRule="exact"/>
        <w:rPr>
          <w:rFonts w:ascii="Arial" w:cs="Arial" w:eastAsia="Arial" w:hAnsi="Arial"/>
          <w:sz w:val="16"/>
          <w:szCs w:val="16"/>
          <w:color w:val="auto"/>
        </w:rPr>
      </w:pPr>
    </w:p>
    <w:p>
      <w:pPr>
        <w:ind w:left="660" w:right="10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Cancellations of our insurance policies, which are impacted by payments on mortgages, home price appreciation, or refinancings, which in turn are affected by mortgage interest rates. Cancellations are also impacted by the levels of claim payments and rescissions;</w:t>
      </w:r>
    </w:p>
    <w:p>
      <w:pPr>
        <w:spacing w:after="0" w:line="146" w:lineRule="exact"/>
        <w:rPr>
          <w:rFonts w:ascii="Arial" w:cs="Arial" w:eastAsia="Arial" w:hAnsi="Arial"/>
          <w:sz w:val="17"/>
          <w:szCs w:val="17"/>
          <w:color w:val="auto"/>
        </w:rPr>
      </w:pPr>
    </w:p>
    <w:p>
      <w:pPr>
        <w:ind w:left="660" w:right="340" w:hanging="328"/>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Premiums ceded or assumed under reinsurance arrangements. See Note 4 to our condensed consolidated financial statements.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Monthly premium payments are based on the original mortgage amount rather than the amortized loan balance.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March 31, 2019 were non-refundable. Premiums collected on annual policies are recognized as net premiums earned on a straight-line basis over the year of coverage. For the three months ended March 31, 2019, monthly and single premium policies comprised 87.3% and 12.7% of our NIW, respectively.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Premiums associated with our GSE and other risk share transactions are based on the level of risk in force.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Persistency and Business Mix</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percentage of IIF that remains on our books after any 12-month period is defined as our persistency rate. Because our insurance premiums are earned over the life of a policy, higher persistency rates can have a significant impact on our profitability. The persistency rate on our portfolio was 85.1% at March 31, 2019. Generally, higher prepayment speeds lead to lower persistency.</w:t>
      </w:r>
    </w:p>
    <w:p>
      <w:pPr>
        <w:spacing w:after="0" w:line="181" w:lineRule="exact"/>
        <w:rPr>
          <w:sz w:val="20"/>
          <w:szCs w:val="20"/>
          <w:color w:val="auto"/>
        </w:rPr>
      </w:pPr>
    </w:p>
    <w:p>
      <w:pPr>
        <w:ind w:right="100" w:firstLine="693"/>
        <w:spacing w:after="0" w:line="273" w:lineRule="auto"/>
        <w:rPr>
          <w:sz w:val="20"/>
          <w:szCs w:val="20"/>
          <w:color w:val="auto"/>
        </w:rPr>
      </w:pPr>
      <w:r>
        <w:rPr>
          <w:rFonts w:ascii="Arial" w:cs="Arial" w:eastAsia="Arial" w:hAnsi="Arial"/>
          <w:sz w:val="17"/>
          <w:szCs w:val="17"/>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Our investment portfolio was predominantly comprised of investment-grade fixed income securities and money market funds as of March 31, 2019. The principal factors that influence investment income are the size of the investment</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125" w:right="2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portfolio and the yield on individual securities.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“other-than-temporary” impairments recognized in earnings. The amount received on the sale of fixed income securities is affected by the coupon rate of the security compared to the yield of comparable securities at the time of sale.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Other income includes revenues associated with contract underwriting services and underwriting consulting services to third-party reinsurers. The level of contract underwriting revenue is dependent upon the number of customers who have engaged us for this service and the number of loans underwritten for these customers. Revenue from underwriting consulting services to third-party reinsurers is dependent upon the number of customers who have engaged us for this service and the level of premiums associated with the transactions underwritten for these customers.</w:t>
      </w:r>
    </w:p>
    <w:p>
      <w:pPr>
        <w:spacing w:after="0" w:line="17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fee which is recorded in other income. This fee is adjusted monthly based on the number of Triad’s mortgage insurance policies in force and, accordingly, will decrease over time as Triad’s existing policies are cancelled. The services agreement was automatically extended until November 30, 2019.</w:t>
      </w:r>
    </w:p>
    <w:p>
      <w:pPr>
        <w:spacing w:after="0" w:line="173"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As more fully described in Note 4 to our condensed consolidated financial statements, the premium ceded under certain reinsurance contracts with unaffiliated third parties varies based on changes in market interest rates. Under GAAP, these contracts contain embedded derivatives that are accounted for separately as freestanding derivatives. The change in the fair value of the embedded derivatives is reported in earnings and included in other income.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provision for losses and loss adjustment expenses reflects the current expense that is recorded within a particular period to reflect actual and estimated loss payments that we believe will ultimately be made as a result of insured loans that are in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Losses incurred are generally affected by:</w:t>
      </w:r>
    </w:p>
    <w:p>
      <w:pPr>
        <w:spacing w:after="0" w:line="225" w:lineRule="exact"/>
        <w:rPr>
          <w:sz w:val="20"/>
          <w:szCs w:val="20"/>
          <w:color w:val="auto"/>
        </w:rPr>
      </w:pPr>
    </w:p>
    <w:p>
      <w:pPr>
        <w:ind w:left="660" w:right="3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overall state of the economy, which broadly affects the likelihood that borrowers may default on their loans and have the ability to cure such defaults;</w:t>
      </w:r>
    </w:p>
    <w:p>
      <w:pPr>
        <w:spacing w:after="0" w:line="170" w:lineRule="exact"/>
        <w:rPr>
          <w:rFonts w:ascii="Arial" w:cs="Arial" w:eastAsia="Arial" w:hAnsi="Arial"/>
          <w:sz w:val="18"/>
          <w:szCs w:val="18"/>
          <w:color w:val="auto"/>
        </w:rPr>
      </w:pPr>
    </w:p>
    <w:p>
      <w:pPr>
        <w:ind w:left="660" w:right="380" w:hanging="328"/>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product mix of IIF, with loans having higher risk characteristics generally resulting in higher defaults and claims;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size of loans insured, with higher average loan amounts tending to increase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loan-to-value ratio, with higher average loan-to-value ratios tending to increase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percentage of coverage on insured loans, with deeper average coverage tending to increase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credit quality of borrowers, including higher debt-to-income ratios and lower FICO scores, which tend to increase incurred losses;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and amount of reinsurance coverage maintained with third parties;</w:t>
      </w:r>
    </w:p>
    <w:p>
      <w:pPr>
        <w:spacing w:after="0" w:line="225"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distribution of claims over the life of a book. As of March 31, 2019, 64% of our IIF relates to business written since January 1, 2017 and was less than three years old. As a result, based on historical industry performance, we expect the number of defaults and claims we experience, as well as our provision for losses and loss adjustment expenses, to increase as our portfolio seasons. See “— Mortgage Insurance Earnings and Cash Flow Cycle” below.</w:t>
      </w:r>
    </w:p>
    <w:p>
      <w:pPr>
        <w:spacing w:after="0" w:line="187" w:lineRule="exact"/>
        <w:rPr>
          <w:sz w:val="20"/>
          <w:szCs w:val="20"/>
          <w:color w:val="auto"/>
        </w:rPr>
      </w:pPr>
    </w:p>
    <w:p>
      <w:pPr>
        <w:jc w:val="both"/>
        <w:ind w:right="200" w:firstLine="648"/>
        <w:spacing w:after="0" w:line="288" w:lineRule="auto"/>
        <w:rPr>
          <w:sz w:val="20"/>
          <w:szCs w:val="20"/>
          <w:color w:val="auto"/>
        </w:rPr>
      </w:pPr>
      <w:r>
        <w:rPr>
          <w:rFonts w:ascii="Arial" w:cs="Arial" w:eastAsia="Arial" w:hAnsi="Arial"/>
          <w:sz w:val="16"/>
          <w:szCs w:val="16"/>
          <w:color w:val="auto"/>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(“LAE”), consisting of the estimated cost of the claims administration process, including legal and other fees.</w:t>
      </w:r>
    </w:p>
    <w:p>
      <w:pPr>
        <w:jc w:val="both"/>
        <w:ind w:right="460"/>
        <w:spacing w:after="0" w:line="255" w:lineRule="auto"/>
        <w:rPr>
          <w:sz w:val="20"/>
          <w:szCs w:val="20"/>
          <w:color w:val="auto"/>
        </w:rPr>
      </w:pPr>
      <w:r>
        <w:rPr>
          <w:rFonts w:ascii="Arial" w:cs="Arial" w:eastAsia="Arial" w:hAnsi="Arial"/>
          <w:sz w:val="18"/>
          <w:szCs w:val="18"/>
          <w:color w:val="auto"/>
        </w:rPr>
        <w:t>Using both internal and external information, we establish our reserves based on the likelihood that a default will reach claim status and estimated claim severity. See Part II, Item 7 “Management’s Discussion and Analysis of Financial Condition and Results of Operations — Critical Accounting Policies” included in our Annual Report for further information.</w:t>
      </w:r>
    </w:p>
    <w:p>
      <w:pPr>
        <w:spacing w:after="0" w:line="19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believe, based upon our experience and industry data, that claims incidence for mortgage insurance is generally highest in the third through sixth years after loan origination. As of March 31, 2019, 64% of our IIF relates to business written since January 1, 2017 and was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19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During the third quarter of 2017, certain regions of the U.S. experienced hurricanes which have impacted our insured portfolio’s performance. Loans in default identified as hurricane-related defaults totaled 2,288 as of December 31, 2017. In the year ended December 31, 2018, 2,150 of the 2,288 defaults previously identified as hurricane-related cured. Based on our experience to date and prior industry experience, we expect the ultimate number of hurricane-related defaults that result in claims will be less than the default-to-claim experience of non-hurricane-related defaults. In addition, under our master policy, our exposure may be limited on hurricane-related claims. For example, we are permitted to exclude a claim entirely where damage to the property underlying a mortgage was the proximate cause of the default and adjust a claim where the property underlying a mortgage in default is subject to unrestored physical damage.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Third-Party Reinsurance</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use third-party reinsurance to provide protection against adverse loss experience and to expand our capital sources. When we enter into a reinsurance agreement, the reinsurer receives a premium and, in exchange, agrees to insure an agreed upon portion of incurred losses. These arrangements have the impact of reducing our earned premiums, but also reduce our risk in force ("RIF"), which provides capital relief, and may include capital relief under the PMIERs financial strength requirements. Our incurred losses are reduced by any incurred losses ceded in accordance with the reinsurance agreement. For additional information regarding reinsurance, see Note 4 to our condensed consolidated financial statements.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Our other underwriting and operating expenses include components that are substantially fixed, as well as expenses that generally increase or decrease in line with the level of NIW.</w:t>
      </w:r>
    </w:p>
    <w:p>
      <w:pPr>
        <w:spacing w:after="0" w:line="170"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Our most significant expense is compensation and benefits for our employees, which represented 57% of other underwriting and operating expenses for the three months ended March 31, 2019, compared to 62% of other underwriting and operating expenses for the three months ended March 31, 2018. Compensation and benefits expense includes base and incentive cash compensation, stock compensation expense, benefits and payroll taxes.</w:t>
      </w:r>
    </w:p>
    <w:p>
      <w:pPr>
        <w:spacing w:after="0" w:line="147" w:lineRule="exact"/>
        <w:rPr>
          <w:sz w:val="20"/>
          <w:szCs w:val="20"/>
          <w:color w:val="auto"/>
        </w:rPr>
      </w:pPr>
    </w:p>
    <w:p>
      <w:pPr>
        <w:ind w:right="280" w:firstLine="648"/>
        <w:spacing w:after="0" w:line="302" w:lineRule="auto"/>
        <w:rPr>
          <w:sz w:val="20"/>
          <w:szCs w:val="20"/>
          <w:color w:val="auto"/>
        </w:rPr>
      </w:pPr>
      <w:r>
        <w:rPr>
          <w:rFonts w:ascii="Arial" w:cs="Arial" w:eastAsia="Arial" w:hAnsi="Arial"/>
          <w:sz w:val="16"/>
          <w:szCs w:val="16"/>
          <w:color w:val="auto"/>
        </w:rPr>
        <w:t>Underwriting and other expenses include legal, consulting, other professional fees, premium taxes, travel, entertainment, marketing, licensing, supplies, hardware, software, rent, utilities, depreciation and amortization and other expenses. We anticipate that as we continue to add new customers and increase our IIF, our expenses will also continue to increase. In addition, as a result of the increase in our IIF, we expect that our net premiums earned will grow faster than our underwriting and other expenses resulting in a decline in our expense ratio for the full year 2019 as compared to 2018.</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Interest expense is incurred as a result of borrowings under our secured credit facility (the “Credit Facility”).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Income taxes are incurred based on the amount of earnings or losses generated in the jurisdictions in which we operate and the applicable tax rates and regulations in those jurisdictions. Our U.S. insurance subsidiaries are generally not subject to income taxes in the states in which we operate; however, our non-insurance subsidiaries are subject to state income taxes. In lieu of state income taxes, our insurance subsidiaries pay premium taxes that are recorded in other underwriting and operating expenses.</w:t>
      </w:r>
    </w:p>
    <w:p>
      <w:pPr>
        <w:spacing w:after="0" w:line="187"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Essent Group Ltd. and its wholly-owned subsidiary, Essent Re, are domiciled in Bermuda, which does not have a corporate income tax. Effective July 2014, Essent Re began to reinsure 25% of GSE-eligible new insurance written of Essent Guaranty, an affiliate. Essent Re also provides insurance and reinsurance to Freddie Mac and Fannie Mae.</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amount of income tax expense or benefit recorded in future periods will be dependent on the jurisdictions in which we operate and the tax laws and regulations in effect.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Mortgage Insurance Earnings and Cash Flow Cycle</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In Force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As discussed above, premiums we collect and earn are generated based on our IIF, which is a function of our NIW and cancellations. The following table includes a summary of the change in our IIF for the three months ended March 31, 2019 and 2018 for our U.S. mortgage insurance portfolio. In addition, this table includes RIF at the end of each period.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IIF, beginning of period</w:t>
            </w:r>
          </w:p>
        </w:tc>
        <w:tc>
          <w:tcPr>
            <w:tcW w:w="44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137,720,786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110,461,950</w:t>
            </w: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NIW - Flow</w:t>
            </w:r>
          </w:p>
        </w:tc>
        <w:tc>
          <w:tcPr>
            <w:tcW w:w="3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10,945,307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9,336,150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NIW - Bulk</w:t>
            </w:r>
          </w:p>
        </w:tc>
        <w:tc>
          <w:tcPr>
            <w:tcW w:w="3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55,002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Cancellations</w:t>
            </w:r>
          </w:p>
        </w:tc>
        <w:tc>
          <w:tcPr>
            <w:tcW w:w="3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(5,539,454)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(4,547,151)</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IIF, end of period</w:t>
            </w:r>
          </w:p>
        </w:tc>
        <w:tc>
          <w:tcPr>
            <w:tcW w:w="44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143,181,641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115,250,949</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Average IIF during the period</w:t>
            </w:r>
          </w:p>
        </w:tc>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900" w:type="dxa"/>
            <w:vAlign w:val="bottom"/>
            <w:vMerge w:val="continue"/>
          </w:tcPr>
          <w:p>
            <w:pPr>
              <w:spacing w:after="0"/>
              <w:rPr>
                <w:sz w:val="19"/>
                <w:szCs w:val="19"/>
                <w:color w:val="auto"/>
              </w:rPr>
            </w:pPr>
          </w:p>
        </w:tc>
        <w:tc>
          <w:tcPr>
            <w:tcW w:w="44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140,137,045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112,940,346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RIF, end of period</w:t>
            </w:r>
          </w:p>
        </w:tc>
        <w:tc>
          <w:tcPr>
            <w:tcW w:w="44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34,744,417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28,267,149</w:t>
            </w:r>
          </w:p>
        </w:tc>
        <w:tc>
          <w:tcPr>
            <w:tcW w:w="0" w:type="dxa"/>
            <w:vAlign w:val="bottom"/>
          </w:tcPr>
          <w:p>
            <w:pPr>
              <w:spacing w:after="0"/>
              <w:rPr>
                <w:sz w:val="1"/>
                <w:szCs w:val="1"/>
                <w:color w:val="auto"/>
              </w:rPr>
            </w:pPr>
          </w:p>
        </w:tc>
      </w:tr>
      <w:tr>
        <w:trPr>
          <w:trHeight w:val="675"/>
        </w:trPr>
        <w:tc>
          <w:tcPr>
            <w:tcW w:w="3900" w:type="dxa"/>
            <w:vAlign w:val="bottom"/>
          </w:tcPr>
          <w:p>
            <w:pPr>
              <w:spacing w:after="0"/>
              <w:rPr>
                <w:sz w:val="24"/>
                <w:szCs w:val="24"/>
                <w:color w:val="auto"/>
              </w:rPr>
            </w:pPr>
          </w:p>
        </w:tc>
        <w:tc>
          <w:tcPr>
            <w:tcW w:w="3880" w:type="dxa"/>
            <w:vAlign w:val="bottom"/>
          </w:tcPr>
          <w:p>
            <w:pPr>
              <w:jc w:val="right"/>
              <w:ind w:right="189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IIF at March 31, 2019 by vintage: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w:t>
            </w:r>
          </w:p>
        </w:tc>
      </w:tr>
      <w:tr>
        <w:trPr>
          <w:trHeight w:val="250"/>
        </w:trPr>
        <w:tc>
          <w:tcPr>
            <w:tcW w:w="8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 (through March 31)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10,922,815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44,763,371</w:t>
            </w:r>
          </w:p>
        </w:tc>
        <w:tc>
          <w:tcPr>
            <w:tcW w:w="100" w:type="dxa"/>
            <w:vAlign w:val="bottom"/>
          </w:tcPr>
          <w:p>
            <w:pPr>
              <w:spacing w:after="0"/>
              <w:rPr>
                <w:sz w:val="21"/>
                <w:szCs w:val="21"/>
                <w:color w:val="auto"/>
              </w:rPr>
            </w:pP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31.3</w:t>
            </w:r>
          </w:p>
        </w:tc>
      </w:tr>
      <w:tr>
        <w:trPr>
          <w:trHeight w:val="27"/>
        </w:trPr>
        <w:tc>
          <w:tcPr>
            <w:tcW w:w="7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36,591,717</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25.6</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23,979,879</w:t>
            </w:r>
          </w:p>
        </w:tc>
        <w:tc>
          <w:tcPr>
            <w:tcW w:w="100" w:type="dxa"/>
            <w:vAlign w:val="bottom"/>
          </w:tcPr>
          <w:p>
            <w:pPr>
              <w:spacing w:after="0"/>
              <w:rPr>
                <w:sz w:val="21"/>
                <w:szCs w:val="21"/>
                <w:color w:val="auto"/>
              </w:rPr>
            </w:pP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16.7</w:t>
            </w:r>
          </w:p>
        </w:tc>
      </w:tr>
      <w:tr>
        <w:trPr>
          <w:trHeight w:val="27"/>
        </w:trPr>
        <w:tc>
          <w:tcPr>
            <w:tcW w:w="7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12,685,939</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8.9</w:t>
            </w:r>
          </w:p>
        </w:tc>
      </w:tr>
      <w:tr>
        <w:trPr>
          <w:trHeight w:val="243"/>
        </w:trPr>
        <w:tc>
          <w:tcPr>
            <w:tcW w:w="8060" w:type="dxa"/>
            <w:vAlign w:val="bottom"/>
            <w:gridSpan w:val="2"/>
          </w:tcPr>
          <w:p>
            <w:pPr>
              <w:ind w:left="40"/>
              <w:spacing w:after="0"/>
              <w:rPr>
                <w:sz w:val="20"/>
                <w:szCs w:val="20"/>
                <w:color w:val="auto"/>
              </w:rPr>
            </w:pPr>
            <w:r>
              <w:rPr>
                <w:rFonts w:ascii="Arial" w:cs="Arial" w:eastAsia="Arial" w:hAnsi="Arial"/>
                <w:sz w:val="18"/>
                <w:szCs w:val="18"/>
                <w:color w:val="auto"/>
              </w:rPr>
              <w:t>2014 and prior</w:t>
            </w: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14,237,920</w:t>
            </w:r>
          </w:p>
        </w:tc>
        <w:tc>
          <w:tcPr>
            <w:tcW w:w="100" w:type="dxa"/>
            <w:vAlign w:val="bottom"/>
          </w:tcPr>
          <w:p>
            <w:pPr>
              <w:spacing w:after="0"/>
              <w:rPr>
                <w:sz w:val="21"/>
                <w:szCs w:val="21"/>
                <w:color w:val="auto"/>
              </w:rPr>
            </w:pP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9.9</w:t>
            </w:r>
          </w:p>
        </w:tc>
      </w:tr>
      <w:tr>
        <w:trPr>
          <w:trHeight w:val="27"/>
        </w:trPr>
        <w:tc>
          <w:tcPr>
            <w:tcW w:w="7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9"/>
        </w:trPr>
        <w:tc>
          <w:tcPr>
            <w:tcW w:w="7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143,181,641</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Average Net Premium Rate</w:t>
      </w:r>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Our average net premium rate is dependent on a number of factors, including: (1) the risk characteristics and average coverage on the mortgages we insure; (2) the mix of monthly premiums compared to single premiums in our portfolio; (3) cancellations of non-refundable single premiums during the period; (4) changes to our pricing; and (5) premiums ceded under third-party reinsurance agreements. For the three months ended March 31, 2019 and 2018, our average net premium rate was 0.48% and 0.52%, respectively. In 2018 and 2019, Essent Guaranty entered into third-party reinsurance agreements, and in June 2018, we announced a reduction in pricing on our published rates effective for future NIW. We anticipate that the continued use of third-party reinsurance and the announced pricing reductions on future NIW will reduce our average net premium rate in future periods.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Persistency Rate</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 Factors Affecting Our Results of Operations — Persistency and Business Mix.”</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Risk-to-Capital</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risk-to-capital ratio has historically been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 Liquidity and Capital Resources — Insurance Company Capital.”</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March 31, 2019, our combined net risk in force for our U.S. insurance companies was $26.8 billion and our combined statutory capital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 billion, resulting in a risk-to-capital ratio of 13.5 to 1. The amount of capital required varies in each jurisdiction in which we operate; however, generally,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maximum permitted risk-to-capital ratio is 25.0 to 1. State insurance regulators are currently examining their respective capital rules to determine whether,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light of the financial crisis, changes are needed to more accurately assess mortgage insurers’ ability to withstand stressful economic conditions. As a result,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capital metrics under which they assess and measure capital adequacy may change in the future. Independent of the state regulator and GSE capital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requirements, management continually assesses the risk of our insurance portfolio and current market and economic conditions to determine the appropriate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levels of capital to support our business.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gridSpan w:val="2"/>
          </w:tcPr>
          <w:p>
            <w:pPr>
              <w:ind w:left="40"/>
              <w:spacing w:after="0"/>
              <w:rPr>
                <w:sz w:val="20"/>
                <w:szCs w:val="20"/>
                <w:color w:val="auto"/>
              </w:rPr>
            </w:pPr>
            <w:r>
              <w:rPr>
                <w:rFonts w:ascii="Arial" w:cs="Arial" w:eastAsia="Arial" w:hAnsi="Arial"/>
                <w:sz w:val="14"/>
                <w:szCs w:val="14"/>
                <w:b w:val="1"/>
                <w:bCs w:val="1"/>
                <w:color w:val="auto"/>
              </w:rPr>
              <w:t>Summary of Operations</w:t>
            </w: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2018</w:t>
            </w: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Net premiums written</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177,644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165,225</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Decrease (increase) in unearned premiums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(12,667)</w:t>
            </w:r>
          </w:p>
        </w:tc>
      </w:tr>
      <w:tr>
        <w:trPr>
          <w:trHeight w:val="237"/>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177,791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152,558</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13,714</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Realized investment gains, net</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197</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994</w:t>
            </w:r>
          </w:p>
        </w:tc>
      </w:tr>
      <w:tr>
        <w:trPr>
          <w:trHeight w:val="237"/>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Total revenues</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200,526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167,463</w:t>
            </w:r>
          </w:p>
        </w:tc>
      </w:tr>
      <w:tr>
        <w:trPr>
          <w:trHeight w:val="27"/>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7"/>
        </w:trPr>
        <w:tc>
          <w:tcPr>
            <w:tcW w:w="7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losses and LAE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5,309</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41,030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38,124</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2,450</w:t>
            </w:r>
          </w:p>
        </w:tc>
      </w:tr>
      <w:tr>
        <w:trPr>
          <w:trHeight w:val="237"/>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Total losses and expenses</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50,807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45,883</w:t>
            </w:r>
          </w:p>
        </w:tc>
      </w:tr>
      <w:tr>
        <w:trPr>
          <w:trHeight w:val="27"/>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149,719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121,580</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21,999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10,511</w:t>
            </w:r>
          </w:p>
        </w:tc>
      </w:tr>
      <w:tr>
        <w:trPr>
          <w:trHeight w:val="27"/>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127,720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111,069</w:t>
            </w:r>
          </w:p>
        </w:tc>
      </w:tr>
      <w:tr>
        <w:trPr>
          <w:trHeight w:val="20"/>
        </w:trPr>
        <w:tc>
          <w:tcPr>
            <w:tcW w:w="7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2019 Compared to the Three Months Ended March 31, 2018</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For the three months ended March 31, 2019, we reported net income of $127.7 million, compared to net income of $111.1 million for the three months ended March 31, 2018. The increase in our operating results in 2019 over the same period in 2018 was primarily due to the increase in net premiums earned associated with the growth of our IIF and the increase in net investment income, partially offset by increases in the provision for losses and LAE, other underwriting and operating expenses and income tax expense.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Net premiums earned increased in the three months ended March 31, 2019 by 17%, compared to the three months ended March 31, 2018 primarily due to the increase in our average IIF from $112.9 billion at March 31, 2018 to $140.1 billion at March 31, 2019, partially offset by a decrease in average net premium rate from 0.52% for the three months ended March 31, 2018 to 0.48% for the three months ended March 31, 2019. The decrease in the average net premium rate during the three months ended March 31, 2019 is primarily due to premiums ceded under third-party reinsurance agreements and a decrease in premiums earned on the cancellation of non-refundable single premium policies relative to average IIF in the respective periods, along with changes in the mix of the mortgages we insure and changes in our pricing.</w:t>
      </w:r>
    </w:p>
    <w:p>
      <w:pPr>
        <w:spacing w:after="0" w:line="19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Net premiums written increased in the three months ended March 31, 2019 by 8%, compared to the three months ended March 31, 2018. The increase was due primarily to the increase in average IIF for the three months ended March 31, 2019 as compared to the same period in 2018, partially offset by a decrease in new single premium policies written, an increase in premiums ceded under third-party reinsurance agreements, changes in the mix of mortgages we insure and changes in our pricing.</w:t>
      </w:r>
    </w:p>
    <w:p>
      <w:pPr>
        <w:spacing w:after="0" w:line="187" w:lineRule="exact"/>
        <w:rPr>
          <w:sz w:val="20"/>
          <w:szCs w:val="20"/>
          <w:color w:val="auto"/>
        </w:rPr>
      </w:pPr>
    </w:p>
    <w:p>
      <w:pPr>
        <w:jc w:val="both"/>
        <w:ind w:right="240" w:firstLine="648"/>
        <w:spacing w:after="0" w:line="312" w:lineRule="auto"/>
        <w:rPr>
          <w:sz w:val="20"/>
          <w:szCs w:val="20"/>
          <w:color w:val="auto"/>
        </w:rPr>
      </w:pPr>
      <w:r>
        <w:rPr>
          <w:rFonts w:ascii="Arial" w:cs="Arial" w:eastAsia="Arial" w:hAnsi="Arial"/>
          <w:sz w:val="16"/>
          <w:szCs w:val="16"/>
          <w:color w:val="auto"/>
        </w:rPr>
        <w:t>In the three months ended March 31, 2019 and 2018, unearned premiums decreased by $0.1 million and increased by $12.7 million, respectively. The change in unearned premiums was a result of net premiums written on single premium policies of $20.0 million and $31.2 million, respectively, which was partially offset by $20.1 million and $18.5 million, respectively, of unearned premium that was recognized in earnings during the periods.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net investment income was derived from the following sources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2018</w:t>
            </w: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19,743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13,643</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420" w:type="dxa"/>
            <w:vAlign w:val="bottom"/>
          </w:tcPr>
          <w:p>
            <w:pPr>
              <w:spacing w:after="0"/>
              <w:rPr>
                <w:sz w:val="21"/>
                <w:szCs w:val="21"/>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751</w:t>
            </w:r>
          </w:p>
        </w:tc>
      </w:tr>
      <w:tr>
        <w:trPr>
          <w:trHeight w:val="27"/>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investment income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20,801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14,394</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Investment expenses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(680)</w:t>
            </w:r>
          </w:p>
        </w:tc>
      </w:tr>
      <w:tr>
        <w:trPr>
          <w:trHeight w:val="27"/>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19,880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13,714</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increase in net investment income for the three months ended March 31, 2019 as compared to the same period in 2018 was due to the increase in the weighted average balance of our investment portfolio and the increase in the pre-tax investment income yield. The average cash and investment portfolio balance increased to $2.9 billion for the three months ended March 31, 2019 from $2.4 billion for the three months ended March 31, 2018, primarily as a result of investing cash flows from operations. The pre-tax investment income yield increased from 2.4% in the three months ended March 31, 2018 to 2.8% in the three months ended March 31, 2019, primarily due to an increase in market interest rates, an increase in the portion of our investment portfolio invested in spread and duration assets and higher yields on new investments. The pre-tax investment income yields are calculated based on amortized cost and exclude investment expenses. See “— Liquidity and Capital Resources” for further details of our investment portfolio.</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right="380" w:firstLine="648"/>
        <w:spacing w:after="0" w:line="302" w:lineRule="auto"/>
        <w:rPr>
          <w:sz w:val="20"/>
          <w:szCs w:val="20"/>
          <w:color w:val="auto"/>
        </w:rPr>
      </w:pPr>
      <w:r>
        <w:rPr>
          <w:rFonts w:ascii="Arial" w:cs="Arial" w:eastAsia="Arial" w:hAnsi="Arial"/>
          <w:sz w:val="16"/>
          <w:szCs w:val="16"/>
          <w:color w:val="auto"/>
        </w:rPr>
        <w:t>Other income includes fees earned for information technology and customer support services provided to Triad, contract underwriting revenues, underwriting consulting services to third-party reinsurers and changes in the fair value of embedded derivatives contained in certain of our reinsurance agreements. The increase in other income for the three months ended March 31, 2019 as compared to the same period in 2018 was primarily due to the increase in the change in the fair value of the embedded derivatives, partially offset by a decrease in contract underwriting revenues.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provision for losses and LAE was $7.1 million and $5.3 million in the three months ended March 31, 2019 and 2018, respectively. The increase in the provision for losses and LAE in the three months ended March 31, 2019 as compared to the same period in 2018 was primarily due to the increase in the number of insured loans in default in the current period along with an increase in the age and composition of the insured loans in default. The following table presents a rollforward of insured loans in default for the periods indicated:</w:t>
      </w:r>
    </w:p>
    <w:p>
      <w:pPr>
        <w:spacing w:after="0" w:line="200" w:lineRule="exact"/>
        <w:rPr>
          <w:sz w:val="20"/>
          <w:szCs w:val="20"/>
          <w:color w:val="auto"/>
        </w:rPr>
      </w:pPr>
    </w:p>
    <w:p>
      <w:pPr>
        <w:spacing w:after="0" w:line="208"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23495</wp:posOffset>
            </wp:positionV>
            <wp:extent cx="22383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60" w:type="dxa"/>
            <w:vAlign w:val="bottom"/>
            <w:gridSpan w:val="2"/>
          </w:tcPr>
          <w:p>
            <w:pPr>
              <w:ind w:left="8600"/>
              <w:spacing w:after="0"/>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right"/>
              <w:ind w:right="613"/>
              <w:spacing w:after="0"/>
              <w:rPr>
                <w:sz w:val="20"/>
                <w:szCs w:val="20"/>
                <w:color w:val="auto"/>
              </w:rPr>
            </w:pPr>
            <w:r>
              <w:rPr>
                <w:rFonts w:ascii="Arial" w:cs="Arial" w:eastAsia="Arial" w:hAnsi="Arial"/>
                <w:sz w:val="14"/>
                <w:szCs w:val="14"/>
                <w:b w:val="1"/>
                <w:bCs w:val="1"/>
                <w:color w:val="auto"/>
              </w:rPr>
              <w:t>2018</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default inventory</w:t>
            </w: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4,783</w:t>
            </w:r>
          </w:p>
        </w:tc>
      </w:tr>
      <w:tr>
        <w:trPr>
          <w:trHeight w:val="243"/>
        </w:trPr>
        <w:tc>
          <w:tcPr>
            <w:tcW w:w="8960" w:type="dxa"/>
            <w:vAlign w:val="bottom"/>
            <w:gridSpan w:val="2"/>
          </w:tcPr>
          <w:p>
            <w:pPr>
              <w:ind w:left="40"/>
              <w:spacing w:after="0"/>
              <w:rPr>
                <w:sz w:val="20"/>
                <w:szCs w:val="20"/>
                <w:color w:val="auto"/>
              </w:rPr>
            </w:pPr>
            <w:r>
              <w:rPr>
                <w:rFonts w:ascii="Arial" w:cs="Arial" w:eastAsia="Arial" w:hAnsi="Arial"/>
                <w:sz w:val="18"/>
                <w:szCs w:val="18"/>
                <w:color w:val="auto"/>
              </w:rPr>
              <w:t>Plus: new defaults</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2,918</w:t>
            </w:r>
          </w:p>
        </w:tc>
        <w:tc>
          <w:tcPr>
            <w:tcW w:w="100" w:type="dxa"/>
            <w:vAlign w:val="bottom"/>
          </w:tcPr>
          <w:p>
            <w:pPr>
              <w:spacing w:after="0"/>
              <w:rPr>
                <w:sz w:val="21"/>
                <w:szCs w:val="21"/>
                <w:color w:val="auto"/>
              </w:rPr>
            </w:pP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1,994</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cures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(2,270)</w:t>
            </w:r>
          </w:p>
        </w:tc>
      </w:tr>
      <w:tr>
        <w:trPr>
          <w:trHeight w:val="243"/>
        </w:trPr>
        <w:tc>
          <w:tcPr>
            <w:tcW w:w="8960" w:type="dxa"/>
            <w:vAlign w:val="bottom"/>
            <w:gridSpan w:val="2"/>
          </w:tcPr>
          <w:p>
            <w:pPr>
              <w:ind w:left="40"/>
              <w:spacing w:after="0"/>
              <w:rPr>
                <w:sz w:val="20"/>
                <w:szCs w:val="20"/>
                <w:color w:val="auto"/>
              </w:rPr>
            </w:pPr>
            <w:r>
              <w:rPr>
                <w:rFonts w:ascii="Arial" w:cs="Arial" w:eastAsia="Arial" w:hAnsi="Arial"/>
                <w:sz w:val="18"/>
                <w:szCs w:val="18"/>
                <w:color w:val="auto"/>
              </w:rPr>
              <w:t>Less: claims paid</w:t>
            </w:r>
          </w:p>
        </w:tc>
        <w:tc>
          <w:tcPr>
            <w:tcW w:w="6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8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rescissions and denials, net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Ending default inventory</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4,096</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4,442</w:t>
            </w:r>
          </w:p>
        </w:tc>
      </w:tr>
      <w:tr>
        <w:trPr>
          <w:trHeight w:val="27"/>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The decrease in the number of defaults at March 31, 2019 compared to March 31, 2018 was primarily due to the previously identified hurricane-related defaults that have cured subsequent to March 31, 2018, partially offset by new defaults from the increase in our IIF and policies in force and further seasoning of our insurance portfolio. A total of 1,630 previously identified hurricane-related defaults cured between April 1, 2018 and December 31, 2018.</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additional information about our loans in default as of the dates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 March 31,</w:t>
            </w:r>
          </w:p>
        </w:tc>
        <w:tc>
          <w:tcPr>
            <w:tcW w:w="1100" w:type="dxa"/>
            <w:vAlign w:val="bottom"/>
            <w:tcBorders>
              <w:bottom w:val="single" w:sz="8" w:color="auto"/>
            </w:tcBorders>
          </w:tcPr>
          <w:p>
            <w:pPr>
              <w:spacing w:after="0"/>
              <w:rPr>
                <w:sz w:val="16"/>
                <w:szCs w:val="16"/>
                <w:color w:val="auto"/>
              </w:rPr>
            </w:pPr>
          </w:p>
        </w:tc>
      </w:tr>
      <w:tr>
        <w:trPr>
          <w:trHeight w:val="264"/>
        </w:trPr>
        <w:tc>
          <w:tcPr>
            <w:tcW w:w="798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Case reserves (in thousands)</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83"/>
              </w:rPr>
              <w:t>49,093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45,702</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Total reserves (in thousands)</w:t>
            </w: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w w:val="83"/>
              </w:rPr>
              <w:t>53,484</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49,966</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default inventory</w:t>
            </w:r>
          </w:p>
        </w:tc>
        <w:tc>
          <w:tcPr>
            <w:tcW w:w="9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4,096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4,442</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Average case reserve per default (in thousands)</w:t>
            </w: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10.3</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total reserve per default (in thousands)</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11.2</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Default rate</w:t>
            </w:r>
          </w:p>
        </w:tc>
        <w:tc>
          <w:tcPr>
            <w:tcW w:w="9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0.86%</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Claims received included in ending default inventory</w:t>
            </w: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31</w:t>
            </w:r>
          </w:p>
        </w:tc>
      </w:tr>
      <w:tr>
        <w:trPr>
          <w:trHeight w:val="27"/>
        </w:trPr>
        <w:tc>
          <w:tcPr>
            <w:tcW w:w="79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increase in the average case reserve per default was primarily due to a decrease in the proportion of hurricane-related defaults in the default inventory at March 31, 2019 as compared to March 31, 2018. Based on our experience to date and prior industry experience, we expect the ultimate number of hurricane-related defaults that result in claims will be less than the default-to-claim experience of non-hurricane-related defaults. Accordingly, we applied a lower estimated claim rate to hurricane-related default notices than the claim rate we apply to other notices in our default inventory. Other factors affecting the average case reserve per default were changes in the composition (such as mark-to-market loan-to-value ratios, risk in force, and number of months past due) of the underlying loans in default and improvements in economic fundamentals.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provide a reconciliation of the beginning and ending reserve balances for losses and LAE and a detail of reserves and defaulted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RIF by the number of missed payments and pending claims: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gridSpan w:val="9"/>
          </w:tcPr>
          <w:p>
            <w:pPr>
              <w:jc w:val="right"/>
              <w:ind w:right="684"/>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37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gridSpan w:val="2"/>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jc w:val="right"/>
              <w:ind w:right="62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2"/>
              </w:rPr>
              <w:t>Reserve for losses and LAE at beginning of period</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4"/>
            <w:shd w:val="clear" w:color="auto" w:fill="CCEEFF"/>
          </w:tcPr>
          <w:p>
            <w:pPr>
              <w:jc w:val="right"/>
              <w:ind w:right="64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0"/>
              </w:rPr>
              <w:t>49,464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46,850</w:t>
            </w: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Add provision for losses and LAE occurring in:</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0"/>
              </w:rPr>
              <w:t>11,828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9,952</w:t>
            </w:r>
          </w:p>
        </w:tc>
        <w:tc>
          <w:tcPr>
            <w:tcW w:w="0" w:type="dxa"/>
            <w:vAlign w:val="bottom"/>
          </w:tcPr>
          <w:p>
            <w:pPr>
              <w:spacing w:after="0"/>
              <w:rPr>
                <w:sz w:val="1"/>
                <w:szCs w:val="1"/>
                <w:color w:val="auto"/>
              </w:rPr>
            </w:pPr>
          </w:p>
        </w:tc>
      </w:tr>
      <w:tr>
        <w:trPr>
          <w:trHeight w:val="243"/>
        </w:trPr>
        <w:tc>
          <w:tcPr>
            <w:tcW w:w="3780" w:type="dxa"/>
            <w:vAlign w:val="bottom"/>
            <w:gridSpan w:val="3"/>
          </w:tcPr>
          <w:p>
            <w:pPr>
              <w:ind w:left="280"/>
              <w:spacing w:after="0"/>
              <w:rPr>
                <w:sz w:val="20"/>
                <w:szCs w:val="20"/>
                <w:color w:val="auto"/>
              </w:rPr>
            </w:pPr>
            <w:r>
              <w:rPr>
                <w:rFonts w:ascii="Arial" w:cs="Arial" w:eastAsia="Arial" w:hAnsi="Arial"/>
                <w:sz w:val="18"/>
                <w:szCs w:val="18"/>
                <w:color w:val="auto"/>
              </w:rPr>
              <w:t>Prior years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(4,721)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(4,643)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3"/>
              </w:rPr>
              <w:t>Incurred losses and LAE during the current period</w:t>
            </w: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7,107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5,309</w:t>
            </w:r>
          </w:p>
        </w:tc>
        <w:tc>
          <w:tcPr>
            <w:tcW w:w="0" w:type="dxa"/>
            <w:vAlign w:val="bottom"/>
          </w:tcPr>
          <w:p>
            <w:pPr>
              <w:spacing w:after="0"/>
              <w:rPr>
                <w:sz w:val="1"/>
                <w:szCs w:val="1"/>
                <w:color w:val="auto"/>
              </w:rPr>
            </w:pPr>
          </w:p>
        </w:tc>
      </w:tr>
      <w:tr>
        <w:trPr>
          <w:trHeight w:val="237"/>
        </w:trPr>
        <w:tc>
          <w:tcPr>
            <w:tcW w:w="3780" w:type="dxa"/>
            <w:vAlign w:val="bottom"/>
            <w:gridSpan w:val="3"/>
          </w:tcPr>
          <w:p>
            <w:pPr>
              <w:ind w:left="40"/>
              <w:spacing w:after="0"/>
              <w:rPr>
                <w:sz w:val="20"/>
                <w:szCs w:val="20"/>
                <w:color w:val="auto"/>
              </w:rPr>
            </w:pPr>
            <w:r>
              <w:rPr>
                <w:rFonts w:ascii="Arial" w:cs="Arial" w:eastAsia="Arial" w:hAnsi="Arial"/>
                <w:sz w:val="18"/>
                <w:szCs w:val="18"/>
                <w:color w:val="auto"/>
                <w:w w:val="93"/>
              </w:rPr>
              <w:t>Deduct payments for losses and LAE occurring in:</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gridSpan w:val="3"/>
          </w:tcPr>
          <w:p>
            <w:pPr>
              <w:ind w:left="280"/>
              <w:spacing w:after="0"/>
              <w:rPr>
                <w:sz w:val="20"/>
                <w:szCs w:val="20"/>
                <w:color w:val="auto"/>
              </w:rPr>
            </w:pPr>
            <w:r>
              <w:rPr>
                <w:rFonts w:ascii="Arial" w:cs="Arial" w:eastAsia="Arial" w:hAnsi="Arial"/>
                <w:sz w:val="18"/>
                <w:szCs w:val="18"/>
                <w:color w:val="auto"/>
              </w:rPr>
              <w:t>Prior years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3,072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jc w:val="right"/>
              <w:ind w:right="24"/>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3"/>
              </w:rPr>
              <w:t>Loss and LAE payments during the current period</w:t>
            </w: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3,087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57"/>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Reserve for losses and LAE at end of period</w:t>
            </w: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80" w:type="dxa"/>
            <w:vAlign w:val="bottom"/>
            <w:gridSpan w:val="3"/>
          </w:tcPr>
          <w:p>
            <w:pPr>
              <w:spacing w:after="0"/>
              <w:rPr>
                <w:sz w:val="22"/>
                <w:szCs w:val="22"/>
                <w:color w:val="auto"/>
              </w:rPr>
            </w:pPr>
          </w:p>
        </w:tc>
        <w:tc>
          <w:tcPr>
            <w:tcW w:w="840" w:type="dxa"/>
            <w:vAlign w:val="bottom"/>
            <w:tcBorders>
              <w:top w:val="single" w:sz="8" w:color="auto"/>
              <w:bottom w:val="single" w:sz="8" w:color="auto"/>
            </w:tcBorders>
          </w:tcPr>
          <w:p>
            <w:pPr>
              <w:jc w:val="right"/>
              <w:ind w:right="642"/>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0"/>
              </w:rPr>
              <w:t>53,484</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gridSpan w:val="2"/>
          </w:tcPr>
          <w:p>
            <w:pPr>
              <w:jc w:val="right"/>
              <w:ind w:right="24"/>
              <w:spacing w:after="0"/>
              <w:rPr>
                <w:sz w:val="20"/>
                <w:szCs w:val="20"/>
                <w:color w:val="auto"/>
              </w:rPr>
            </w:pPr>
            <w:r>
              <w:rPr>
                <w:rFonts w:ascii="Arial" w:cs="Arial" w:eastAsia="Arial" w:hAnsi="Arial"/>
                <w:sz w:val="18"/>
                <w:szCs w:val="18"/>
                <w:color w:val="auto"/>
              </w:rPr>
              <w:t>49,966</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As of March 31, 2019</w:t>
            </w: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Number of</w:t>
            </w:r>
          </w:p>
        </w:tc>
        <w:tc>
          <w:tcPr>
            <w:tcW w:w="158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8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7"/>
              </w:rPr>
              <w:t>Amount of</w:t>
            </w:r>
          </w:p>
        </w:tc>
        <w:tc>
          <w:tcPr>
            <w:tcW w:w="100" w:type="dxa"/>
            <w:vAlign w:val="bottom"/>
          </w:tcPr>
          <w:p>
            <w:pPr>
              <w:spacing w:after="0"/>
              <w:rPr>
                <w:sz w:val="13"/>
                <w:szCs w:val="13"/>
                <w:color w:val="auto"/>
              </w:rPr>
            </w:pPr>
          </w:p>
        </w:tc>
        <w:tc>
          <w:tcPr>
            <w:tcW w:w="144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Percentage of</w:t>
            </w:r>
          </w:p>
        </w:tc>
        <w:tc>
          <w:tcPr>
            <w:tcW w:w="120" w:type="dxa"/>
            <w:vAlign w:val="bottom"/>
          </w:tcPr>
          <w:p>
            <w:pPr>
              <w:spacing w:after="0"/>
              <w:rPr>
                <w:sz w:val="13"/>
                <w:szCs w:val="13"/>
                <w:color w:val="auto"/>
              </w:rPr>
            </w:pPr>
          </w:p>
        </w:tc>
        <w:tc>
          <w:tcPr>
            <w:tcW w:w="760" w:type="dxa"/>
            <w:vAlign w:val="bottom"/>
            <w:gridSpan w:val="3"/>
            <w:vMerge w:val="restart"/>
          </w:tcPr>
          <w:p>
            <w:pPr>
              <w:jc w:val="center"/>
              <w:ind w:left="32"/>
              <w:spacing w:after="0"/>
              <w:rPr>
                <w:sz w:val="20"/>
                <w:szCs w:val="20"/>
                <w:color w:val="auto"/>
              </w:rPr>
            </w:pPr>
            <w:r>
              <w:rPr>
                <w:rFonts w:ascii="Arial" w:cs="Arial" w:eastAsia="Arial" w:hAnsi="Arial"/>
                <w:sz w:val="14"/>
                <w:szCs w:val="14"/>
                <w:b w:val="1"/>
                <w:bCs w:val="1"/>
                <w:color w:val="auto"/>
                <w:w w:val="93"/>
              </w:rPr>
              <w:t>Defaulted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Reserves as a</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5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9"/>
              </w:rPr>
              <w:t>Reserves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302"/>
              <w:spacing w:after="0"/>
              <w:rPr>
                <w:sz w:val="20"/>
                <w:szCs w:val="20"/>
                <w:color w:val="auto"/>
              </w:rPr>
            </w:pPr>
            <w:r>
              <w:rPr>
                <w:rFonts w:ascii="Arial" w:cs="Arial" w:eastAsia="Arial" w:hAnsi="Arial"/>
                <w:sz w:val="14"/>
                <w:szCs w:val="14"/>
                <w:b w:val="1"/>
                <w:bCs w:val="1"/>
                <w:color w:val="auto"/>
                <w:w w:val="89"/>
              </w:rPr>
              <w:t>Reserves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center"/>
              <w:ind w:left="32"/>
              <w:spacing w:after="0"/>
              <w:rPr>
                <w:sz w:val="20"/>
                <w:szCs w:val="20"/>
                <w:color w:val="auto"/>
              </w:rPr>
            </w:pPr>
            <w:r>
              <w:rPr>
                <w:rFonts w:ascii="Arial" w:cs="Arial" w:eastAsia="Arial" w:hAnsi="Arial"/>
                <w:sz w:val="14"/>
                <w:szCs w:val="14"/>
                <w:b w:val="1"/>
                <w:bCs w:val="1"/>
                <w:color w:val="auto"/>
              </w:rPr>
              <w:t>RIF</w:t>
            </w: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gridSpan w:val="3"/>
          </w:tcPr>
          <w:p>
            <w:pPr>
              <w:ind w:left="280"/>
              <w:spacing w:after="0"/>
              <w:rPr>
                <w:sz w:val="20"/>
                <w:szCs w:val="20"/>
                <w:color w:val="auto"/>
              </w:rPr>
            </w:pPr>
            <w:r>
              <w:rPr>
                <w:rFonts w:ascii="Arial" w:cs="Arial" w:eastAsia="Arial" w:hAnsi="Arial"/>
                <w:sz w:val="18"/>
                <w:szCs w:val="18"/>
                <w:color w:val="auto"/>
              </w:rPr>
              <w:t>Three payments or less</w:t>
            </w: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2,172</w:t>
            </w:r>
          </w:p>
        </w:tc>
        <w:tc>
          <w:tcPr>
            <w:tcW w:w="100" w:type="dxa"/>
            <w:vAlign w:val="bottom"/>
          </w:tcPr>
          <w:p>
            <w:pPr>
              <w:spacing w:after="0"/>
              <w:rPr>
                <w:sz w:val="21"/>
                <w:szCs w:val="21"/>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53%  $</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11,374</w:t>
            </w: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4"/>
          </w:tcPr>
          <w:p>
            <w:pPr>
              <w:jc w:val="right"/>
              <w:ind w:right="10"/>
              <w:spacing w:after="0"/>
              <w:rPr>
                <w:sz w:val="20"/>
                <w:szCs w:val="20"/>
                <w:color w:val="auto"/>
              </w:rPr>
            </w:pPr>
            <w:r>
              <w:rPr>
                <w:rFonts w:ascii="Arial" w:cs="Arial" w:eastAsia="Arial" w:hAnsi="Arial"/>
                <w:sz w:val="18"/>
                <w:szCs w:val="18"/>
                <w:color w:val="auto"/>
              </w:rPr>
              <w:t>117,607</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w w:val="94"/>
              </w:rPr>
              <w:t>10%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Four to eleven payments</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1,492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23,599</w:t>
            </w:r>
          </w:p>
        </w:tc>
        <w:tc>
          <w:tcPr>
            <w:tcW w:w="1420" w:type="dxa"/>
            <w:vAlign w:val="bottom"/>
            <w:tcBorders>
              <w:bottom w:val="single" w:sz="8" w:color="CCEEFF"/>
            </w:tcBorders>
            <w:gridSpan w:val="4"/>
            <w:shd w:val="clear" w:color="auto" w:fill="CCEEFF"/>
          </w:tcPr>
          <w:p>
            <w:pPr>
              <w:jc w:val="right"/>
              <w:ind w:right="102"/>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80,842</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3780" w:type="dxa"/>
            <w:vAlign w:val="bottom"/>
            <w:gridSpan w:val="3"/>
          </w:tcPr>
          <w:p>
            <w:pPr>
              <w:ind w:left="280"/>
              <w:spacing w:after="0"/>
              <w:rPr>
                <w:sz w:val="20"/>
                <w:szCs w:val="20"/>
                <w:color w:val="auto"/>
              </w:rPr>
            </w:pPr>
            <w:r>
              <w:rPr>
                <w:rFonts w:ascii="Arial" w:cs="Arial" w:eastAsia="Arial" w:hAnsi="Arial"/>
                <w:sz w:val="18"/>
                <w:szCs w:val="18"/>
                <w:color w:val="auto"/>
              </w:rPr>
              <w:t>Twelve or more payments</w:t>
            </w: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1320" w:type="dxa"/>
            <w:vAlign w:val="bottom"/>
          </w:tcPr>
          <w:p>
            <w:pPr>
              <w:jc w:val="right"/>
              <w:ind w:right="96"/>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11,105</w:t>
            </w:r>
          </w:p>
        </w:tc>
        <w:tc>
          <w:tcPr>
            <w:tcW w:w="1420" w:type="dxa"/>
            <w:vAlign w:val="bottom"/>
            <w:gridSpan w:val="4"/>
          </w:tcPr>
          <w:p>
            <w:pPr>
              <w:jc w:val="right"/>
              <w:ind w:right="10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4"/>
          </w:tcPr>
          <w:p>
            <w:pPr>
              <w:jc w:val="right"/>
              <w:ind w:right="10"/>
              <w:spacing w:after="0"/>
              <w:rPr>
                <w:sz w:val="20"/>
                <w:szCs w:val="20"/>
                <w:color w:val="auto"/>
              </w:rPr>
            </w:pPr>
            <w:r>
              <w:rPr>
                <w:rFonts w:ascii="Arial" w:cs="Arial" w:eastAsia="Arial" w:hAnsi="Arial"/>
                <w:sz w:val="18"/>
                <w:szCs w:val="18"/>
                <w:color w:val="auto"/>
              </w:rPr>
              <w:t>20,526</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Pending claims</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3,015</w:t>
            </w:r>
          </w:p>
        </w:tc>
        <w:tc>
          <w:tcPr>
            <w:tcW w:w="1420" w:type="dxa"/>
            <w:vAlign w:val="bottom"/>
            <w:tcBorders>
              <w:bottom w:val="single" w:sz="8" w:color="CCEEFF"/>
            </w:tcBorders>
            <w:gridSpan w:val="4"/>
            <w:shd w:val="clear" w:color="auto" w:fill="CCEEFF"/>
          </w:tcPr>
          <w:p>
            <w:pPr>
              <w:jc w:val="right"/>
              <w:ind w:right="10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3,517</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97"/>
        </w:trPr>
        <w:tc>
          <w:tcPr>
            <w:tcW w:w="36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case reserves</w:t>
            </w:r>
          </w:p>
        </w:tc>
        <w:tc>
          <w:tcPr>
            <w:tcW w:w="1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4,096</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5"/>
              <w:spacing w:after="0"/>
              <w:rPr>
                <w:sz w:val="20"/>
                <w:szCs w:val="20"/>
                <w:color w:val="auto"/>
              </w:rPr>
            </w:pPr>
            <w:r>
              <w:rPr>
                <w:rFonts w:ascii="Arial" w:cs="Arial" w:eastAsia="Arial" w:hAnsi="Arial"/>
                <w:sz w:val="18"/>
                <w:szCs w:val="18"/>
                <w:color w:val="auto"/>
              </w:rPr>
              <w:t>49,093</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222,492</w:t>
            </w:r>
          </w:p>
        </w:tc>
        <w:tc>
          <w:tcPr>
            <w:tcW w:w="1440" w:type="dxa"/>
            <w:vAlign w:val="bottom"/>
            <w:tcBorders>
              <w:bottom w:val="single" w:sz="8" w:color="CCEEFF"/>
            </w:tcBorders>
            <w:gridSpan w:val="2"/>
          </w:tcPr>
          <w:p>
            <w:pPr>
              <w:ind w:left="10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5"/>
              <w:spacing w:after="0" w:line="203" w:lineRule="exact"/>
              <w:rPr>
                <w:sz w:val="20"/>
                <w:szCs w:val="20"/>
                <w:color w:val="auto"/>
              </w:rPr>
            </w:pPr>
            <w:r>
              <w:rPr>
                <w:rFonts w:ascii="Arial" w:cs="Arial" w:eastAsia="Arial" w:hAnsi="Arial"/>
                <w:sz w:val="18"/>
                <w:szCs w:val="18"/>
                <w:color w:val="auto"/>
              </w:rPr>
              <w:t>3,682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LAE and other</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Total reserves for losses and LAE</w:t>
            </w: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53,484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As of March 31, 2018</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Number of</w:t>
            </w:r>
          </w:p>
        </w:tc>
        <w:tc>
          <w:tcPr>
            <w:tcW w:w="158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8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7"/>
              </w:rPr>
              <w:t>Amount of</w:t>
            </w:r>
          </w:p>
        </w:tc>
        <w:tc>
          <w:tcPr>
            <w:tcW w:w="100" w:type="dxa"/>
            <w:vAlign w:val="bottom"/>
          </w:tcPr>
          <w:p>
            <w:pPr>
              <w:spacing w:after="0"/>
              <w:rPr>
                <w:sz w:val="13"/>
                <w:szCs w:val="13"/>
                <w:color w:val="auto"/>
              </w:rPr>
            </w:pPr>
          </w:p>
        </w:tc>
        <w:tc>
          <w:tcPr>
            <w:tcW w:w="14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Percentage of</w:t>
            </w:r>
          </w:p>
        </w:tc>
        <w:tc>
          <w:tcPr>
            <w:tcW w:w="180" w:type="dxa"/>
            <w:vAlign w:val="bottom"/>
          </w:tcPr>
          <w:p>
            <w:pPr>
              <w:spacing w:after="0"/>
              <w:rPr>
                <w:sz w:val="13"/>
                <w:szCs w:val="13"/>
                <w:color w:val="auto"/>
              </w:rPr>
            </w:pPr>
          </w:p>
        </w:tc>
        <w:tc>
          <w:tcPr>
            <w:tcW w:w="94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Defaulted</w:t>
            </w: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Reserves as a</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5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9"/>
              </w:rPr>
              <w:t>Reserves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Reserves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RIF</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Three payments or less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1,958</w:t>
            </w:r>
          </w:p>
        </w:tc>
        <w:tc>
          <w:tcPr>
            <w:tcW w:w="100" w:type="dxa"/>
            <w:vAlign w:val="bottom"/>
          </w:tcPr>
          <w:p>
            <w:pPr>
              <w:spacing w:after="0"/>
              <w:rPr>
                <w:sz w:val="21"/>
                <w:szCs w:val="21"/>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44%  $</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10,879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110,964</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w w:val="94"/>
              </w:rPr>
              <w:t>10%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Four to eleven payments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2,214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25,547</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130,461</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Twelve or more payments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1320" w:type="dxa"/>
            <w:vAlign w:val="bottom"/>
          </w:tcPr>
          <w:p>
            <w:pPr>
              <w:jc w:val="right"/>
              <w:ind w:right="96"/>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7,877</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13,343</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Pending claims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1,399</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1,576</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97"/>
        </w:trPr>
        <w:tc>
          <w:tcPr>
            <w:tcW w:w="36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case reserves</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4,442</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5"/>
              <w:spacing w:after="0"/>
              <w:rPr>
                <w:sz w:val="20"/>
                <w:szCs w:val="20"/>
                <w:color w:val="auto"/>
              </w:rPr>
            </w:pPr>
            <w:r>
              <w:rPr>
                <w:rFonts w:ascii="Arial" w:cs="Arial" w:eastAsia="Arial" w:hAnsi="Arial"/>
                <w:sz w:val="18"/>
                <w:szCs w:val="18"/>
                <w:color w:val="auto"/>
              </w:rPr>
              <w:t>45,702</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256,344</w:t>
            </w:r>
          </w:p>
        </w:tc>
        <w:tc>
          <w:tcPr>
            <w:tcW w:w="1440" w:type="dxa"/>
            <w:vAlign w:val="bottom"/>
            <w:tcBorders>
              <w:bottom w:val="single" w:sz="8" w:color="CCEEFF"/>
            </w:tcBorders>
            <w:gridSpan w:val="2"/>
          </w:tcPr>
          <w:p>
            <w:pPr>
              <w:ind w:left="10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5"/>
              <w:spacing w:after="0" w:line="203" w:lineRule="exact"/>
              <w:rPr>
                <w:sz w:val="20"/>
                <w:szCs w:val="20"/>
                <w:color w:val="auto"/>
              </w:rPr>
            </w:pPr>
            <w:r>
              <w:rPr>
                <w:rFonts w:ascii="Arial" w:cs="Arial" w:eastAsia="Arial" w:hAnsi="Arial"/>
                <w:sz w:val="18"/>
                <w:szCs w:val="18"/>
                <w:color w:val="auto"/>
              </w:rPr>
              <w:t>3,428</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LAE and other</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reserves for losses and LAE</w:t>
            </w: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49,966</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the three months ended March 31, 2019, the provision for losses and LAE was $7.1 million, comprised of $11.8 million of current year losses partially offset by $4.7 million of favorable prior years’ loss development. During the three months ended March 31, 2018, the provision for losses and LAE was $5.3 million, comprised of $10.0 million of current year losses partially offset by $4.6 million of favorable prior years’ loss development. In both periods, the prior years’ loss development was the result of a re-estimation of amounts ultimately to be paid on prior year defaults in the default inventory, including the impact of previously identified defaults that cured.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additional information about our claims paid and claim severity as of the dates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2018</w:t>
            </w: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Number of claims paid</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63</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Amount of claims paid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7"/>
              <w:spacing w:after="0"/>
              <w:rPr>
                <w:sz w:val="20"/>
                <w:szCs w:val="20"/>
                <w:color w:val="auto"/>
              </w:rPr>
            </w:pPr>
            <w:r>
              <w:rPr>
                <w:rFonts w:ascii="Arial" w:cs="Arial" w:eastAsia="Arial" w:hAnsi="Arial"/>
                <w:sz w:val="18"/>
                <w:szCs w:val="18"/>
                <w:color w:val="auto"/>
              </w:rPr>
              <w:t>2,899</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94"/>
              <w:spacing w:after="0"/>
              <w:rPr>
                <w:sz w:val="20"/>
                <w:szCs w:val="20"/>
                <w:color w:val="auto"/>
              </w:rPr>
            </w:pPr>
            <w:r>
              <w:rPr>
                <w:rFonts w:ascii="Arial" w:cs="Arial" w:eastAsia="Arial" w:hAnsi="Arial"/>
                <w:sz w:val="18"/>
                <w:szCs w:val="18"/>
                <w:color w:val="auto"/>
              </w:rPr>
              <w:t>2,143</w:t>
            </w: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Claim severity</w:t>
            </w: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7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are the components of our other underwriting and operating expenses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4"/>
                <w:szCs w:val="14"/>
                <w:b w:val="1"/>
                <w:bCs w:val="1"/>
                <w:color w:val="auto"/>
                <w:w w:val="95"/>
              </w:rPr>
              <w:t>Three Months Ended March 31,</w:t>
            </w:r>
          </w:p>
        </w:tc>
        <w:tc>
          <w:tcPr>
            <w:tcW w:w="86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860" w:type="dxa"/>
            <w:vAlign w:val="bottom"/>
            <w:tcBorders>
              <w:bottom w:val="single" w:sz="8" w:color="auto"/>
            </w:tcBorders>
          </w:tcPr>
          <w:p>
            <w:pPr>
              <w:spacing w:after="0"/>
              <w:rPr>
                <w:sz w:val="22"/>
                <w:szCs w:val="22"/>
                <w:color w:val="auto"/>
              </w:rPr>
            </w:pPr>
          </w:p>
        </w:tc>
      </w:tr>
      <w:tr>
        <w:trPr>
          <w:trHeight w:val="264"/>
        </w:trPr>
        <w:tc>
          <w:tcPr>
            <w:tcW w:w="6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w:t>
            </w:r>
          </w:p>
        </w:tc>
      </w:tr>
      <w:tr>
        <w:trPr>
          <w:trHeight w:val="25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23,349</w:t>
            </w:r>
          </w:p>
        </w:tc>
        <w:tc>
          <w:tcPr>
            <w:tcW w:w="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23,565</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17,681</w:t>
            </w:r>
          </w:p>
        </w:tc>
        <w:tc>
          <w:tcPr>
            <w:tcW w:w="20" w:type="dxa"/>
            <w:vAlign w:val="bottom"/>
          </w:tcPr>
          <w:p>
            <w:pPr>
              <w:spacing w:after="0"/>
              <w:rPr>
                <w:sz w:val="21"/>
                <w:szCs w:val="21"/>
                <w:color w:val="auto"/>
              </w:rPr>
            </w:pPr>
          </w:p>
        </w:tc>
        <w:tc>
          <w:tcPr>
            <w:tcW w:w="940" w:type="dxa"/>
            <w:vAlign w:val="bottom"/>
            <w:gridSpan w:val="2"/>
          </w:tcPr>
          <w:p>
            <w:pPr>
              <w:jc w:val="right"/>
              <w:ind w:right="108"/>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14,559</w:t>
            </w:r>
          </w:p>
        </w:tc>
        <w:tc>
          <w:tcPr>
            <w:tcW w:w="120" w:type="dxa"/>
            <w:vAlign w:val="bottom"/>
          </w:tcPr>
          <w:p>
            <w:pPr>
              <w:spacing w:after="0"/>
              <w:rPr>
                <w:sz w:val="21"/>
                <w:szCs w:val="21"/>
                <w:color w:val="auto"/>
              </w:rPr>
            </w:pP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38</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other underwriting and operating expenses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41,030</w:t>
            </w:r>
          </w:p>
        </w:tc>
        <w:tc>
          <w:tcPr>
            <w:tcW w:w="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38,124</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43"/>
        </w:trPr>
        <w:tc>
          <w:tcPr>
            <w:tcW w:w="6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Number of employees at end of period</w:t>
            </w: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377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395</w:t>
            </w:r>
          </w:p>
        </w:tc>
      </w:tr>
      <w:tr>
        <w:trPr>
          <w:trHeight w:val="27"/>
        </w:trPr>
        <w:tc>
          <w:tcPr>
            <w:tcW w:w="6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factors contributing to the change in other underwriting and operating expenses are:</w:t>
      </w:r>
    </w:p>
    <w:p>
      <w:pPr>
        <w:spacing w:after="0" w:line="225" w:lineRule="exact"/>
        <w:rPr>
          <w:sz w:val="20"/>
          <w:szCs w:val="20"/>
          <w:color w:val="auto"/>
        </w:rPr>
      </w:pPr>
    </w:p>
    <w:p>
      <w:pPr>
        <w:ind w:left="660" w:right="180" w:hanging="328"/>
        <w:spacing w:after="0" w:line="279"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Compensation and benefits decreased in the three months ended March 31, 2019 as compared to the three months ended March 31, 2018 primarily due to a decrease in payroll taxes associated with the full vesting of stock grants issued in 2013 and 2014 during the three months ended March 31, 2018, partially offset by an increase in stock compensation expense associated with shares granted in 2018 and 2019. Compensation and benefits includes salaries, wages and bonus, stock compensation expense, benefits and payroll taxes.</w:t>
      </w:r>
    </w:p>
    <w:p>
      <w:pPr>
        <w:spacing w:after="0" w:line="171" w:lineRule="exact"/>
        <w:rPr>
          <w:rFonts w:ascii="Arial" w:cs="Arial" w:eastAsia="Arial" w:hAnsi="Arial"/>
          <w:sz w:val="17"/>
          <w:szCs w:val="17"/>
          <w:color w:val="auto"/>
        </w:rPr>
      </w:pPr>
    </w:p>
    <w:p>
      <w:pPr>
        <w:ind w:left="660" w:right="4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expenses increased as a result of the continued expansion of our business. Other expenses include premium taxes, travel, marketing, hardware, software, rent, depreciation and amortization and other facilities expenses.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For the three months ended March 31, 2019, we incurred interest expense of $2.7 million as compared to $2.5 million for the three months ended March 31, 2018. The increase was primarily due to an increase in the weighted average interest rate for borrowings outstanding, partially offset by a decrease in the average amounts outstanding under the Credit Facility. As of March 31, 2019 and 2018, the borrowings under the Credit Facility had a weighted average interest rate of 4.48% and 3.82%, respectively. For the three months ended March 31, 2019, the average amount outstanding under the Credit Facility was $225.0 million as compared to $260.2 million for the three months ended March 31, 2018.</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subsidiaries in the United States file a consolidated U.S. Federal income tax return. For interim reporting periods, we use an annual effective tax rate method required under GAAP to calculate the income tax provision. Our income tax expense was $22.0 million and $10.5 million for the three months ended March 31, 2019 and 2018. Income tax expense for the three months ended March 31, 2019 was calculated using an estimated annual effective tax rate of 16.0%, as compared to 16.5% for the three months ended March 31, 2018 and an annual effective tax rate of 16.0% for the full year 2018. For the three months ended March 31, 2019 and 2018, income tax expense was reduced by excess tax benefits associated with the vesting of common shares and common share units of $2.0 million and $9.5 million, respectively. The tax effects associated with the vesting of common shares and common share units are treated as discrete items in the reporting period in which they occur and are not considered in determining the annual effective tax rate.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sources of funds consist primarily of:</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investment portfolio and interest income on the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premiums that we will receive from our existing IIF as well as policies that we write in the future;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borrowings under our Credit Facility;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issuance of capital shares.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Our obligations consist primarily of: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claim payments under our policies;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payments and repayment of borrowings under our Credit Facility;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other costs and operating expenses of our business.</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As of March 31, 2019, we had substantial liquidity with cash of $40.5 million, short-term investments of $210.8 million and fixed maturity investments of $2.8 billion. We also had $275 million available capacity under the revolving credit component of our Credit Facility, with $225 million of term borrowings outstanding under our Credit Facility. Borrowings under the Credit Facility contractually mature on May 17, 2021. At March 31, 2019, net cash and investments at the holding company were $73.8 million. In addition, Essent Guaranty is a member of the Federal Home Loan Bank of Pittsburgh (the “FHLBank”) and has access to secured borrowing capacity with the FHLBank to provide Essent Guaranty with supplemental liquidity. Essent Guaranty had no outstanding borrowings with the FHLBank at March 31, 2019.</w:t>
      </w:r>
    </w:p>
    <w:p>
      <w:pPr>
        <w:spacing w:after="0" w:line="193"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Management believes that the Company has sufficient liquidity available both at the holding company and in its insurance and other operating subsidiaries to meet its operating cash needs and obligations and committed capital expenditures for the next 12 months.</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While the Company and all of its subsidiaries are expected to have sufficient liquidity to meet all their expected obligations, additional capital may be required to meet any new capital requirements that are adopted by regulatory authorities or the GSEs, or to provide additional capital related to the growth of our risk in force in our mortgage insurance portfolio, or to fund new business initiatives including the insurance activities of Essent Re. We continually evaluate opportunities based upon</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25"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market conditions to further increase our financial flexibility through the issuance of equity or debt, or other options including reinsurance or credit risk transfer transactions. There can be no guarantee that any such opportunities will be available on acceptable terms or at all.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operating subsidiary level, liquidity could be impacted by any one of the following factors:</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decline in the value of our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sell investment assets to provide cash to fund operating needs;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decline in expected revenues generated from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in expected claim payments related to our IIF;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in operating expenses.</w:t>
      </w:r>
    </w:p>
    <w:p>
      <w:pPr>
        <w:spacing w:after="0" w:line="225"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Our U.S. insurance subsidiaries are subject to certain capital and dividend rules and regulations prescribed by jurisdictions in which they are authorized to operate and the GSEs. Under the insurance laws of the Commonwealth of Pennsylvania, the insurance subsidiaries may pay dividends during any twelve-month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 approval. At March 31, 2019, Essent Guaranty had unassigned surplus of approximately $200.2 million. Essent Guaranty of PA, Inc. (“Essent PA") had unassigned surplus of approximately $11.2 million as of March 31, 2019. Essent Re is subject to certain dividend restrictions as prescribed by the Bermuda Monetary Authority and under certain agreements with counterparties. In connection with a quota share reinsurance agreement with Essent Guaranty, Essent Re has agreed to maintain a minimum total equity of $100 million. As of March 31, 2019, Essent Re had total equity of $846.6 million. In connection with its insurance and reinsurance activities, Essent Re is required to maintain assets in trusts for the benefit of its contractual counterparties. See Note 3 to our condensed consolidated financial statements. At March 31, 2019, our insurance subsidiaries were in compliance with these rules, regulations and agreements.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138,682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221,868</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(155,039)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(216,364)</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(16,070)</w:t>
            </w:r>
          </w:p>
        </w:tc>
      </w:tr>
      <w:tr>
        <w:trPr>
          <w:trHeight w:val="257"/>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Net decrease in cash</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(24,457)</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(10,566)</w:t>
            </w: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Cash flow provided by operating activities totaled $138.7 million for the three months ended March 31, 2019, as compared to $221.9 million for the three months ended March 31, 2018. The decrease in cash flow provided by operating activities of $83.2 million was primarily due the net decrease in United States Mortgage Guaranty Tax and Loss Bonds (“T&amp;L Bonds”) during 2018, partially offset by increases in premiums collected during 2019.</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Cash flow used in investing activities totaled $155.0 million for the three months ended March 31, 2019, primarily related to investing cash flows from the business. Cash flow used in investing activities totaled $216.4 million for the three months ended March 31, 2018, primarily related to investing cash flows from the business, the net redemption of T&amp;L Bonds as well as net increased borrowings under the Credit Facility in 2018.</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Cash flow used in financing activities totaled $8.1 million for the three months ended March 31, 2019, primarily related to treasury stock acquired from employees to satisfy tax withholding obligations. Cash flow used in financing activities totaled $16.1 million for the three months ended March 31, 2018, primarily related to treasury stock acquired from employees to satisfy tax withholding obligations, partially offset by $15 million of net increased borrowings under the Credit Facility.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Company Capital</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We compute a risk-to-capital ratio for our U.S. insurance companies on a separate company statutory basis, as well as for our combined insurance operations. The risk-to-capital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179"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During the three months ended March 31, 2019, no capital contributions were made to our U.S. insurance subsidiaries. During the three months ended March 31, 2018, Essent US Holdings, Inc. made capital contributions to Essent Guaranty of $15 million to support new and existing business.</w:t>
      </w:r>
    </w:p>
    <w:p>
      <w:pPr>
        <w:spacing w:after="0" w:line="12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Essent Guaranty has entered into reinsurance agreements that provide excess of loss reinsurance coverage for new defaults on portfolios of mortgage insurance policies issued in 2017 and 2018. The aggregate excess of loss reinsurance coverages decrease over a ten-year period as the underlying covered mortgages amortize. The reinsurance coverage also reduces net risk in force and PMIERs Minimum Required Assets. See Note 4 to our condensed consolidated financial statements.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combined risk-to-capital calculation for our U.S. insurance subsidiaries as of March 31, 2019 was as follows:</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Combined statutory capital:</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4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Policyholders’ surplus</w:t>
            </w: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956,097</w:t>
            </w:r>
          </w:p>
        </w:tc>
      </w:tr>
      <w:tr>
        <w:trPr>
          <w:trHeight w:val="243"/>
        </w:trPr>
        <w:tc>
          <w:tcPr>
            <w:tcW w:w="9400" w:type="dxa"/>
            <w:vAlign w:val="bottom"/>
          </w:tcPr>
          <w:p>
            <w:pPr>
              <w:ind w:left="40"/>
              <w:spacing w:after="0"/>
              <w:rPr>
                <w:sz w:val="20"/>
                <w:szCs w:val="20"/>
                <w:color w:val="auto"/>
              </w:rPr>
            </w:pPr>
            <w:r>
              <w:rPr>
                <w:rFonts w:ascii="Arial" w:cs="Arial" w:eastAsia="Arial" w:hAnsi="Arial"/>
                <w:sz w:val="18"/>
                <w:szCs w:val="18"/>
                <w:color w:val="auto"/>
              </w:rPr>
              <w:t>Contingency reserves</w:t>
            </w:r>
          </w:p>
        </w:tc>
        <w:tc>
          <w:tcPr>
            <w:tcW w:w="5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1,030,951</w:t>
            </w:r>
          </w:p>
        </w:tc>
      </w:tr>
      <w:tr>
        <w:trPr>
          <w:trHeight w:val="27"/>
        </w:trPr>
        <w:tc>
          <w:tcPr>
            <w:tcW w:w="94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9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Combined statutory capital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1,987,048</w:t>
            </w:r>
          </w:p>
        </w:tc>
      </w:tr>
      <w:tr>
        <w:trPr>
          <w:trHeight w:val="20"/>
        </w:trPr>
        <w:tc>
          <w:tcPr>
            <w:tcW w:w="9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0"/>
        </w:trPr>
        <w:tc>
          <w:tcPr>
            <w:tcW w:w="9400" w:type="dxa"/>
            <w:vAlign w:val="bottom"/>
          </w:tcPr>
          <w:p>
            <w:pPr>
              <w:ind w:left="40"/>
              <w:spacing w:after="0"/>
              <w:rPr>
                <w:sz w:val="20"/>
                <w:szCs w:val="20"/>
                <w:color w:val="auto"/>
              </w:rPr>
            </w:pPr>
            <w:r>
              <w:rPr>
                <w:rFonts w:ascii="Arial" w:cs="Arial" w:eastAsia="Arial" w:hAnsi="Arial"/>
                <w:sz w:val="18"/>
                <w:szCs w:val="18"/>
                <w:color w:val="auto"/>
              </w:rPr>
              <w:t>Combined net risk in force</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26,813,408</w:t>
            </w:r>
          </w:p>
        </w:tc>
      </w:tr>
      <w:tr>
        <w:trPr>
          <w:trHeight w:val="27"/>
        </w:trPr>
        <w:tc>
          <w:tcPr>
            <w:tcW w:w="94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9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Combined risk-to-capital ratio</w:t>
            </w:r>
          </w:p>
        </w:tc>
        <w:tc>
          <w:tcPr>
            <w:tcW w:w="5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13.5:1</w:t>
            </w:r>
          </w:p>
        </w:tc>
      </w:tr>
      <w:tr>
        <w:trPr>
          <w:trHeight w:val="20"/>
        </w:trPr>
        <w:tc>
          <w:tcPr>
            <w:tcW w:w="9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For additional information regarding regulatory capital, see Note 12 to our condensed consolidated financial statements. Our combined statutory capital equals the sum of statutory capital of Essent Guaranty plus Essent PA, after eliminating the impact of intercompany transactions. The combined risk-to-capital ratio equals the sum of the net risk in force of Essent Guaranty and Essent PA divided by combined statutory capital. The information above has been derived from the annual and quarterly statements of our insurance subsidiaries, which have been prepared in conformity with accounting practices prescribed or permitted by the Pennsylvania Insurance Department and the National Association of Insurance Commissioners Accounting Practices and Procedures Manual. Such practices vary from accounting principles generally accepted in the United States.</w:t>
      </w:r>
    </w:p>
    <w:p>
      <w:pPr>
        <w:spacing w:after="0" w:line="165"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Essent Re has entered into GSE and other risk share transactions, including insurance and reinsurance transactions with Freddie Mac and Fannie Mae. Essent Re also executed a quota share reinsurance transaction with Essent Guaranty to reinsure 25% of Essent Guaranty’s GSE-eligible NIW effective July 1, 2014. As of March 31, 2019, Essent Re had total stockholders’ equity of $846.6 million and net risk in force of $8.6 billion.</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25" w:right="2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Strength Ratings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insurer financial strength rating of Essent Guaranty, our principal mortgage insurance subsidiary, is rated Baa1 with a stable outlook by Moody's, BBB+ with a stable outlook by S&amp;P and A (Excellent) with stable outlook by A.M. Best. The insurer financial strength rating of Essent Re is BBB+ with a stable outlook by S&amp;P and A (Excellent) with stable outlook by A.M. Best.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Private Mortgage Insurer Eligibility Requirements</w:t>
      </w:r>
    </w:p>
    <w:p>
      <w:pPr>
        <w:spacing w:after="0" w:line="22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This risk-based framework provides that an insurer must hold a substantially higher level of required assets for insured loans that are in default compared to a performing loan. The PMIERs also include enhanced operational performance expectations and define remedial actions that apply should an approved insurer fail to comply with these requirements. In 2018, the GSEs released revised PMIERs framework ("PMIERs 2.0") which became effective on March 31, 2019. As of March 31, 2019, Essent Guaranty, our GSE-approved mortgage insurance company, was in compliance with PMIERs 2.0. As of March 31, 2019, Essent Guaranty's Available Assets were $2.02 billion and its Minimum Required Assets were $1.21 billion based on our interpretation of PMIERs 2.0.</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22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As of March 31, 2019, stockholders’ equity was $2.5 billion, compared to $2.4 billion as of December 31, 2018. This increase was primarily due to net income generated in 2019 and an increase in accumulated other comprehensive income related to an increase in our unrealized investment gains.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As of March 31, 2019, investments totaled $3.0 billion compared to $2.8 billion as of December 31, 2018. In addition, our total cash was $40.5 million as of March 31, 2019, compared to $64.9 million as of December 31, 2018. The increase in investments was primarily due to investing net cash flows from operations during the three months ended March 31, 2019.</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Investments Available for Sale by Asset Class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gridSpan w:val="4"/>
          </w:tcPr>
          <w:p>
            <w:pPr>
              <w:ind w:left="40"/>
              <w:spacing w:after="0"/>
              <w:rPr>
                <w:sz w:val="20"/>
                <w:szCs w:val="20"/>
                <w:color w:val="auto"/>
              </w:rPr>
            </w:pPr>
            <w:r>
              <w:rPr>
                <w:rFonts w:ascii="Arial" w:cs="Arial" w:eastAsia="Arial" w:hAnsi="Arial"/>
                <w:sz w:val="14"/>
                <w:szCs w:val="14"/>
                <w:b w:val="1"/>
                <w:bCs w:val="1"/>
                <w:color w:val="auto"/>
              </w:rPr>
              <w:t>Asset Class</w:t>
            </w:r>
          </w:p>
        </w:tc>
        <w:tc>
          <w:tcPr>
            <w:tcW w:w="3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March 31, 2019</w:t>
            </w: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ind w:right="108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64"/>
        </w:trPr>
        <w:tc>
          <w:tcPr>
            <w:tcW w:w="44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97"/>
              </w:rPr>
              <w:t>Percent</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gridSpan w:val="2"/>
          </w:tcPr>
          <w:p>
            <w:pPr>
              <w:spacing w:after="0"/>
              <w:rPr>
                <w:sz w:val="22"/>
                <w:szCs w:val="22"/>
                <w:color w:val="auto"/>
              </w:rPr>
            </w:pPr>
          </w:p>
        </w:tc>
        <w:tc>
          <w:tcPr>
            <w:tcW w:w="14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286,843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289,892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4580" w:type="dxa"/>
            <w:vAlign w:val="bottom"/>
            <w:gridSpan w:val="4"/>
          </w:tcPr>
          <w:p>
            <w:pPr>
              <w:ind w:left="40"/>
              <w:spacing w:after="0"/>
              <w:rPr>
                <w:sz w:val="20"/>
                <w:szCs w:val="20"/>
                <w:color w:val="auto"/>
              </w:rPr>
            </w:pPr>
            <w:r>
              <w:rPr>
                <w:rFonts w:ascii="Arial" w:cs="Arial" w:eastAsia="Arial" w:hAnsi="Arial"/>
                <w:sz w:val="18"/>
                <w:szCs w:val="18"/>
                <w:color w:val="auto"/>
              </w:rPr>
              <w:t>U.S. agency securities</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33,187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32,997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672,142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637,178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4"/>
          </w:tcPr>
          <w:p>
            <w:pPr>
              <w:ind w:left="40"/>
              <w:spacing w:after="0"/>
              <w:rPr>
                <w:sz w:val="20"/>
                <w:szCs w:val="20"/>
                <w:color w:val="auto"/>
              </w:rPr>
            </w:pPr>
            <w:r>
              <w:rPr>
                <w:rFonts w:ascii="Arial" w:cs="Arial" w:eastAsia="Arial" w:hAnsi="Arial"/>
                <w:sz w:val="18"/>
                <w:szCs w:val="18"/>
                <w:color w:val="auto"/>
              </w:rPr>
              <w:t>Municipal debt securities(1)</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461,382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483,879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Non-U.S. government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46,366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45,001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4"/>
          </w:tcPr>
          <w:p>
            <w:pPr>
              <w:ind w:left="40"/>
              <w:spacing w:after="0"/>
              <w:rPr>
                <w:sz w:val="20"/>
                <w:szCs w:val="20"/>
                <w:color w:val="auto"/>
              </w:rPr>
            </w:pPr>
            <w:r>
              <w:rPr>
                <w:rFonts w:ascii="Arial" w:cs="Arial" w:eastAsia="Arial" w:hAnsi="Arial"/>
                <w:sz w:val="18"/>
                <w:szCs w:val="18"/>
                <w:color w:val="auto"/>
              </w:rPr>
              <w:t>Corporate debt securities(2)</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763,401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725,201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187,210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121,838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4"/>
          </w:tcPr>
          <w:p>
            <w:pPr>
              <w:ind w:left="40"/>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314,736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284,997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210,822</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139,083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580" w:type="dxa"/>
            <w:vAlign w:val="bottom"/>
            <w:gridSpan w:val="4"/>
          </w:tcPr>
          <w:p>
            <w:pPr>
              <w:ind w:left="40"/>
              <w:spacing w:after="0"/>
              <w:rPr>
                <w:sz w:val="20"/>
                <w:szCs w:val="20"/>
                <w:color w:val="auto"/>
              </w:rPr>
            </w:pPr>
            <w:r>
              <w:rPr>
                <w:rFonts w:ascii="Arial" w:cs="Arial" w:eastAsia="Arial" w:hAnsi="Arial"/>
                <w:sz w:val="18"/>
                <w:szCs w:val="18"/>
                <w:b w:val="1"/>
                <w:bCs w:val="1"/>
                <w:color w:val="auto"/>
              </w:rPr>
              <w:t>Total Investments Available for Sale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2,976,089</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2,760,066</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2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5"/>
              </w:rPr>
              <w:t>March 31,</w:t>
            </w:r>
          </w:p>
        </w:tc>
        <w:tc>
          <w:tcPr>
            <w:tcW w:w="14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387"/>
        </w:trPr>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4"/>
            <w:vMerge w:val="continue"/>
          </w:tcPr>
          <w:p>
            <w:pPr>
              <w:spacing w:after="0"/>
              <w:rPr>
                <w:sz w:val="24"/>
                <w:szCs w:val="24"/>
                <w:color w:val="auto"/>
              </w:rPr>
            </w:pPr>
          </w:p>
        </w:tc>
        <w:tc>
          <w:tcPr>
            <w:tcW w:w="1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20" w:type="dxa"/>
            <w:vAlign w:val="bottom"/>
          </w:tcPr>
          <w:p>
            <w:pPr>
              <w:spacing w:after="0"/>
              <w:rPr>
                <w:sz w:val="24"/>
                <w:szCs w:val="24"/>
                <w:color w:val="auto"/>
              </w:rPr>
            </w:pPr>
          </w:p>
        </w:tc>
        <w:tc>
          <w:tcPr>
            <w:tcW w:w="4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(1) The following table summarizes municipal debt securities as of :</w:t>
            </w: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center"/>
              <w:ind w:left="100"/>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Special revenue bonds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68.9%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General obligation bonds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26.0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Certificate of participation bonds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Tax allocation bonds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Special tax bonds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4360" w:type="dxa"/>
            <w:vAlign w:val="bottom"/>
            <w:gridSpan w:val="3"/>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5"/>
              </w:rPr>
              <w:t>March 31,</w:t>
            </w: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220" w:type="dxa"/>
            <w:vAlign w:val="bottom"/>
          </w:tcPr>
          <w:p>
            <w:pPr>
              <w:spacing w:after="0"/>
              <w:rPr>
                <w:sz w:val="24"/>
                <w:szCs w:val="24"/>
                <w:color w:val="auto"/>
              </w:rPr>
            </w:pPr>
          </w:p>
        </w:tc>
        <w:tc>
          <w:tcPr>
            <w:tcW w:w="4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(2) The following table summarizes corporate debt securities as of :</w:t>
            </w: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center"/>
              <w:ind w:left="100"/>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Financial</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Consumer, non-cyclical</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20.7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Communications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Consumer, cyclical</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Industrial</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Utilities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Technology</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Basic materials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4360" w:type="dxa"/>
            <w:vAlign w:val="bottom"/>
            <w:gridSpan w:val="3"/>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vMerge w:val="restart"/>
          </w:tcPr>
          <w:p>
            <w:pPr>
              <w:jc w:val="right"/>
              <w:ind w:right="273"/>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Investments Available for Sale by Rating</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gridSpan w:val="2"/>
          </w:tcPr>
          <w:p>
            <w:pPr>
              <w:ind w:left="40"/>
              <w:spacing w:after="0"/>
              <w:rPr>
                <w:sz w:val="20"/>
                <w:szCs w:val="20"/>
                <w:color w:val="auto"/>
              </w:rPr>
            </w:pPr>
            <w:r>
              <w:rPr>
                <w:rFonts w:ascii="Arial" w:cs="Arial" w:eastAsia="Arial" w:hAnsi="Arial"/>
                <w:sz w:val="14"/>
                <w:szCs w:val="14"/>
                <w:b w:val="1"/>
                <w:bCs w:val="1"/>
                <w:color w:val="auto"/>
              </w:rPr>
              <w:t>Rating(1)</w:t>
            </w:r>
          </w:p>
        </w:tc>
        <w:tc>
          <w:tcPr>
            <w:tcW w:w="3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March 31, 2019</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3"/>
              </w:rPr>
              <w:t>December 31, 2018</w:t>
            </w:r>
          </w:p>
        </w:tc>
        <w:tc>
          <w:tcPr>
            <w:tcW w:w="1160" w:type="dxa"/>
            <w:vAlign w:val="bottom"/>
            <w:tcBorders>
              <w:bottom w:val="single" w:sz="8" w:color="auto"/>
            </w:tcBorders>
          </w:tcPr>
          <w:p>
            <w:pPr>
              <w:spacing w:after="0"/>
              <w:rPr>
                <w:sz w:val="16"/>
                <w:szCs w:val="16"/>
                <w:color w:val="auto"/>
              </w:rPr>
            </w:pPr>
          </w:p>
        </w:tc>
      </w:tr>
      <w:tr>
        <w:trPr>
          <w:trHeight w:val="264"/>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Percent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w w:val="93"/>
              </w:rPr>
              <w:t>Percent</w:t>
            </w: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Aaa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1,526,070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1,362,781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Aa1</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132,432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124,435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4.5</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Aa2</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180,472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196,218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7.1</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Aa3</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151,085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143,315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5.2</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A1</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232,703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222,073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8.0</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A2</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197,798</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199,238</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7.2</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A3</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166,266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146,300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5.3</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Baa1</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148,334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162,695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5.9</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Baa2</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151,430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140,168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5.1</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Baa3</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33,284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26,805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1.0</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Below Baa3</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56,215</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36,038</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1.3</w:t>
            </w:r>
          </w:p>
        </w:tc>
      </w:tr>
      <w:tr>
        <w:trPr>
          <w:trHeight w:val="257"/>
        </w:trPr>
        <w:tc>
          <w:tcPr>
            <w:tcW w:w="414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Investments Available for Sale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2,976,089</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2,760,066</w:t>
            </w:r>
          </w:p>
        </w:tc>
        <w:tc>
          <w:tcPr>
            <w:tcW w:w="100" w:type="dxa"/>
            <w:vAlign w:val="bottom"/>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Ratings ("Fitch") rating utilized if Moody’s not available.</w:t>
      </w:r>
    </w:p>
    <w:p>
      <w:pPr>
        <w:spacing w:after="0" w:line="221" w:lineRule="exact"/>
        <w:rPr>
          <w:rFonts w:ascii="Arial" w:cs="Arial" w:eastAsia="Arial" w:hAnsi="Arial"/>
          <w:sz w:val="18"/>
          <w:szCs w:val="18"/>
          <w:color w:val="auto"/>
        </w:rPr>
      </w:pPr>
    </w:p>
    <w:p>
      <w:pPr>
        <w:ind w:left="3700"/>
        <w:spacing w:after="0"/>
        <w:rPr>
          <w:rFonts w:ascii="Arial" w:cs="Arial" w:eastAsia="Arial" w:hAnsi="Arial"/>
          <w:sz w:val="18"/>
          <w:szCs w:val="18"/>
          <w:color w:val="auto"/>
        </w:rPr>
      </w:pPr>
      <w:r>
        <w:rPr>
          <w:rFonts w:ascii="Arial" w:cs="Arial" w:eastAsia="Arial" w:hAnsi="Arial"/>
          <w:sz w:val="18"/>
          <w:szCs w:val="18"/>
          <w:b w:val="1"/>
          <w:bCs w:val="1"/>
          <w:color w:val="auto"/>
        </w:rPr>
        <w:t>Investments Available for Sale by Effective Duration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14147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gridSpan w:val="2"/>
          </w:tcPr>
          <w:p>
            <w:pPr>
              <w:ind w:left="40"/>
              <w:spacing w:after="0"/>
              <w:rPr>
                <w:sz w:val="20"/>
                <w:szCs w:val="20"/>
                <w:color w:val="auto"/>
              </w:rPr>
            </w:pPr>
            <w:r>
              <w:rPr>
                <w:rFonts w:ascii="Arial" w:cs="Arial" w:eastAsia="Arial" w:hAnsi="Arial"/>
                <w:sz w:val="14"/>
                <w:szCs w:val="14"/>
                <w:b w:val="1"/>
                <w:bCs w:val="1"/>
                <w:color w:val="auto"/>
              </w:rPr>
              <w:t>Effective Duration</w:t>
            </w:r>
          </w:p>
        </w:tc>
        <w:tc>
          <w:tcPr>
            <w:tcW w:w="3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March 31, 2019</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3"/>
              </w:rPr>
              <w:t>December 31, 2018</w:t>
            </w:r>
          </w:p>
        </w:tc>
        <w:tc>
          <w:tcPr>
            <w:tcW w:w="1160" w:type="dxa"/>
            <w:vAlign w:val="bottom"/>
            <w:tcBorders>
              <w:bottom w:val="single" w:sz="8" w:color="auto"/>
            </w:tcBorders>
          </w:tcPr>
          <w:p>
            <w:pPr>
              <w:spacing w:after="0"/>
              <w:rPr>
                <w:sz w:val="16"/>
                <w:szCs w:val="16"/>
                <w:color w:val="auto"/>
              </w:rPr>
            </w:pPr>
          </w:p>
        </w:tc>
      </w:tr>
      <w:tr>
        <w:trPr>
          <w:trHeight w:val="264"/>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Percent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w w:val="93"/>
              </w:rPr>
              <w:t>Percent</w:t>
            </w: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&lt; 1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669,219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529,545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1 to &lt; 2 Years</w:t>
            </w:r>
          </w:p>
        </w:tc>
        <w:tc>
          <w:tcPr>
            <w:tcW w:w="3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300,735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285,060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10.3</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 to &lt; 3 Years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302,996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251,763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9.1</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3 to &lt; 4 Years</w:t>
            </w:r>
          </w:p>
        </w:tc>
        <w:tc>
          <w:tcPr>
            <w:tcW w:w="3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424,770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278,804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10.1</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4 to &lt; 5 Years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318,980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429,005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15.6</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5 or more Years</w:t>
            </w:r>
          </w:p>
        </w:tc>
        <w:tc>
          <w:tcPr>
            <w:tcW w:w="3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959,389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985,889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35.7</w:t>
            </w:r>
          </w:p>
        </w:tc>
      </w:tr>
      <w:tr>
        <w:trPr>
          <w:trHeight w:val="27"/>
        </w:trPr>
        <w:tc>
          <w:tcPr>
            <w:tcW w:w="4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Investments Available for Sale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2,976,089</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2,760,066</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662"/>
        </w:trPr>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Top Ten Investments Available for Sale Holdings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391"/>
              <w:spacing w:after="0"/>
              <w:rPr>
                <w:sz w:val="20"/>
                <w:szCs w:val="20"/>
                <w:color w:val="auto"/>
              </w:rPr>
            </w:pPr>
            <w:r>
              <w:rPr>
                <w:rFonts w:ascii="Arial" w:cs="Arial" w:eastAsia="Arial" w:hAnsi="Arial"/>
                <w:sz w:val="14"/>
                <w:szCs w:val="14"/>
                <w:b w:val="1"/>
                <w:bCs w:val="1"/>
                <w:color w:val="auto"/>
                <w:w w:val="98"/>
              </w:rPr>
              <w:t>March 31, 2019</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Rank</w:t>
            </w:r>
          </w:p>
        </w:tc>
        <w:tc>
          <w:tcPr>
            <w:tcW w:w="4080" w:type="dxa"/>
            <w:vAlign w:val="bottom"/>
            <w:vMerge w:val="restart"/>
          </w:tcPr>
          <w:p>
            <w:pPr>
              <w:ind w:left="1800"/>
              <w:spacing w:after="0"/>
              <w:rPr>
                <w:sz w:val="20"/>
                <w:szCs w:val="20"/>
                <w:color w:val="auto"/>
              </w:rPr>
            </w:pPr>
            <w:r>
              <w:rPr>
                <w:rFonts w:ascii="Arial" w:cs="Arial" w:eastAsia="Arial" w:hAnsi="Arial"/>
                <w:sz w:val="14"/>
                <w:szCs w:val="14"/>
                <w:b w:val="1"/>
                <w:bCs w:val="1"/>
                <w:color w:val="auto"/>
              </w:rPr>
              <w:t>Security</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3"/>
                <w:szCs w:val="13"/>
                <w:color w:val="auto"/>
              </w:rPr>
            </w:pPr>
          </w:p>
        </w:tc>
        <w:tc>
          <w:tcPr>
            <w:tcW w:w="118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92"/>
        </w:trPr>
        <w:tc>
          <w:tcPr>
            <w:tcW w:w="2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6"/>
                <w:szCs w:val="16"/>
                <w:color w:val="auto"/>
              </w:rPr>
            </w:pPr>
          </w:p>
        </w:tc>
        <w:tc>
          <w:tcPr>
            <w:tcW w:w="4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7"/>
              </w:rPr>
              <w:t>Gain (Loss)(1)</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Rating(2)</w:t>
            </w:r>
          </w:p>
        </w:tc>
        <w:tc>
          <w:tcPr>
            <w:tcW w:w="0" w:type="dxa"/>
            <w:vAlign w:val="bottom"/>
          </w:tcPr>
          <w:p>
            <w:pPr>
              <w:spacing w:after="0"/>
              <w:rPr>
                <w:sz w:val="1"/>
                <w:szCs w:val="1"/>
                <w:color w:val="auto"/>
              </w:rPr>
            </w:pPr>
          </w:p>
        </w:tc>
      </w:tr>
      <w:tr>
        <w:trPr>
          <w:trHeight w:val="250"/>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2.625% 7/15/2021</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36,483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36,139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140" w:type="dxa"/>
            <w:vAlign w:val="bottom"/>
          </w:tcPr>
          <w:p>
            <w:pPr>
              <w:ind w:left="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080" w:type="dxa"/>
            <w:vAlign w:val="bottom"/>
          </w:tcPr>
          <w:p>
            <w:pPr>
              <w:ind w:left="40"/>
              <w:spacing w:after="0"/>
              <w:rPr>
                <w:sz w:val="20"/>
                <w:szCs w:val="20"/>
                <w:color w:val="auto"/>
              </w:rPr>
            </w:pPr>
            <w:r>
              <w:rPr>
                <w:rFonts w:ascii="Arial" w:cs="Arial" w:eastAsia="Arial" w:hAnsi="Arial"/>
                <w:sz w:val="18"/>
                <w:szCs w:val="18"/>
                <w:color w:val="auto"/>
              </w:rPr>
              <w:t>U.S. Treasury 5.250% 11/15/2028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28,739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29,293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2.625% 6/30/2023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26,910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26,354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140" w:type="dxa"/>
            <w:vAlign w:val="bottom"/>
          </w:tcPr>
          <w:p>
            <w:pPr>
              <w:ind w:left="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080" w:type="dxa"/>
            <w:vAlign w:val="bottom"/>
          </w:tcPr>
          <w:p>
            <w:pPr>
              <w:ind w:left="40"/>
              <w:spacing w:after="0"/>
              <w:rPr>
                <w:sz w:val="20"/>
                <w:szCs w:val="20"/>
                <w:color w:val="auto"/>
              </w:rPr>
            </w:pPr>
            <w:r>
              <w:rPr>
                <w:rFonts w:ascii="Arial" w:cs="Arial" w:eastAsia="Arial" w:hAnsi="Arial"/>
                <w:sz w:val="18"/>
                <w:szCs w:val="18"/>
                <w:color w:val="auto"/>
              </w:rPr>
              <w:t>U.S. Treasury 1.500% 8/15/2026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19,334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20,415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(1,081)</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Fannie Mae 4.500% 5/1/2048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18,753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18,770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140" w:type="dxa"/>
            <w:vAlign w:val="bottom"/>
          </w:tcPr>
          <w:p>
            <w:pPr>
              <w:ind w:left="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080" w:type="dxa"/>
            <w:vAlign w:val="bottom"/>
          </w:tcPr>
          <w:p>
            <w:pPr>
              <w:ind w:left="40"/>
              <w:spacing w:after="0"/>
              <w:rPr>
                <w:sz w:val="20"/>
                <w:szCs w:val="20"/>
                <w:color w:val="auto"/>
              </w:rPr>
            </w:pPr>
            <w:r>
              <w:rPr>
                <w:rFonts w:ascii="Arial" w:cs="Arial" w:eastAsia="Arial" w:hAnsi="Arial"/>
                <w:sz w:val="18"/>
                <w:szCs w:val="18"/>
                <w:color w:val="auto"/>
              </w:rPr>
              <w:t>Fannie Mae 4.000% 5/1/2056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14,253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13,771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Fannie Mae 3.000% 12/1/2032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12,508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140" w:type="dxa"/>
            <w:vAlign w:val="bottom"/>
          </w:tcPr>
          <w:p>
            <w:pPr>
              <w:ind w:left="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080" w:type="dxa"/>
            <w:vAlign w:val="bottom"/>
          </w:tcPr>
          <w:p>
            <w:pPr>
              <w:ind w:left="40"/>
              <w:spacing w:after="0"/>
              <w:rPr>
                <w:sz w:val="20"/>
                <w:szCs w:val="20"/>
                <w:color w:val="auto"/>
              </w:rPr>
            </w:pPr>
            <w:r>
              <w:rPr>
                <w:rFonts w:ascii="Arial" w:cs="Arial" w:eastAsia="Arial" w:hAnsi="Arial"/>
                <w:sz w:val="18"/>
                <w:szCs w:val="18"/>
                <w:color w:val="auto"/>
              </w:rPr>
              <w:t>Fannie Mae 4.500% 11/1/2048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12,120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11,801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2.000% 1/15/2021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11,437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140" w:type="dxa"/>
            <w:vAlign w:val="bottom"/>
          </w:tcPr>
          <w:p>
            <w:pPr>
              <w:ind w:left="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080" w:type="dxa"/>
            <w:vAlign w:val="bottom"/>
          </w:tcPr>
          <w:p>
            <w:pPr>
              <w:ind w:left="40"/>
              <w:spacing w:after="0"/>
              <w:rPr>
                <w:sz w:val="20"/>
                <w:szCs w:val="20"/>
                <w:color w:val="auto"/>
              </w:rPr>
            </w:pPr>
            <w:r>
              <w:rPr>
                <w:rFonts w:ascii="Arial" w:cs="Arial" w:eastAsia="Arial" w:hAnsi="Arial"/>
                <w:sz w:val="18"/>
                <w:szCs w:val="18"/>
                <w:color w:val="auto"/>
              </w:rPr>
              <w:t>Fannie Mae 1.500% 6/22/2020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11,182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11,304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8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191,719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191,599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320" w:type="dxa"/>
            <w:vAlign w:val="bottom"/>
            <w:gridSpan w:val="3"/>
          </w:tcPr>
          <w:p>
            <w:pPr>
              <w:ind w:left="40"/>
              <w:spacing w:after="0"/>
              <w:rPr>
                <w:sz w:val="20"/>
                <w:szCs w:val="20"/>
                <w:color w:val="auto"/>
              </w:rPr>
            </w:pPr>
            <w:r>
              <w:rPr>
                <w:rFonts w:ascii="Arial" w:cs="Arial" w:eastAsia="Arial" w:hAnsi="Arial"/>
                <w:sz w:val="18"/>
                <w:szCs w:val="18"/>
                <w:b w:val="1"/>
                <w:bCs w:val="1"/>
                <w:color w:val="auto"/>
              </w:rPr>
              <w:t>Percent of Investments Available for Sale</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right="2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March 31, 2019, for securities in unrealized loss positions, management believes decline in fair values are principally associated with the changes in the interest rate environment subsequent to their purchase. Also, see Note 3 to our condensed consolidated financial statements, which summarizes the aggregate amount of gross unrealized losses by asset class in which the fair value of investments available for sale has been less than cost for less than 12 months and for 12 months or more.</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 utilized if Moody’s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-816610</wp:posOffset>
            </wp:positionV>
            <wp:extent cx="14147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gridSpan w:val="2"/>
          </w:tcPr>
          <w:p>
            <w:pPr>
              <w:ind w:left="40"/>
              <w:spacing w:after="0"/>
              <w:rPr>
                <w:sz w:val="20"/>
                <w:szCs w:val="20"/>
                <w:color w:val="auto"/>
              </w:rPr>
            </w:pPr>
            <w:r>
              <w:rPr>
                <w:rFonts w:ascii="Arial" w:cs="Arial" w:eastAsia="Arial" w:hAnsi="Arial"/>
                <w:sz w:val="14"/>
                <w:szCs w:val="14"/>
                <w:b w:val="1"/>
                <w:bCs w:val="1"/>
                <w:color w:val="auto"/>
              </w:rPr>
              <w:t>Rank</w:t>
            </w:r>
          </w:p>
        </w:tc>
        <w:tc>
          <w:tcPr>
            <w:tcW w:w="15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gridSpan w:val="3"/>
          </w:tcPr>
          <w:p>
            <w:pPr>
              <w:jc w:val="right"/>
              <w:ind w:right="2300"/>
              <w:spacing w:after="0"/>
              <w:rPr>
                <w:sz w:val="20"/>
                <w:szCs w:val="20"/>
                <w:color w:val="auto"/>
              </w:rPr>
            </w:pPr>
            <w:r>
              <w:rPr>
                <w:rFonts w:ascii="Arial" w:cs="Arial" w:eastAsia="Arial" w:hAnsi="Arial"/>
                <w:sz w:val="14"/>
                <w:szCs w:val="14"/>
                <w:b w:val="1"/>
                <w:bCs w:val="1"/>
                <w:color w:val="auto"/>
              </w:rPr>
              <w:t>December 31, 2018</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tcPr>
          <w:p>
            <w:pPr>
              <w:jc w:val="right"/>
              <w:ind w:right="2939"/>
              <w:spacing w:after="0"/>
              <w:rPr>
                <w:sz w:val="20"/>
                <w:szCs w:val="20"/>
                <w:color w:val="auto"/>
              </w:rPr>
            </w:pPr>
            <w:r>
              <w:rPr>
                <w:rFonts w:ascii="Arial" w:cs="Arial" w:eastAsia="Arial" w:hAnsi="Arial"/>
                <w:sz w:val="14"/>
                <w:szCs w:val="14"/>
                <w:b w:val="1"/>
                <w:bCs w:val="1"/>
                <w:color w:val="auto"/>
              </w:rPr>
              <w:t>Security</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U.S. Treasury 2.625% 7/15/2021</w:t>
            </w:r>
          </w:p>
        </w:tc>
        <w:tc>
          <w:tcPr>
            <w:tcW w:w="41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36,323</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40" w:type="dxa"/>
            <w:vAlign w:val="bottom"/>
            <w:gridSpan w:val="2"/>
          </w:tcPr>
          <w:p>
            <w:pPr>
              <w:ind w:left="20"/>
              <w:spacing w:after="0"/>
              <w:rPr>
                <w:sz w:val="20"/>
                <w:szCs w:val="20"/>
                <w:color w:val="auto"/>
              </w:rPr>
            </w:pPr>
            <w:r>
              <w:rPr>
                <w:rFonts w:ascii="Arial" w:cs="Arial" w:eastAsia="Arial" w:hAnsi="Arial"/>
                <w:sz w:val="18"/>
                <w:szCs w:val="18"/>
                <w:color w:val="auto"/>
                <w:w w:val="90"/>
              </w:rPr>
              <w:t>U.S. Treasury 5.250%</w:t>
            </w:r>
          </w:p>
        </w:tc>
        <w:tc>
          <w:tcPr>
            <w:tcW w:w="1140" w:type="dxa"/>
            <w:vAlign w:val="bottom"/>
          </w:tcPr>
          <w:p>
            <w:pPr>
              <w:ind w:left="20"/>
              <w:spacing w:after="0"/>
              <w:rPr>
                <w:sz w:val="20"/>
                <w:szCs w:val="20"/>
                <w:color w:val="auto"/>
              </w:rPr>
            </w:pPr>
            <w:r>
              <w:rPr>
                <w:rFonts w:ascii="Arial" w:cs="Arial" w:eastAsia="Arial" w:hAnsi="Arial"/>
                <w:sz w:val="18"/>
                <w:szCs w:val="18"/>
                <w:color w:val="auto"/>
              </w:rPr>
              <w:t>11/15/2028</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28,213</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0"/>
              </w:rPr>
              <w:t>U.S. Treasury 2.625%</w:t>
            </w:r>
          </w:p>
        </w:tc>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6/30/2023</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26,637</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780" w:type="dxa"/>
            <w:vAlign w:val="bottom"/>
            <w:gridSpan w:val="3"/>
          </w:tcPr>
          <w:p>
            <w:pPr>
              <w:ind w:left="20"/>
              <w:spacing w:after="0"/>
              <w:rPr>
                <w:sz w:val="20"/>
                <w:szCs w:val="20"/>
                <w:color w:val="auto"/>
              </w:rPr>
            </w:pPr>
            <w:r>
              <w:rPr>
                <w:rFonts w:ascii="Arial" w:cs="Arial" w:eastAsia="Arial" w:hAnsi="Arial"/>
                <w:sz w:val="18"/>
                <w:szCs w:val="18"/>
                <w:color w:val="auto"/>
              </w:rPr>
              <w:t>Fannie Mae 4.500% 5/1/2048</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19,419</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0"/>
              </w:rPr>
              <w:t>U.S. Treasury 1.500%</w:t>
            </w:r>
          </w:p>
        </w:tc>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8/15/2026</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18,924</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500" w:type="dxa"/>
            <w:vAlign w:val="bottom"/>
          </w:tcPr>
          <w:p>
            <w:pPr>
              <w:ind w:left="20"/>
              <w:spacing w:after="0"/>
              <w:rPr>
                <w:sz w:val="20"/>
                <w:szCs w:val="20"/>
                <w:color w:val="auto"/>
              </w:rPr>
            </w:pPr>
            <w:r>
              <w:rPr>
                <w:rFonts w:ascii="Arial" w:cs="Arial" w:eastAsia="Arial" w:hAnsi="Arial"/>
                <w:sz w:val="18"/>
                <w:szCs w:val="18"/>
                <w:color w:val="auto"/>
                <w:w w:val="90"/>
              </w:rPr>
              <w:t>Fannie Mae 4.000%</w:t>
            </w:r>
          </w:p>
        </w:tc>
        <w:tc>
          <w:tcPr>
            <w:tcW w:w="1280" w:type="dxa"/>
            <w:vAlign w:val="bottom"/>
            <w:gridSpan w:val="2"/>
          </w:tcPr>
          <w:p>
            <w:pPr>
              <w:ind w:left="20"/>
              <w:spacing w:after="0"/>
              <w:rPr>
                <w:sz w:val="20"/>
                <w:szCs w:val="20"/>
                <w:color w:val="auto"/>
              </w:rPr>
            </w:pPr>
            <w:r>
              <w:rPr>
                <w:rFonts w:ascii="Arial" w:cs="Arial" w:eastAsia="Arial" w:hAnsi="Arial"/>
                <w:sz w:val="18"/>
                <w:szCs w:val="18"/>
                <w:color w:val="auto"/>
              </w:rPr>
              <w:t>5/1/2056</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14,287</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Fannie Mae 3.000%</w:t>
            </w:r>
          </w:p>
        </w:tc>
        <w:tc>
          <w:tcPr>
            <w:tcW w:w="1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12/1/2032</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12,797</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500" w:type="dxa"/>
            <w:vAlign w:val="bottom"/>
          </w:tcPr>
          <w:p>
            <w:pPr>
              <w:ind w:left="20"/>
              <w:spacing w:after="0"/>
              <w:rPr>
                <w:sz w:val="20"/>
                <w:szCs w:val="20"/>
                <w:color w:val="auto"/>
              </w:rPr>
            </w:pPr>
            <w:r>
              <w:rPr>
                <w:rFonts w:ascii="Arial" w:cs="Arial" w:eastAsia="Arial" w:hAnsi="Arial"/>
                <w:sz w:val="18"/>
                <w:szCs w:val="18"/>
                <w:color w:val="auto"/>
                <w:w w:val="90"/>
              </w:rPr>
              <w:t>Fannie Mae 4.500%</w:t>
            </w:r>
          </w:p>
        </w:tc>
        <w:tc>
          <w:tcPr>
            <w:tcW w:w="1280" w:type="dxa"/>
            <w:vAlign w:val="bottom"/>
            <w:gridSpan w:val="2"/>
          </w:tcPr>
          <w:p>
            <w:pPr>
              <w:ind w:left="20"/>
              <w:spacing w:after="0"/>
              <w:rPr>
                <w:sz w:val="20"/>
                <w:szCs w:val="20"/>
                <w:color w:val="auto"/>
              </w:rPr>
            </w:pPr>
            <w:r>
              <w:rPr>
                <w:rFonts w:ascii="Arial" w:cs="Arial" w:eastAsia="Arial" w:hAnsi="Arial"/>
                <w:sz w:val="18"/>
                <w:szCs w:val="18"/>
                <w:color w:val="auto"/>
              </w:rPr>
              <w:t>11/1/2048</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12,130</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0"/>
              </w:rPr>
              <w:t>U.S. Treasury 2.000%</w:t>
            </w:r>
          </w:p>
        </w:tc>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1/15/2021</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11,382</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500" w:type="dxa"/>
            <w:vAlign w:val="bottom"/>
          </w:tcPr>
          <w:p>
            <w:pPr>
              <w:ind w:left="20"/>
              <w:spacing w:after="0"/>
              <w:rPr>
                <w:sz w:val="20"/>
                <w:szCs w:val="20"/>
                <w:color w:val="auto"/>
              </w:rPr>
            </w:pPr>
            <w:r>
              <w:rPr>
                <w:rFonts w:ascii="Arial" w:cs="Arial" w:eastAsia="Arial" w:hAnsi="Arial"/>
                <w:sz w:val="18"/>
                <w:szCs w:val="18"/>
                <w:color w:val="auto"/>
                <w:w w:val="90"/>
              </w:rPr>
              <w:t>Fannie Mae 1.500%</w:t>
            </w:r>
          </w:p>
        </w:tc>
        <w:tc>
          <w:tcPr>
            <w:tcW w:w="1280" w:type="dxa"/>
            <w:vAlign w:val="bottom"/>
            <w:gridSpan w:val="2"/>
          </w:tcPr>
          <w:p>
            <w:pPr>
              <w:ind w:left="20"/>
              <w:spacing w:after="0"/>
              <w:rPr>
                <w:sz w:val="20"/>
                <w:szCs w:val="20"/>
                <w:color w:val="auto"/>
              </w:rPr>
            </w:pPr>
            <w:r>
              <w:rPr>
                <w:rFonts w:ascii="Arial" w:cs="Arial" w:eastAsia="Arial" w:hAnsi="Arial"/>
                <w:sz w:val="18"/>
                <w:szCs w:val="18"/>
                <w:color w:val="auto"/>
              </w:rPr>
              <w:t>6/22/2020</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11,133</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4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191,245</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28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Percent of Investments Available for Sale</w:t>
            </w:r>
          </w:p>
        </w:tc>
        <w:tc>
          <w:tcPr>
            <w:tcW w:w="1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vMerge w:val="restart"/>
          </w:tcPr>
          <w:p>
            <w:pPr>
              <w:ind w:left="700"/>
              <w:spacing w:after="0"/>
              <w:rPr>
                <w:sz w:val="20"/>
                <w:szCs w:val="20"/>
                <w:color w:val="auto"/>
              </w:rPr>
            </w:pPr>
            <w:r>
              <w:rPr>
                <w:rFonts w:ascii="Arial" w:cs="Arial" w:eastAsia="Arial" w:hAnsi="Arial"/>
                <w:sz w:val="18"/>
                <w:szCs w:val="18"/>
                <w:color w:val="auto"/>
              </w:rPr>
              <w:t>39</w:t>
            </w:r>
          </w:p>
        </w:tc>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include municipal debt securities for states that represent more than 10% of the total municipal bond position as of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Fair Value</w:t>
            </w:r>
          </w:p>
        </w:tc>
        <w:tc>
          <w:tcPr>
            <w:tcW w:w="100" w:type="dxa"/>
            <w:vAlign w:val="bottom"/>
            <w:gridSpan w:val="2"/>
            <w:vMerge w:val="restart"/>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Amortized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Credit</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Rating (1), (2)</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Texas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40"/>
              <w:spacing w:after="0"/>
              <w:rPr>
                <w:sz w:val="20"/>
                <w:szCs w:val="20"/>
                <w:color w:val="auto"/>
              </w:rPr>
            </w:pPr>
            <w:r>
              <w:rPr>
                <w:rFonts w:ascii="Arial" w:cs="Arial" w:eastAsia="Arial" w:hAnsi="Arial"/>
                <w:sz w:val="18"/>
                <w:szCs w:val="18"/>
                <w:color w:val="auto"/>
              </w:rPr>
              <w:t>State of Texas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8,436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8,251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0"/>
              </w:rPr>
              <w:t>Baa1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City of Houston</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40"/>
              <w:spacing w:after="0"/>
              <w:rPr>
                <w:sz w:val="20"/>
                <w:szCs w:val="20"/>
                <w:color w:val="auto"/>
              </w:rPr>
            </w:pPr>
            <w:r>
              <w:rPr>
                <w:rFonts w:ascii="Arial" w:cs="Arial" w:eastAsia="Arial" w:hAnsi="Arial"/>
                <w:sz w:val="18"/>
                <w:szCs w:val="18"/>
                <w:color w:val="auto"/>
              </w:rPr>
              <w:t>The Texas A&amp;M University System</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6,198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6,061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University of Houston System</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40"/>
              <w:spacing w:after="0"/>
              <w:rPr>
                <w:sz w:val="20"/>
                <w:szCs w:val="20"/>
                <w:color w:val="auto"/>
              </w:rPr>
            </w:pPr>
            <w:r>
              <w:rPr>
                <w:rFonts w:ascii="Arial" w:cs="Arial" w:eastAsia="Arial" w:hAnsi="Arial"/>
                <w:sz w:val="18"/>
                <w:szCs w:val="18"/>
                <w:color w:val="auto"/>
              </w:rPr>
              <w:t>City of El Paso</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2,373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2,349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Dallas/Fort Worth International Airport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40"/>
              <w:spacing w:after="0"/>
              <w:rPr>
                <w:sz w:val="20"/>
                <w:szCs w:val="20"/>
                <w:color w:val="auto"/>
              </w:rPr>
            </w:pPr>
            <w:r>
              <w:rPr>
                <w:rFonts w:ascii="Arial" w:cs="Arial" w:eastAsia="Arial" w:hAnsi="Arial"/>
                <w:sz w:val="18"/>
                <w:szCs w:val="18"/>
                <w:color w:val="auto"/>
              </w:rPr>
              <w:t>City of Austin</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2,173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North Texas Municipal Water District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40"/>
              <w:spacing w:after="0"/>
              <w:rPr>
                <w:sz w:val="20"/>
                <w:szCs w:val="20"/>
                <w:color w:val="auto"/>
              </w:rPr>
            </w:pPr>
            <w:r>
              <w:rPr>
                <w:rFonts w:ascii="Arial" w:cs="Arial" w:eastAsia="Arial" w:hAnsi="Arial"/>
                <w:sz w:val="18"/>
                <w:szCs w:val="18"/>
                <w:color w:val="auto"/>
              </w:rPr>
              <w:t>Harris County Cultural Education</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2,003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Carrollton-Farmers Branch Independent School District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40"/>
              <w:spacing w:after="0"/>
              <w:rPr>
                <w:sz w:val="20"/>
                <w:szCs w:val="20"/>
                <w:color w:val="auto"/>
              </w:rPr>
            </w:pPr>
            <w:r>
              <w:rPr>
                <w:rFonts w:ascii="Arial" w:cs="Arial" w:eastAsia="Arial" w:hAnsi="Arial"/>
                <w:sz w:val="18"/>
                <w:szCs w:val="18"/>
                <w:color w:val="auto"/>
              </w:rPr>
              <w:t>City of Dallas</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1,702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Tarrant Regional Water District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40"/>
              <w:spacing w:after="0"/>
              <w:rPr>
                <w:sz w:val="20"/>
                <w:szCs w:val="20"/>
                <w:color w:val="auto"/>
              </w:rPr>
            </w:pPr>
            <w:r>
              <w:rPr>
                <w:rFonts w:ascii="Arial" w:cs="Arial" w:eastAsia="Arial" w:hAnsi="Arial"/>
                <w:sz w:val="18"/>
                <w:szCs w:val="18"/>
                <w:color w:val="auto"/>
              </w:rPr>
              <w:t>Fort Worth TX W&amp;S Revenue</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1,535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1,515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City of College Station</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40"/>
              <w:spacing w:after="0"/>
              <w:rPr>
                <w:sz w:val="20"/>
                <w:szCs w:val="20"/>
                <w:color w:val="auto"/>
              </w:rPr>
            </w:pPr>
            <w:r>
              <w:rPr>
                <w:rFonts w:ascii="Arial" w:cs="Arial" w:eastAsia="Arial" w:hAnsi="Arial"/>
                <w:sz w:val="18"/>
                <w:szCs w:val="18"/>
                <w:color w:val="auto"/>
              </w:rPr>
              <w:t>City of Garland</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1,370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1,373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City of San Antonio</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40"/>
              <w:spacing w:after="0"/>
              <w:rPr>
                <w:sz w:val="20"/>
                <w:szCs w:val="20"/>
                <w:color w:val="auto"/>
              </w:rPr>
            </w:pPr>
            <w:r>
              <w:rPr>
                <w:rFonts w:ascii="Arial" w:cs="Arial" w:eastAsia="Arial" w:hAnsi="Arial"/>
                <w:sz w:val="18"/>
                <w:szCs w:val="18"/>
                <w:color w:val="auto"/>
              </w:rPr>
              <w:t>Bryan Independent School District</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1,296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1,302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Spring Independent School District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40"/>
              <w:spacing w:after="0"/>
              <w:rPr>
                <w:sz w:val="20"/>
                <w:szCs w:val="20"/>
                <w:color w:val="auto"/>
              </w:rPr>
            </w:pPr>
            <w:r>
              <w:rPr>
                <w:rFonts w:ascii="Arial" w:cs="Arial" w:eastAsia="Arial" w:hAnsi="Arial"/>
                <w:sz w:val="18"/>
                <w:szCs w:val="18"/>
                <w:color w:val="auto"/>
              </w:rPr>
              <w:t>City of Corpus Christi</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1,145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Harris County Toll Road Authority</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40"/>
              <w:spacing w:after="0"/>
              <w:rPr>
                <w:sz w:val="20"/>
                <w:szCs w:val="20"/>
                <w:color w:val="auto"/>
              </w:rPr>
            </w:pPr>
            <w:r>
              <w:rPr>
                <w:rFonts w:ascii="Arial" w:cs="Arial" w:eastAsia="Arial" w:hAnsi="Arial"/>
                <w:sz w:val="18"/>
                <w:szCs w:val="18"/>
                <w:color w:val="auto"/>
              </w:rPr>
              <w:t>Pharr-San Juan-Alamo Independent School District</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1,044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1,053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Port Arthur Independent School District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40"/>
              <w:spacing w:after="0"/>
              <w:rPr>
                <w:sz w:val="20"/>
                <w:szCs w:val="20"/>
                <w:color w:val="auto"/>
              </w:rPr>
            </w:pPr>
            <w:r>
              <w:rPr>
                <w:rFonts w:ascii="Arial" w:cs="Arial" w:eastAsia="Arial" w:hAnsi="Arial"/>
                <w:sz w:val="18"/>
                <w:szCs w:val="18"/>
                <w:color w:val="auto"/>
              </w:rPr>
              <w:t>San Jacinto Community College District</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869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County of Fort Bend</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40"/>
              <w:spacing w:after="0"/>
              <w:rPr>
                <w:sz w:val="20"/>
                <w:szCs w:val="20"/>
                <w:color w:val="auto"/>
              </w:rPr>
            </w:pPr>
            <w:r>
              <w:rPr>
                <w:rFonts w:ascii="Arial" w:cs="Arial" w:eastAsia="Arial" w:hAnsi="Arial"/>
                <w:sz w:val="18"/>
                <w:szCs w:val="18"/>
                <w:color w:val="auto"/>
              </w:rPr>
              <w:t>Austin-Bergstrom Landhost Enterprises, Inc.</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9"/>
              </w:rPr>
              <w:t>A3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56,102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54,652</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0" w:type="dxa"/>
            <w:vAlign w:val="bottom"/>
          </w:tcPr>
          <w:p>
            <w:pPr>
              <w:spacing w:after="0"/>
              <w:rPr>
                <w:sz w:val="23"/>
                <w:szCs w:val="23"/>
                <w:color w:val="auto"/>
              </w:rPr>
            </w:pPr>
          </w:p>
        </w:tc>
        <w:tc>
          <w:tcPr>
            <w:tcW w:w="5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Fair Value</w:t>
            </w:r>
          </w:p>
        </w:tc>
        <w:tc>
          <w:tcPr>
            <w:tcW w:w="100" w:type="dxa"/>
            <w:vAlign w:val="bottom"/>
            <w:gridSpan w:val="2"/>
            <w:vMerge w:val="restart"/>
          </w:tcPr>
          <w:p>
            <w:pPr>
              <w:spacing w:after="0"/>
              <w:rPr>
                <w:sz w:val="23"/>
                <w:szCs w:val="23"/>
                <w:color w:val="auto"/>
              </w:rPr>
            </w:pPr>
          </w:p>
        </w:tc>
        <w:tc>
          <w:tcPr>
            <w:tcW w:w="20" w:type="dxa"/>
            <w:vAlign w:val="bottom"/>
            <w:vMerge w:val="restart"/>
          </w:tcPr>
          <w:p>
            <w:pPr>
              <w:spacing w:after="0"/>
              <w:rPr>
                <w:sz w:val="23"/>
                <w:szCs w:val="23"/>
                <w:color w:val="auto"/>
              </w:rPr>
            </w:pPr>
          </w:p>
        </w:tc>
        <w:tc>
          <w:tcPr>
            <w:tcW w:w="320" w:type="dxa"/>
            <w:vAlign w:val="bottom"/>
          </w:tcPr>
          <w:p>
            <w:pPr>
              <w:spacing w:after="0"/>
              <w:rPr>
                <w:sz w:val="23"/>
                <w:szCs w:val="23"/>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Amortized</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Cost</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 (1), (2)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New York</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City of New York</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7,936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7,600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The Dormitory Authority of the State of New York</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7,412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7,214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The Port Authority of New York and New Jersey</w:t>
            </w:r>
          </w:p>
        </w:tc>
        <w:tc>
          <w:tcPr>
            <w:tcW w:w="3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7,223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7,006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New York City Transitional Finance Authority</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6,937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6,705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Metropolitan Transportation Authority</w:t>
            </w:r>
          </w:p>
        </w:tc>
        <w:tc>
          <w:tcPr>
            <w:tcW w:w="3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5,309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5,216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New York State Urban Development Corporation</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3,676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3,570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TSASC, Inc.</w:t>
            </w:r>
          </w:p>
        </w:tc>
        <w:tc>
          <w:tcPr>
            <w:tcW w:w="3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2,357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2,219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County of Nassau</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Public Service Enterprise Group, Inc.</w:t>
            </w:r>
          </w:p>
        </w:tc>
        <w:tc>
          <w:tcPr>
            <w:tcW w:w="3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1,862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1,796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A3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Town of Oyster Bay</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Syracuse Industrial Development Agency</w:t>
            </w:r>
          </w:p>
        </w:tc>
        <w:tc>
          <w:tcPr>
            <w:tcW w:w="3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342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341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ind w:right="60"/>
              <w:spacing w:after="0"/>
              <w:rPr>
                <w:sz w:val="20"/>
                <w:szCs w:val="20"/>
                <w:color w:val="auto"/>
              </w:rPr>
            </w:pPr>
            <w:r>
              <w:rPr>
                <w:rFonts w:ascii="Arial" w:cs="Arial" w:eastAsia="Arial" w:hAnsi="Arial"/>
                <w:sz w:val="18"/>
                <w:szCs w:val="18"/>
                <w:color w:val="auto"/>
                <w:w w:val="85"/>
              </w:rPr>
              <w:t>Baa1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2"/>
                <w:szCs w:val="22"/>
                <w:color w:val="auto"/>
              </w:rPr>
            </w:pPr>
          </w:p>
        </w:tc>
        <w:tc>
          <w:tcPr>
            <w:tcW w:w="5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46,304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44,774</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right="20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of the above securities may include financial guaranty insurance or state enhancements. The above ratings include the effect of these credit enhancements, if applicable.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 utilized if Moody’s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-541655</wp:posOffset>
            </wp:positionV>
            <wp:extent cx="14147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Radnor Re 2018-1 Ltd. and Radnor Re 2019-1 Ltd. are special purpose variable interest entities that are not consolidated in our condensed consolidated financial statements because we do not have the unilateral power to direct those activities that are significant to their economic performance. As of March 31, 2019, our estimated off-balance sheet maximum exposure to loss from the Radnor Re entities was $45.3 million, representing the estimated net present value of investment earnings on the assets in the reinsurance trusts. See Note 4 to our condensed consolidated financial statements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the filing date of this report, there were no significant changes in our critical accounting policies from those discussed in our 2018 Form 10-K.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2 to our condensed consolidated financial statements for recently issued accounting standards under evaluation.</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125" w:right="31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187"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We manage market risk via defined investment policy implemented by our treasury function with oversight from our board of directors and our senior management. Important drivers of our market risk exposure monitored and managed by us include but are not limited to:</w:t>
      </w:r>
    </w:p>
    <w:p>
      <w:pPr>
        <w:spacing w:after="0" w:line="147" w:lineRule="exact"/>
        <w:rPr>
          <w:sz w:val="20"/>
          <w:szCs w:val="20"/>
          <w:color w:val="auto"/>
        </w:rPr>
      </w:pPr>
    </w:p>
    <w:p>
      <w:pPr>
        <w:ind w:left="660" w:right="60" w:hanging="328"/>
        <w:spacing w:after="0" w:line="302" w:lineRule="auto"/>
        <w:tabs>
          <w:tab w:leader="none" w:pos="66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Changes to the level of interest rates. </w:t>
      </w:r>
      <w:r>
        <w:rPr>
          <w:rFonts w:ascii="Arial" w:cs="Arial" w:eastAsia="Arial" w:hAnsi="Arial"/>
          <w:sz w:val="16"/>
          <w:szCs w:val="16"/>
          <w:color w:val="auto"/>
        </w:rPr>
        <w:t>Increasing interest rates may reduce the value of certain fixed-rate bonds held in the investment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154" w:lineRule="exact"/>
        <w:rPr>
          <w:rFonts w:ascii="Arial" w:cs="Arial" w:eastAsia="Arial" w:hAnsi="Arial"/>
          <w:sz w:val="16"/>
          <w:szCs w:val="16"/>
          <w:i w:val="1"/>
          <w:iCs w:val="1"/>
          <w:color w:val="auto"/>
        </w:rPr>
      </w:pPr>
    </w:p>
    <w:p>
      <w:pPr>
        <w:ind w:left="660" w:right="240" w:hanging="328"/>
        <w:spacing w:after="0" w:line="277" w:lineRule="auto"/>
        <w:tabs>
          <w:tab w:leader="none" w:pos="6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Changes to the term structure of interest rates. </w:t>
      </w:r>
      <w:r>
        <w:rPr>
          <w:rFonts w:ascii="Arial" w:cs="Arial" w:eastAsia="Arial" w:hAnsi="Arial"/>
          <w:sz w:val="18"/>
          <w:szCs w:val="18"/>
          <w:color w:val="auto"/>
        </w:rPr>
        <w:t>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170" w:lineRule="exact"/>
        <w:rPr>
          <w:rFonts w:ascii="Arial" w:cs="Arial" w:eastAsia="Arial" w:hAnsi="Arial"/>
          <w:sz w:val="18"/>
          <w:szCs w:val="18"/>
          <w:i w:val="1"/>
          <w:iCs w:val="1"/>
          <w:color w:val="auto"/>
        </w:rPr>
      </w:pPr>
    </w:p>
    <w:p>
      <w:pPr>
        <w:ind w:left="660" w:right="520" w:hanging="328"/>
        <w:spacing w:after="0" w:line="342" w:lineRule="auto"/>
        <w:tabs>
          <w:tab w:leader="none" w:pos="66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Market volatility/changes in the real or perceived credit quality of investments. </w:t>
      </w:r>
      <w:r>
        <w:rPr>
          <w:rFonts w:ascii="Arial" w:cs="Arial" w:eastAsia="Arial" w:hAnsi="Arial"/>
          <w:sz w:val="16"/>
          <w:szCs w:val="16"/>
          <w:color w:val="auto"/>
        </w:rPr>
        <w:t>Deterioration in the quality of investments, identified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our own or third-party (e.g., rating agency) assessments, will reduce the value and potentially the liquidity of investments.</w:t>
      </w:r>
    </w:p>
    <w:p>
      <w:pPr>
        <w:spacing w:after="0" w:line="123" w:lineRule="exact"/>
        <w:rPr>
          <w:rFonts w:ascii="Arial" w:cs="Arial" w:eastAsia="Arial" w:hAnsi="Arial"/>
          <w:sz w:val="16"/>
          <w:szCs w:val="16"/>
          <w:i w:val="1"/>
          <w:iCs w:val="1"/>
          <w:color w:val="auto"/>
        </w:rPr>
      </w:pPr>
    </w:p>
    <w:p>
      <w:pPr>
        <w:ind w:left="660" w:right="400" w:hanging="328"/>
        <w:spacing w:after="0" w:line="342" w:lineRule="auto"/>
        <w:tabs>
          <w:tab w:leader="none" w:pos="66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If the investment portfolio is highly concentrated in one asset, or in multiple assets whose values are highly correlated,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total portfolio may be greatly affected by the change in value of just one asset or a group of highly correlated assets.</w:t>
      </w:r>
    </w:p>
    <w:p>
      <w:pPr>
        <w:spacing w:after="0" w:line="123" w:lineRule="exact"/>
        <w:rPr>
          <w:rFonts w:ascii="Arial" w:cs="Arial" w:eastAsia="Arial" w:hAnsi="Arial"/>
          <w:sz w:val="16"/>
          <w:szCs w:val="16"/>
          <w:i w:val="1"/>
          <w:iCs w:val="1"/>
          <w:color w:val="auto"/>
        </w:rPr>
      </w:pPr>
    </w:p>
    <w:p>
      <w:pPr>
        <w:ind w:left="660" w:right="120" w:hanging="328"/>
        <w:spacing w:after="0" w:line="277" w:lineRule="auto"/>
        <w:tabs>
          <w:tab w:leader="none" w:pos="6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Prepayment Risk. </w:t>
      </w:r>
      <w:r>
        <w:rPr>
          <w:rFonts w:ascii="Arial" w:cs="Arial" w:eastAsia="Arial" w:hAnsi="Arial"/>
          <w:sz w:val="18"/>
          <w:szCs w:val="18"/>
          <w:color w:val="auto"/>
        </w:rPr>
        <w:t>Bonds may have call provisions that permit debtors to repay prior to maturity when it is to their advantage. This typically occurs</w:t>
      </w:r>
      <w:r>
        <w:rPr>
          <w:rFonts w:ascii="Arial" w:cs="Arial" w:eastAsia="Arial" w:hAnsi="Arial"/>
          <w:sz w:val="18"/>
          <w:szCs w:val="18"/>
          <w:i w:val="1"/>
          <w:iCs w:val="1"/>
          <w:color w:val="auto"/>
        </w:rPr>
        <w:t xml:space="preserve"> </w:t>
      </w:r>
      <w:r>
        <w:rPr>
          <w:rFonts w:ascii="Arial" w:cs="Arial" w:eastAsia="Arial" w:hAnsi="Arial"/>
          <w:sz w:val="18"/>
          <w:szCs w:val="18"/>
          <w:color w:val="auto"/>
        </w:rPr>
        <w:t>when rates fall below the interest rate of the debt.</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8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At March 31, 2019, the effective duration of our investments available for sale was 3.5 years, which means that an instantaneous parallel shift (movement up or down) in the yield curve of 100 basis points would result in a change of 3.5% in fair value of our investments available for sale. Excluding short-term investments, our investments available for sale effective duration was 3.8 years, which means that an instantaneous parallel shift (movement up or down) in the yield curve of 100 basis points would result in a change of 3.8% in fair value of our investments available for sale.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Quarterly Report. Based on this evaluation, our chief executive officer and chief financial officer concluded that our disclosure controls and procedures were effective as of March 31, 2019, the end of the period covered by this Quarterly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125" w:right="2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Risk factors that affect our business and financial results are discussed in Part I, Item 1A. “Risk Factors” in our Annual Report on Form 10-K for the year ended December 31, 2018. There have been no material changes in our risk factors from those previously disclosed in our Annual Report. You should carefully consider the risks described in our Annual Report, which could materially affect our business, financial condition or future results. The risks described in our Annual Report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Securities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table below sets forth information regarding repurchases of our common shares during the three months ended March 31, 2019. All of the shares represent common shares that were tendered to the Company by employees in connection with the vesting of restricted shares to satisfy tax withholding obligations. We do not consider these transactions to be a share buyback program.</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94"/>
              </w:rPr>
              <w:t>Total Number of</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vMerge w:val="restart"/>
          </w:tcPr>
          <w:p>
            <w:pPr>
              <w:jc w:val="center"/>
              <w:ind w:left="19"/>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 Shares that</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jc w:val="center"/>
              <w:ind w:left="39"/>
              <w:spacing w:after="0" w:line="149"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Average Price</w:t>
            </w:r>
          </w:p>
        </w:tc>
        <w:tc>
          <w:tcPr>
            <w:tcW w:w="15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49"/>
        </w:trPr>
        <w:tc>
          <w:tcPr>
            <w:tcW w:w="3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740" w:type="dxa"/>
            <w:vAlign w:val="bottom"/>
          </w:tcPr>
          <w:p>
            <w:pPr>
              <w:jc w:val="center"/>
              <w:ind w:left="19"/>
              <w:spacing w:after="0" w:line="149" w:lineRule="exact"/>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5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the Plans or</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tcPr>
          <w:p>
            <w:pPr>
              <w:jc w:val="center"/>
              <w:ind w:left="19"/>
              <w:spacing w:after="0"/>
              <w:rPr>
                <w:sz w:val="20"/>
                <w:szCs w:val="20"/>
                <w:color w:val="auto"/>
              </w:rPr>
            </w:pPr>
            <w:r>
              <w:rPr>
                <w:rFonts w:ascii="Arial" w:cs="Arial" w:eastAsia="Arial" w:hAnsi="Arial"/>
                <w:sz w:val="14"/>
                <w:szCs w:val="14"/>
                <w:b w:val="1"/>
                <w:bCs w:val="1"/>
                <w:color w:val="auto"/>
                <w:w w:val="89"/>
              </w:rPr>
              <w:t>Purchased</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3"/>
              </w:rPr>
              <w:t>or Programs</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 January 31, 2019</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February 1 - February 28, 2019</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50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0" w:type="dxa"/>
            <w:vAlign w:val="bottom"/>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 March 31, 2019</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131,639</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43.69</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131,639</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0" w:type="dxa"/>
            <w:vAlign w:val="bottom"/>
            <w:tcBorders>
              <w:top w:val="single" w:sz="8" w:color="auto"/>
            </w:tcBorders>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43</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2019 Annual General Meeting of Shareholders</w:t>
      </w:r>
    </w:p>
    <w:p>
      <w:pPr>
        <w:spacing w:after="0" w:line="225"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On May 1, 2019, we held our 2019 Annual General Meeting of Shareholders (the "Annual Meeting"). A total of 98,223,057 common shares were entitled to vote as of March 15, 2019, the record date for the Annual Meeting, of which 88,830,699 shares were present in person or by proxy at the Annual Meeting.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final voting results for each matter presented to shareholders at the Annual Meeting.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Proposal 1 - Election of members of our board of directors:</w:t>
            </w: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78"/>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2"/>
          </w:tcPr>
          <w:p>
            <w:pPr>
              <w:ind w:left="620"/>
              <w:spacing w:after="0"/>
              <w:rPr>
                <w:sz w:val="20"/>
                <w:szCs w:val="20"/>
                <w:color w:val="auto"/>
              </w:rPr>
            </w:pPr>
            <w:r>
              <w:rPr>
                <w:rFonts w:ascii="Arial" w:cs="Arial" w:eastAsia="Arial" w:hAnsi="Arial"/>
                <w:sz w:val="18"/>
                <w:szCs w:val="18"/>
                <w:b w:val="1"/>
                <w:bCs w:val="1"/>
                <w:color w:val="auto"/>
              </w:rPr>
              <w:t>Votes For</w:t>
            </w:r>
          </w:p>
        </w:tc>
        <w:tc>
          <w:tcPr>
            <w:tcW w:w="2040" w:type="dxa"/>
            <w:vAlign w:val="bottom"/>
            <w:gridSpan w:val="2"/>
          </w:tcPr>
          <w:p>
            <w:pPr>
              <w:ind w:left="380"/>
              <w:spacing w:after="0"/>
              <w:rPr>
                <w:sz w:val="20"/>
                <w:szCs w:val="20"/>
                <w:color w:val="auto"/>
              </w:rPr>
            </w:pPr>
            <w:r>
              <w:rPr>
                <w:rFonts w:ascii="Arial" w:cs="Arial" w:eastAsia="Arial" w:hAnsi="Arial"/>
                <w:sz w:val="18"/>
                <w:szCs w:val="18"/>
                <w:b w:val="1"/>
                <w:bCs w:val="1"/>
                <w:color w:val="auto"/>
              </w:rPr>
              <w:t>Votes Withheld</w:t>
            </w:r>
          </w:p>
        </w:tc>
        <w:tc>
          <w:tcPr>
            <w:tcW w:w="1940" w:type="dxa"/>
            <w:vAlign w:val="bottom"/>
          </w:tcPr>
          <w:p>
            <w:pPr>
              <w:jc w:val="right"/>
              <w:ind w:right="190"/>
              <w:spacing w:after="0"/>
              <w:rPr>
                <w:sz w:val="20"/>
                <w:szCs w:val="20"/>
                <w:color w:val="auto"/>
              </w:rPr>
            </w:pPr>
            <w:r>
              <w:rPr>
                <w:rFonts w:ascii="Arial" w:cs="Arial" w:eastAsia="Arial" w:hAnsi="Arial"/>
                <w:sz w:val="18"/>
                <w:szCs w:val="18"/>
                <w:b w:val="1"/>
                <w:bCs w:val="1"/>
                <w:color w:val="auto"/>
              </w:rPr>
              <w:t>Broker Non-Votes</w:t>
            </w:r>
          </w:p>
        </w:tc>
      </w:tr>
      <w:tr>
        <w:trPr>
          <w:trHeight w:val="27"/>
        </w:trPr>
        <w:tc>
          <w:tcPr>
            <w:tcW w:w="5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22"/>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8"/>
                <w:szCs w:val="18"/>
                <w:i w:val="1"/>
                <w:iCs w:val="1"/>
                <w:color w:val="auto"/>
                <w:w w:val="97"/>
              </w:rPr>
              <w:t>Class II Director to Serve Through the 2022 Annual General Meeting</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37"/>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of Shareholders:</w:t>
            </w:r>
          </w:p>
        </w:tc>
        <w:tc>
          <w:tcPr>
            <w:tcW w:w="1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Angela L. Heise</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84,943,424</w:t>
            </w:r>
          </w:p>
        </w:tc>
        <w:tc>
          <w:tcPr>
            <w:tcW w:w="10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157,333</w:t>
            </w:r>
          </w:p>
        </w:tc>
        <w:tc>
          <w:tcPr>
            <w:tcW w:w="10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3,729,942</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3"/>
        </w:trPr>
        <w:tc>
          <w:tcPr>
            <w:tcW w:w="5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Robert Glanville</w:t>
            </w:r>
          </w:p>
        </w:tc>
        <w:tc>
          <w:tcPr>
            <w:tcW w:w="1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84,309,037</w:t>
            </w: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791,720</w:t>
            </w: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3,729,942</w:t>
            </w:r>
          </w:p>
        </w:tc>
      </w:tr>
      <w:tr>
        <w:trPr>
          <w:trHeight w:val="27"/>
        </w:trPr>
        <w:tc>
          <w:tcPr>
            <w:tcW w:w="5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Proposal 2 - The re-appointment of PricewaterhouseCoopers LLP as the Company's independent registered public accounting firm for the year ending December 31, 2019 and until the 2020 Annual General Meeting of Shareholders, and the referral of the determination of the auditors' compensation to the board of directors, was ratified:</w:t>
      </w:r>
    </w:p>
    <w:p>
      <w:pPr>
        <w:spacing w:after="0" w:line="115" w:lineRule="exact"/>
        <w:rPr>
          <w:sz w:val="20"/>
          <w:szCs w:val="20"/>
          <w:color w:val="auto"/>
        </w:rPr>
      </w:pPr>
    </w:p>
    <w:tbl>
      <w:tblPr>
        <w:tblLayout w:type="fixed"/>
        <w:tblInd w:w="2400" w:type="dxa"/>
        <w:tblCellMar>
          <w:top w:w="0" w:type="dxa"/>
          <w:left w:w="0" w:type="dxa"/>
          <w:bottom w:w="0" w:type="dxa"/>
          <w:right w:w="0" w:type="dxa"/>
        </w:tblCellMar>
      </w:tblPr>
      <w:tr>
        <w:trPr>
          <w:trHeight w:val="27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Votes For</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87,576,958</w:t>
            </w: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Votes Against</w:t>
            </w:r>
          </w:p>
        </w:tc>
        <w:tc>
          <w:tcPr>
            <w:tcW w:w="3240" w:type="dxa"/>
            <w:vAlign w:val="bottom"/>
          </w:tcPr>
          <w:p>
            <w:pPr>
              <w:jc w:val="right"/>
              <w:spacing w:after="0"/>
              <w:rPr>
                <w:sz w:val="20"/>
                <w:szCs w:val="20"/>
                <w:color w:val="auto"/>
              </w:rPr>
            </w:pPr>
            <w:r>
              <w:rPr>
                <w:rFonts w:ascii="Arial" w:cs="Arial" w:eastAsia="Arial" w:hAnsi="Arial"/>
                <w:sz w:val="18"/>
                <w:szCs w:val="18"/>
                <w:color w:val="auto"/>
              </w:rPr>
              <w:t>1,116,172</w:t>
            </w:r>
          </w:p>
        </w:tc>
      </w:tr>
      <w:tr>
        <w:trPr>
          <w:trHeight w:val="27"/>
        </w:trPr>
        <w:tc>
          <w:tcPr>
            <w:tcW w:w="340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4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Abstentions</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137,569</w:t>
            </w:r>
          </w:p>
        </w:tc>
      </w:tr>
      <w:tr>
        <w:trPr>
          <w:trHeight w:val="27"/>
        </w:trPr>
        <w:tc>
          <w:tcPr>
            <w:tcW w:w="3400" w:type="dxa"/>
            <w:vAlign w:val="bottom"/>
            <w:shd w:val="clear" w:color="auto" w:fill="CCEEFF"/>
          </w:tcPr>
          <w:p>
            <w:pPr>
              <w:spacing w:after="0"/>
              <w:rPr>
                <w:sz w:val="2"/>
                <w:szCs w:val="2"/>
                <w:color w:val="auto"/>
              </w:rPr>
            </w:pPr>
          </w:p>
        </w:tc>
        <w:tc>
          <w:tcPr>
            <w:tcW w:w="3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Proposal 3 - Provide a non-binding, advisory vote on our executive compensation:</w:t>
      </w:r>
    </w:p>
    <w:p>
      <w:pPr>
        <w:spacing w:after="0" w:line="158" w:lineRule="exact"/>
        <w:rPr>
          <w:sz w:val="20"/>
          <w:szCs w:val="20"/>
          <w:color w:val="auto"/>
        </w:rPr>
      </w:pPr>
    </w:p>
    <w:tbl>
      <w:tblPr>
        <w:tblLayout w:type="fixed"/>
        <w:tblInd w:w="2400" w:type="dxa"/>
        <w:tblCellMar>
          <w:top w:w="0" w:type="dxa"/>
          <w:left w:w="0" w:type="dxa"/>
          <w:bottom w:w="0" w:type="dxa"/>
          <w:right w:w="0" w:type="dxa"/>
        </w:tblCellMar>
      </w:tblPr>
      <w:tr>
        <w:trPr>
          <w:trHeight w:val="270"/>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Votes For</w:t>
            </w:r>
          </w:p>
        </w:tc>
        <w:tc>
          <w:tcPr>
            <w:tcW w:w="4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84,417,902</w:t>
            </w:r>
          </w:p>
        </w:tc>
      </w:tr>
      <w:tr>
        <w:trPr>
          <w:trHeight w:val="243"/>
        </w:trPr>
        <w:tc>
          <w:tcPr>
            <w:tcW w:w="2280" w:type="dxa"/>
            <w:vAlign w:val="bottom"/>
          </w:tcPr>
          <w:p>
            <w:pPr>
              <w:ind w:left="20"/>
              <w:spacing w:after="0"/>
              <w:rPr>
                <w:sz w:val="20"/>
                <w:szCs w:val="20"/>
                <w:color w:val="auto"/>
              </w:rPr>
            </w:pPr>
            <w:r>
              <w:rPr>
                <w:rFonts w:ascii="Arial" w:cs="Arial" w:eastAsia="Arial" w:hAnsi="Arial"/>
                <w:sz w:val="18"/>
                <w:szCs w:val="18"/>
                <w:color w:val="auto"/>
              </w:rPr>
              <w:t>Votes Against</w:t>
            </w:r>
          </w:p>
        </w:tc>
        <w:tc>
          <w:tcPr>
            <w:tcW w:w="4360" w:type="dxa"/>
            <w:vAlign w:val="bottom"/>
          </w:tcPr>
          <w:p>
            <w:pPr>
              <w:jc w:val="right"/>
              <w:spacing w:after="0"/>
              <w:rPr>
                <w:sz w:val="20"/>
                <w:szCs w:val="20"/>
                <w:color w:val="auto"/>
              </w:rPr>
            </w:pPr>
            <w:r>
              <w:rPr>
                <w:rFonts w:ascii="Arial" w:cs="Arial" w:eastAsia="Arial" w:hAnsi="Arial"/>
                <w:sz w:val="18"/>
                <w:szCs w:val="18"/>
                <w:color w:val="auto"/>
              </w:rPr>
              <w:t>579,292</w:t>
            </w:r>
          </w:p>
        </w:tc>
      </w:tr>
      <w:tr>
        <w:trPr>
          <w:trHeight w:val="27"/>
        </w:trPr>
        <w:tc>
          <w:tcPr>
            <w:tcW w:w="2280" w:type="dxa"/>
            <w:vAlign w:val="bottom"/>
          </w:tcPr>
          <w:p>
            <w:pPr>
              <w:spacing w:after="0"/>
              <w:rPr>
                <w:sz w:val="2"/>
                <w:szCs w:val="2"/>
                <w:color w:val="auto"/>
              </w:rPr>
            </w:pPr>
          </w:p>
        </w:tc>
        <w:tc>
          <w:tcPr>
            <w:tcW w:w="436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Abstentions</w:t>
            </w:r>
          </w:p>
        </w:tc>
        <w:tc>
          <w:tcPr>
            <w:tcW w:w="4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103,563</w:t>
            </w:r>
          </w:p>
        </w:tc>
      </w:tr>
      <w:tr>
        <w:trPr>
          <w:trHeight w:val="243"/>
        </w:trPr>
        <w:tc>
          <w:tcPr>
            <w:tcW w:w="2280" w:type="dxa"/>
            <w:vAlign w:val="bottom"/>
          </w:tcPr>
          <w:p>
            <w:pPr>
              <w:ind w:left="20"/>
              <w:spacing w:after="0"/>
              <w:rPr>
                <w:sz w:val="20"/>
                <w:szCs w:val="20"/>
                <w:color w:val="auto"/>
              </w:rPr>
            </w:pPr>
            <w:r>
              <w:rPr>
                <w:rFonts w:ascii="Arial" w:cs="Arial" w:eastAsia="Arial" w:hAnsi="Arial"/>
                <w:sz w:val="18"/>
                <w:szCs w:val="18"/>
                <w:color w:val="auto"/>
              </w:rPr>
              <w:t>Broker Non-Votes</w:t>
            </w:r>
          </w:p>
        </w:tc>
        <w:tc>
          <w:tcPr>
            <w:tcW w:w="4360" w:type="dxa"/>
            <w:vAlign w:val="bottom"/>
          </w:tcPr>
          <w:p>
            <w:pPr>
              <w:jc w:val="right"/>
              <w:spacing w:after="0"/>
              <w:rPr>
                <w:sz w:val="20"/>
                <w:szCs w:val="20"/>
                <w:color w:val="auto"/>
              </w:rPr>
            </w:pPr>
            <w:r>
              <w:rPr>
                <w:rFonts w:ascii="Arial" w:cs="Arial" w:eastAsia="Arial" w:hAnsi="Arial"/>
                <w:sz w:val="18"/>
                <w:szCs w:val="18"/>
                <w:color w:val="auto"/>
              </w:rPr>
              <w:t>3,729,942</w:t>
            </w:r>
          </w:p>
        </w:tc>
      </w:tr>
      <w:tr>
        <w:trPr>
          <w:trHeight w:val="918"/>
        </w:trPr>
        <w:tc>
          <w:tcPr>
            <w:tcW w:w="2280" w:type="dxa"/>
            <w:vAlign w:val="bottom"/>
          </w:tcPr>
          <w:p>
            <w:pPr>
              <w:spacing w:after="0"/>
              <w:rPr>
                <w:sz w:val="24"/>
                <w:szCs w:val="24"/>
                <w:color w:val="auto"/>
              </w:rPr>
            </w:pPr>
          </w:p>
        </w:tc>
        <w:tc>
          <w:tcPr>
            <w:tcW w:w="4360" w:type="dxa"/>
            <w:vAlign w:val="bottom"/>
          </w:tcPr>
          <w:p>
            <w:pPr>
              <w:jc w:val="right"/>
              <w:ind w:right="3150"/>
              <w:spacing w:after="0"/>
              <w:rPr>
                <w:sz w:val="20"/>
                <w:szCs w:val="20"/>
                <w:color w:val="auto"/>
              </w:rPr>
            </w:pPr>
            <w:r>
              <w:rPr>
                <w:rFonts w:ascii="Arial" w:cs="Arial" w:eastAsia="Arial" w:hAnsi="Arial"/>
                <w:sz w:val="18"/>
                <w:szCs w:val="18"/>
                <w:color w:val="auto"/>
              </w:rPr>
              <w:t>44</w:t>
            </w:r>
          </w:p>
        </w:tc>
      </w:tr>
    </w:tbl>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800" w:type="dxa"/>
            <w:vAlign w:val="bottom"/>
            <w:gridSpan w:val="4"/>
          </w:tcPr>
          <w:p>
            <w:pPr>
              <w:ind w:left="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32"/>
        </w:trPr>
        <w:tc>
          <w:tcPr>
            <w:tcW w:w="620" w:type="dxa"/>
            <w:vAlign w:val="bottom"/>
            <w:gridSpan w:val="3"/>
          </w:tcPr>
          <w:p>
            <w:pPr>
              <w:spacing w:after="0"/>
              <w:rPr>
                <w:sz w:val="20"/>
                <w:szCs w:val="20"/>
                <w:color w:val="auto"/>
              </w:rPr>
            </w:pPr>
            <w:r>
              <w:rPr>
                <w:rFonts w:ascii="Arial" w:cs="Arial" w:eastAsia="Arial" w:hAnsi="Arial"/>
                <w:sz w:val="18"/>
                <w:szCs w:val="18"/>
                <w:color w:val="auto"/>
              </w:rPr>
              <w:t>(a)</w:t>
            </w:r>
          </w:p>
        </w:tc>
        <w:tc>
          <w:tcPr>
            <w:tcW w:w="10800" w:type="dxa"/>
            <w:vAlign w:val="bottom"/>
            <w:gridSpan w:val="4"/>
          </w:tcPr>
          <w:p>
            <w:pPr>
              <w:ind w:left="60"/>
              <w:spacing w:after="0"/>
              <w:rPr>
                <w:sz w:val="20"/>
                <w:szCs w:val="20"/>
                <w:color w:val="auto"/>
              </w:rPr>
            </w:pPr>
            <w:r>
              <w:rPr>
                <w:rFonts w:ascii="Arial" w:cs="Arial" w:eastAsia="Arial" w:hAnsi="Arial"/>
                <w:sz w:val="18"/>
                <w:szCs w:val="18"/>
                <w:color w:val="auto"/>
              </w:rPr>
              <w:t>Exhibits:</w:t>
            </w:r>
          </w:p>
        </w:tc>
        <w:tc>
          <w:tcPr>
            <w:tcW w:w="0" w:type="dxa"/>
            <w:vAlign w:val="bottom"/>
          </w:tcPr>
          <w:p>
            <w:pPr>
              <w:spacing w:after="0"/>
              <w:rPr>
                <w:sz w:val="1"/>
                <w:szCs w:val="1"/>
                <w:color w:val="auto"/>
              </w:rPr>
            </w:pPr>
          </w:p>
        </w:tc>
      </w:tr>
      <w:tr>
        <w:trPr>
          <w:trHeight w:val="545"/>
        </w:trPr>
        <w:tc>
          <w:tcPr>
            <w:tcW w:w="4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180" w:type="dxa"/>
            <w:vAlign w:val="bottom"/>
            <w:vMerge w:val="restart"/>
          </w:tcPr>
          <w:p>
            <w:pPr>
              <w:jc w:val="right"/>
              <w:ind w:right="4468"/>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No.</w:t>
            </w:r>
          </w:p>
        </w:tc>
        <w:tc>
          <w:tcPr>
            <w:tcW w:w="54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20" w:type="dxa"/>
            <w:vAlign w:val="bottom"/>
            <w:gridSpan w:val="3"/>
          </w:tcPr>
          <w:p>
            <w:pPr>
              <w:ind w:left="40"/>
              <w:spacing w:after="0" w:line="202" w:lineRule="exact"/>
              <w:rPr>
                <w:sz w:val="20"/>
                <w:szCs w:val="20"/>
                <w:color w:val="auto"/>
              </w:rPr>
            </w:pPr>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00"/>
              </w:rPr>
              <w:t>*</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Form of Performance-Based Restricted Stock Agreement (2019)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gridSpan w:val="2"/>
          </w:tcPr>
          <w:p>
            <w:pPr>
              <w:ind w:left="40"/>
              <w:spacing w:after="0"/>
              <w:rPr>
                <w:sz w:val="20"/>
                <w:szCs w:val="20"/>
                <w:color w:val="auto"/>
              </w:rPr>
            </w:pPr>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1</w:t>
            </w: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6"/>
              </w:rPr>
              <w:t>Certification of Chief Executive Officer required by Rule 13a-14(a) or Rule 15d-14(a) of the Securities Exchange Act of 1934, as</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30"/>
        </w:trPr>
        <w:tc>
          <w:tcPr>
            <w:tcW w:w="360" w:type="dxa"/>
            <w:vAlign w:val="bottom"/>
            <w:gridSpan w:val="2"/>
          </w:tcPr>
          <w:p>
            <w:pPr>
              <w:ind w:left="40"/>
              <w:spacing w:after="0"/>
              <w:rPr>
                <w:sz w:val="20"/>
                <w:szCs w:val="20"/>
                <w:color w:val="auto"/>
              </w:rPr>
            </w:pPr>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2</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6"/>
              </w:rPr>
              <w:t>Certification of Chief Financial Officer required by Rule 13a-14(a) or Rule 15d-14(a) of the Securities Exchange Act of 1934, as</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30"/>
        </w:trPr>
        <w:tc>
          <w:tcPr>
            <w:tcW w:w="360" w:type="dxa"/>
            <w:vAlign w:val="bottom"/>
            <w:gridSpan w:val="2"/>
          </w:tcPr>
          <w:p>
            <w:pPr>
              <w:ind w:left="40"/>
              <w:spacing w:after="0"/>
              <w:rPr>
                <w:sz w:val="20"/>
                <w:szCs w:val="20"/>
                <w:color w:val="auto"/>
              </w:rPr>
            </w:pPr>
            <w:r>
              <w:rPr>
                <w:rFonts w:ascii="Arial" w:cs="Arial" w:eastAsia="Arial" w:hAnsi="Arial"/>
                <w:sz w:val="18"/>
                <w:szCs w:val="18"/>
                <w:color w:val="0000FF"/>
                <w:w w:val="79"/>
              </w:rPr>
              <w:t>32.</w:t>
            </w:r>
            <w:r>
              <w:rPr>
                <w:rFonts w:ascii="Arial" w:cs="Arial" w:eastAsia="Arial" w:hAnsi="Arial"/>
                <w:sz w:val="18"/>
                <w:szCs w:val="18"/>
                <w:u w:val="single" w:color="auto"/>
                <w:color w:val="0000FF"/>
                <w:w w:val="79"/>
              </w:rPr>
              <w:t>1</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2"/>
              </w:rPr>
              <w:t>Certification of Chief Executive Officer and Chief Financial Officer pursuant to 18 U.S.C. 1350, as adopted pursuant to Section 906 of</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the Sarbanes-Oxley Act of 2002</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6"/>
              </w:rPr>
              <w:t>The following financial information from this Quarterly Report on Form 10-Q for the quarter ended March 31, 2019, formatted in</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3"/>
              </w:rPr>
              <w:t>XBRL (Extensible Business Reporting Language) and filed electronically herewith: (i) the Condensed Consolidated Balance Sheets</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3"/>
              </w:rPr>
              <w:t>(Unaudited); (ii) the Condensed Consolidated Statements of Comprehensive Income (Unaudited); (iii) the Condensed Consolidated</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1"/>
              </w:rPr>
              <w:t>Statements of Changes in Stockholders’ Equity (Unaudited); (iv) the Condensed Consolidated Statements of Cash Flows (Unaudited);</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and (v) the Notes to Condensed Consolidated Financial Statements (Unaudited), tagged as blocks of text.</w:t>
            </w:r>
          </w:p>
        </w:tc>
        <w:tc>
          <w:tcPr>
            <w:tcW w:w="0" w:type="dxa"/>
            <w:vAlign w:val="bottom"/>
          </w:tcPr>
          <w:p>
            <w:pPr>
              <w:spacing w:after="0"/>
              <w:rPr>
                <w:sz w:val="1"/>
                <w:szCs w:val="1"/>
                <w:color w:val="auto"/>
              </w:rPr>
            </w:pPr>
          </w:p>
        </w:tc>
      </w:tr>
      <w:tr>
        <w:trPr>
          <w:trHeight w:val="284"/>
        </w:trPr>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Management contract or compensatory plan or arrangement.</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1"/>
              </w:rPr>
              <w:t>Pursuant to applicable securities laws and regulations, this interactive data file is deemed not filed or part of a registration statement or</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0"/>
              </w:rPr>
              <w:t>prospectus for purposes of Sections 11 or 12 of the Securities Act of 1933, as amended, is deemed not filed for purposes of Section 18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of the Securities Exchange Act of 1934, as amended, and otherwise is not subject to liability under those sections.</w:t>
            </w:r>
          </w:p>
        </w:tc>
        <w:tc>
          <w:tcPr>
            <w:tcW w:w="0" w:type="dxa"/>
            <w:vAlign w:val="bottom"/>
          </w:tcPr>
          <w:p>
            <w:pPr>
              <w:spacing w:after="0"/>
              <w:rPr>
                <w:sz w:val="1"/>
                <w:szCs w:val="1"/>
                <w:color w:val="auto"/>
              </w:rPr>
            </w:pPr>
          </w:p>
        </w:tc>
      </w:tr>
      <w:tr>
        <w:trPr>
          <w:trHeight w:val="702"/>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0" w:type="dxa"/>
            <w:vAlign w:val="bottom"/>
            <w:gridSpan w:val="4"/>
          </w:tcPr>
          <w:p>
            <w:pPr>
              <w:jc w:val="right"/>
              <w:ind w:right="5548"/>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the date indicated.</w:t>
      </w:r>
    </w:p>
    <w:p>
      <w:pPr>
        <w:spacing w:after="0" w:line="329"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ESSENT GROUP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5440" w:val="left"/>
        </w:tabs>
        <w:rPr>
          <w:sz w:val="20"/>
          <w:szCs w:val="20"/>
          <w:color w:val="auto"/>
        </w:rPr>
      </w:pPr>
      <w:r>
        <w:rPr>
          <w:rFonts w:ascii="Arial" w:cs="Arial" w:eastAsia="Arial" w:hAnsi="Arial"/>
          <w:sz w:val="18"/>
          <w:szCs w:val="18"/>
          <w:color w:val="auto"/>
        </w:rPr>
        <w:t>Date: May 6, 2019</w:t>
      </w:r>
      <w:r>
        <w:rPr>
          <w:sz w:val="20"/>
          <w:szCs w:val="20"/>
          <w:color w:val="auto"/>
        </w:rPr>
        <w:tab/>
      </w:r>
      <w:r>
        <w:rPr>
          <w:rFonts w:ascii="Arial" w:cs="Arial" w:eastAsia="Arial" w:hAnsi="Arial"/>
          <w:sz w:val="17"/>
          <w:szCs w:val="17"/>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30359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President, Chief Executive Officer and Chairman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89" w:lineRule="exact"/>
        <w:rPr>
          <w:sz w:val="20"/>
          <w:szCs w:val="20"/>
          <w:color w:val="auto"/>
        </w:rPr>
      </w:pPr>
    </w:p>
    <w:p>
      <w:pPr>
        <w:ind w:left="40"/>
        <w:spacing w:after="0"/>
        <w:tabs>
          <w:tab w:leader="none" w:pos="5440" w:val="left"/>
        </w:tabs>
        <w:rPr>
          <w:sz w:val="20"/>
          <w:szCs w:val="20"/>
          <w:color w:val="auto"/>
        </w:rPr>
      </w:pPr>
      <w:r>
        <w:rPr>
          <w:rFonts w:ascii="Arial" w:cs="Arial" w:eastAsia="Arial" w:hAnsi="Arial"/>
          <w:sz w:val="18"/>
          <w:szCs w:val="18"/>
          <w:color w:val="auto"/>
        </w:rPr>
        <w:t>Date: May 6, 2019</w:t>
      </w:r>
      <w:r>
        <w:rPr>
          <w:sz w:val="20"/>
          <w:szCs w:val="20"/>
          <w:color w:val="auto"/>
        </w:rPr>
        <w:tab/>
      </w:r>
      <w:r>
        <w:rPr>
          <w:rFonts w:ascii="Arial" w:cs="Arial" w:eastAsia="Arial" w:hAnsi="Arial"/>
          <w:sz w:val="17"/>
          <w:szCs w:val="17"/>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30359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389" w:lineRule="exact"/>
        <w:rPr>
          <w:sz w:val="20"/>
          <w:szCs w:val="20"/>
          <w:color w:val="auto"/>
        </w:rPr>
      </w:pPr>
    </w:p>
    <w:p>
      <w:pPr>
        <w:ind w:left="40"/>
        <w:spacing w:after="0"/>
        <w:tabs>
          <w:tab w:leader="none" w:pos="5440" w:val="left"/>
        </w:tabs>
        <w:rPr>
          <w:sz w:val="20"/>
          <w:szCs w:val="20"/>
          <w:color w:val="auto"/>
        </w:rPr>
      </w:pPr>
      <w:r>
        <w:rPr>
          <w:rFonts w:ascii="Arial" w:cs="Arial" w:eastAsia="Arial" w:hAnsi="Arial"/>
          <w:sz w:val="18"/>
          <w:szCs w:val="18"/>
          <w:color w:val="auto"/>
        </w:rPr>
        <w:t>Date: May 6, 2019</w:t>
      </w:r>
      <w:r>
        <w:rPr>
          <w:sz w:val="20"/>
          <w:szCs w:val="20"/>
          <w:color w:val="auto"/>
        </w:rPr>
        <w:tab/>
      </w:r>
      <w:r>
        <w:rPr>
          <w:rFonts w:ascii="Arial" w:cs="Arial" w:eastAsia="Arial" w:hAnsi="Arial"/>
          <w:sz w:val="17"/>
          <w:szCs w:val="17"/>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30359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David B. Weinstock</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Vice President and Chief Accounting Officer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125" w:right="4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i w:val="1"/>
          <w:iCs w:val="1"/>
          <w:color w:val="auto"/>
        </w:rPr>
        <w:t>Exhibit 10.1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RESTRICTED STOCK AGREEMENT</w:t>
      </w:r>
    </w:p>
    <w:p>
      <w:pPr>
        <w:spacing w:after="0" w:line="2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Pursuant to the Notice of Grant of Stock (the “</w:t>
      </w:r>
      <w:r>
        <w:rPr>
          <w:rFonts w:ascii="Arial" w:cs="Arial" w:eastAsia="Arial" w:hAnsi="Arial"/>
          <w:sz w:val="19"/>
          <w:szCs w:val="19"/>
          <w:u w:val="single" w:color="auto"/>
          <w:color w:val="auto"/>
        </w:rPr>
        <w:t>Grant Notice</w:t>
      </w:r>
      <w:r>
        <w:rPr>
          <w:rFonts w:ascii="Arial" w:cs="Arial" w:eastAsia="Arial" w:hAnsi="Arial"/>
          <w:sz w:val="19"/>
          <w:szCs w:val="19"/>
          <w:color w:val="auto"/>
        </w:rPr>
        <w:t>”) attached to this Restricted Stock Agreement (the “Agreement”), Essent Group Ltd. (the “</w:t>
      </w:r>
      <w:r>
        <w:rPr>
          <w:rFonts w:ascii="Arial" w:cs="Arial" w:eastAsia="Arial" w:hAnsi="Arial"/>
          <w:sz w:val="19"/>
          <w:szCs w:val="19"/>
          <w:u w:val="single" w:color="auto"/>
          <w:color w:val="auto"/>
        </w:rPr>
        <w:t>Company</w:t>
      </w:r>
      <w:r>
        <w:rPr>
          <w:rFonts w:ascii="Arial" w:cs="Arial" w:eastAsia="Arial" w:hAnsi="Arial"/>
          <w:sz w:val="19"/>
          <w:szCs w:val="19"/>
          <w:color w:val="auto"/>
        </w:rPr>
        <w:t>”) has granted to the holder named in the row entitled “Participant Name” in the Grant Notice (the “</w:t>
      </w:r>
      <w:r>
        <w:rPr>
          <w:rFonts w:ascii="Arial" w:cs="Arial" w:eastAsia="Arial" w:hAnsi="Arial"/>
          <w:sz w:val="19"/>
          <w:szCs w:val="19"/>
          <w:u w:val="single" w:color="auto"/>
          <w:color w:val="auto"/>
        </w:rPr>
        <w:t>Participant</w:t>
      </w:r>
      <w:r>
        <w:rPr>
          <w:rFonts w:ascii="Arial" w:cs="Arial" w:eastAsia="Arial" w:hAnsi="Arial"/>
          <w:sz w:val="19"/>
          <w:szCs w:val="19"/>
          <w:color w:val="auto"/>
        </w:rPr>
        <w:t>”) the number of shares of Stock (as defined below) set forth in the row entitled “Share Amount” in the Grant Notice (the “</w:t>
      </w:r>
      <w:r>
        <w:rPr>
          <w:rFonts w:ascii="Arial" w:cs="Arial" w:eastAsia="Arial" w:hAnsi="Arial"/>
          <w:sz w:val="19"/>
          <w:szCs w:val="19"/>
          <w:u w:val="single" w:color="auto"/>
          <w:color w:val="auto"/>
        </w:rPr>
        <w:t>Shares</w:t>
      </w:r>
      <w:r>
        <w:rPr>
          <w:rFonts w:ascii="Arial" w:cs="Arial" w:eastAsia="Arial" w:hAnsi="Arial"/>
          <w:sz w:val="19"/>
          <w:szCs w:val="19"/>
          <w:color w:val="auto"/>
        </w:rPr>
        <w:t>”) pursuant to the Company’s 2013 Long-Term Incentive Plan, as amended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w:t>
      </w:r>
    </w:p>
    <w:p>
      <w:pPr>
        <w:spacing w:after="0" w:line="198"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ARTICLE I.</w:t>
      </w:r>
    </w:p>
    <w:p>
      <w:pPr>
        <w:spacing w:after="0" w:line="202" w:lineRule="exact"/>
        <w:rPr>
          <w:sz w:val="20"/>
          <w:szCs w:val="20"/>
          <w:color w:val="auto"/>
        </w:rPr>
      </w:pPr>
    </w:p>
    <w:p>
      <w:pPr>
        <w:ind w:left="5220"/>
        <w:spacing w:after="0"/>
        <w:rPr>
          <w:sz w:val="20"/>
          <w:szCs w:val="20"/>
          <w:color w:val="auto"/>
        </w:rPr>
      </w:pPr>
      <w:r>
        <w:rPr>
          <w:rFonts w:ascii="Arial" w:cs="Arial" w:eastAsia="Arial" w:hAnsi="Arial"/>
          <w:sz w:val="20"/>
          <w:szCs w:val="20"/>
          <w:b w:val="1"/>
          <w:bCs w:val="1"/>
          <w:color w:val="auto"/>
        </w:rPr>
        <w:t>GENERAL</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Defined Terms</w:t>
      </w:r>
      <w:r>
        <w:rPr>
          <w:rFonts w:ascii="Arial" w:cs="Arial" w:eastAsia="Arial" w:hAnsi="Arial"/>
          <w:sz w:val="20"/>
          <w:szCs w:val="20"/>
          <w:color w:val="auto"/>
        </w:rPr>
        <w:t>. Capitalized terms not specifically defined herein shall have the meanings specified in Exhibit A to this Agreement, the Plan or the Grant Notice.</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Incorporation of Terms of Plan</w:t>
      </w:r>
      <w:r>
        <w:rPr>
          <w:rFonts w:ascii="Arial" w:cs="Arial" w:eastAsia="Arial" w:hAnsi="Arial"/>
          <w:sz w:val="20"/>
          <w:szCs w:val="20"/>
          <w:color w:val="auto"/>
        </w:rPr>
        <w:t>. The Shares issued to Participant hereunder are subject to the terms and conditions set forth in this Agreement and the Plan, which is incorporated herein by reference. In the event of any inconsistency between the Plan and this Agreement or the Grant Notice, the terms of the Plan shall control.</w:t>
      </w:r>
    </w:p>
    <w:p>
      <w:pPr>
        <w:spacing w:after="0" w:line="180" w:lineRule="exact"/>
        <w:rPr>
          <w:sz w:val="20"/>
          <w:szCs w:val="20"/>
          <w:color w:val="auto"/>
        </w:rPr>
      </w:pPr>
    </w:p>
    <w:p>
      <w:pPr>
        <w:jc w:val="center"/>
        <w:ind w:right="180"/>
        <w:spacing w:after="0"/>
        <w:rPr>
          <w:sz w:val="20"/>
          <w:szCs w:val="20"/>
          <w:color w:val="auto"/>
        </w:rPr>
      </w:pPr>
      <w:r>
        <w:rPr>
          <w:rFonts w:ascii="Arial" w:cs="Arial" w:eastAsia="Arial" w:hAnsi="Arial"/>
          <w:sz w:val="20"/>
          <w:szCs w:val="20"/>
          <w:b w:val="1"/>
          <w:bCs w:val="1"/>
          <w:color w:val="auto"/>
        </w:rPr>
        <w:t>ARTICLE 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ISSUANCE OF SHARES</w:t>
      </w:r>
    </w:p>
    <w:p>
      <w:pPr>
        <w:spacing w:after="0" w:line="19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Issuance of Shares</w:t>
      </w:r>
      <w:r>
        <w:rPr>
          <w:rFonts w:ascii="Arial" w:cs="Arial" w:eastAsia="Arial" w:hAnsi="Arial"/>
          <w:sz w:val="20"/>
          <w:szCs w:val="20"/>
          <w:color w:val="auto"/>
        </w:rPr>
        <w:t>. In consideration of Participant’s past and/or continued employment with or service to the Company or one of its Affiliates and for other good and valuable consideration, effective as of the date set forth in the Grant Notice in the row entitled “Grant/Award Date” (the “</w:t>
      </w:r>
      <w:r>
        <w:rPr>
          <w:rFonts w:ascii="Arial" w:cs="Arial" w:eastAsia="Arial" w:hAnsi="Arial"/>
          <w:sz w:val="20"/>
          <w:szCs w:val="20"/>
          <w:u w:val="single" w:color="auto"/>
          <w:color w:val="auto"/>
        </w:rPr>
        <w:t>Grant Date</w:t>
      </w:r>
      <w:r>
        <w:rPr>
          <w:rFonts w:ascii="Arial" w:cs="Arial" w:eastAsia="Arial" w:hAnsi="Arial"/>
          <w:sz w:val="20"/>
          <w:szCs w:val="20"/>
          <w:color w:val="auto"/>
        </w:rPr>
        <w:t>”), the Company has granted to Participant the number of Shares set forth in the Grant Notice, upon the terms and conditions set forth in the Grant Notice, the Plan and this Agreement.</w:t>
      </w:r>
    </w:p>
    <w:p>
      <w:pPr>
        <w:spacing w:after="0" w:line="19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Issuance Mechanics</w:t>
      </w:r>
      <w:r>
        <w:rPr>
          <w:rFonts w:ascii="Arial" w:cs="Arial" w:eastAsia="Arial" w:hAnsi="Arial"/>
          <w:sz w:val="18"/>
          <w:szCs w:val="18"/>
          <w:color w:val="auto"/>
        </w:rPr>
        <w:t>. As of the Grant Date, the Company shall issue the Shares in the form of the Company’s common shares, par value $0.015 per share (“</w:t>
      </w:r>
      <w:r>
        <w:rPr>
          <w:rFonts w:ascii="Arial" w:cs="Arial" w:eastAsia="Arial" w:hAnsi="Arial"/>
          <w:sz w:val="18"/>
          <w:szCs w:val="18"/>
          <w:u w:val="single" w:color="auto"/>
          <w:color w:val="auto"/>
        </w:rPr>
        <w:t>Stock</w:t>
      </w:r>
      <w:r>
        <w:rPr>
          <w:rFonts w:ascii="Arial" w:cs="Arial" w:eastAsia="Arial" w:hAnsi="Arial"/>
          <w:sz w:val="18"/>
          <w:szCs w:val="18"/>
          <w:color w:val="auto"/>
        </w:rPr>
        <w:t>”), to Participant and shall (a) cause a stock certificate or certificates representing such shares of Stock to be registered in the name of Participant, or (b) cause such shares of Stock to be held in book-entry form. If a stock certificate is issued, it shall be delivered to and held in custody by the Company and shall bear the restrictive legends required by Section 5.1. If the shares of Stock are held in book-entry form, then such entry will reflect that the shares are subject to the restrictions of this Agreement.</w:t>
      </w:r>
    </w:p>
    <w:p>
      <w:pPr>
        <w:spacing w:after="0" w:line="159" w:lineRule="exact"/>
        <w:rPr>
          <w:sz w:val="20"/>
          <w:szCs w:val="20"/>
          <w:color w:val="auto"/>
        </w:rPr>
      </w:pPr>
    </w:p>
    <w:p>
      <w:pPr>
        <w:ind w:left="5020"/>
        <w:spacing w:after="0"/>
        <w:rPr>
          <w:sz w:val="20"/>
          <w:szCs w:val="20"/>
          <w:color w:val="auto"/>
        </w:rPr>
      </w:pPr>
      <w:r>
        <w:rPr>
          <w:rFonts w:ascii="Arial" w:cs="Arial" w:eastAsia="Arial" w:hAnsi="Arial"/>
          <w:sz w:val="20"/>
          <w:szCs w:val="20"/>
          <w:b w:val="1"/>
          <w:bCs w:val="1"/>
          <w:color w:val="auto"/>
        </w:rPr>
        <w:t>ARTICLE III.</w:t>
      </w:r>
    </w:p>
    <w:p>
      <w:pPr>
        <w:spacing w:after="0" w:line="189" w:lineRule="exact"/>
        <w:rPr>
          <w:sz w:val="20"/>
          <w:szCs w:val="20"/>
          <w:color w:val="auto"/>
        </w:rPr>
      </w:pPr>
    </w:p>
    <w:p>
      <w:pPr>
        <w:ind w:left="3500"/>
        <w:spacing w:after="0"/>
        <w:rPr>
          <w:sz w:val="20"/>
          <w:szCs w:val="20"/>
          <w:color w:val="auto"/>
        </w:rPr>
      </w:pPr>
      <w:r>
        <w:rPr>
          <w:rFonts w:ascii="Arial" w:cs="Arial" w:eastAsia="Arial" w:hAnsi="Arial"/>
          <w:sz w:val="20"/>
          <w:szCs w:val="20"/>
          <w:b w:val="1"/>
          <w:bCs w:val="1"/>
          <w:color w:val="auto"/>
        </w:rPr>
        <w:t>FORFEITURE AND TRANSFER RESTRICTIONS</w:t>
      </w:r>
    </w:p>
    <w:p>
      <w:pPr>
        <w:spacing w:after="0" w:line="22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Forfeiture Restriction</w:t>
      </w:r>
      <w:r>
        <w:rPr>
          <w:rFonts w:ascii="Arial" w:cs="Arial" w:eastAsia="Arial" w:hAnsi="Arial"/>
          <w:sz w:val="18"/>
          <w:szCs w:val="18"/>
          <w:color w:val="auto"/>
        </w:rPr>
        <w:t>. Subject to the provisions of Section 3.2 below, in the event of Participant’s Termination for any reason, including as a result of Participant’s death or Disability, all of the Unreleased Shares (as defined in Section 3.2(d) below) shall thereupon be forfeited immediately for no consideration and without any further action by the Company (the “</w:t>
      </w:r>
      <w:r>
        <w:rPr>
          <w:rFonts w:ascii="Arial" w:cs="Arial" w:eastAsia="Arial" w:hAnsi="Arial"/>
          <w:sz w:val="18"/>
          <w:szCs w:val="18"/>
          <w:u w:val="single" w:color="auto"/>
          <w:color w:val="auto"/>
        </w:rPr>
        <w:t>Forfeiture Restriction</w:t>
      </w:r>
      <w:r>
        <w:rPr>
          <w:rFonts w:ascii="Arial" w:cs="Arial" w:eastAsia="Arial" w:hAnsi="Arial"/>
          <w:sz w:val="18"/>
          <w:szCs w:val="18"/>
          <w:color w:val="auto"/>
        </w:rPr>
        <w:t>”), except as otherwise provided in a written agreement between Participant and the Company. Upon the occurrence of such forfeiture, the Company shall become the legal and beneficial owner of the Unreleased Shares and all rights and interests therein or relating thereto, and the Company shall have the right to retain and transfer to its own name the number of Unreleased Shares being forfeited by Participant. The Unreleased Shares shall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341" w:right="239" w:bottom="1440" w:gutter="0" w:footer="0" w:header="0"/>
        </w:sectPr>
      </w:pPr>
    </w:p>
    <w:bookmarkStart w:id="51" w:name="page52"/>
    <w:bookmarkEnd w:id="51"/>
    <w:p>
      <w:pPr>
        <w:jc w:val="both"/>
        <w:spacing w:after="0" w:line="246" w:lineRule="auto"/>
        <w:rPr>
          <w:sz w:val="20"/>
          <w:szCs w:val="20"/>
          <w:color w:val="auto"/>
        </w:rPr>
      </w:pPr>
      <w:r>
        <w:rPr>
          <w:rFonts w:ascii="Arial" w:cs="Arial" w:eastAsia="Arial" w:hAnsi="Arial"/>
          <w:sz w:val="20"/>
          <w:szCs w:val="20"/>
          <w:color w:val="auto"/>
        </w:rPr>
        <w:t>be held by the Company in accordance with Section 3.3 until the Shares are forfeited as provided in this Section 3.1, until such Unreleased Shares are fully released from the Forfeiture Restriction as provided in Section 3.2 or until such time as this Agreement is no longer in effect. Participant hereby authorizes and directs the Company (or such person designated by the Committee), to transfer any Unreleased Shares that are forfeited pursuant to this Section 3.1 from Participant to the Company.</w:t>
      </w:r>
    </w:p>
    <w:p>
      <w:pPr>
        <w:spacing w:after="0" w:line="19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6"/>
          <w:szCs w:val="16"/>
          <w:u w:val="single" w:color="auto"/>
          <w:color w:val="auto"/>
        </w:rPr>
        <w:t>Release of Shares from Forfeiture Restriction</w:t>
      </w:r>
      <w:r>
        <w:rPr>
          <w:rFonts w:ascii="Arial" w:cs="Arial" w:eastAsia="Arial" w:hAnsi="Arial"/>
          <w:sz w:val="16"/>
          <w:szCs w:val="16"/>
          <w:color w:val="auto"/>
        </w:rPr>
        <w:t>.</w:t>
      </w:r>
    </w:p>
    <w:p>
      <w:pPr>
        <w:spacing w:after="0" w:line="216" w:lineRule="exact"/>
        <w:rPr>
          <w:sz w:val="20"/>
          <w:szCs w:val="20"/>
          <w:color w:val="auto"/>
        </w:rPr>
      </w:pPr>
    </w:p>
    <w:p>
      <w:pPr>
        <w:jc w:val="both"/>
        <w:ind w:firstLine="1305"/>
        <w:spacing w:after="0" w:line="243" w:lineRule="auto"/>
        <w:tabs>
          <w:tab w:leader="none" w:pos="1878" w:val="left"/>
        </w:tabs>
        <w:numPr>
          <w:ilvl w:val="0"/>
          <w:numId w:val="19"/>
        </w:numPr>
        <w:rPr>
          <w:rFonts w:ascii="Arial" w:cs="Arial" w:eastAsia="Arial" w:hAnsi="Arial"/>
          <w:sz w:val="20"/>
          <w:szCs w:val="20"/>
          <w:b w:val="1"/>
          <w:bCs w:val="1"/>
          <w:color w:val="auto"/>
        </w:rPr>
      </w:pPr>
      <w:r>
        <w:rPr>
          <w:rFonts w:ascii="Arial" w:cs="Arial" w:eastAsia="Arial" w:hAnsi="Arial"/>
          <w:sz w:val="20"/>
          <w:szCs w:val="20"/>
          <w:color w:val="auto"/>
        </w:rPr>
        <w:t>Following the completion of the Performance Period, the Committee shall determine the Company’s BVPS Growth Percentage and will certify the level of achievement with respect to the BVPS Vesting Percentage and the portion of Shares granted herein that have become Earned Shares. Following the Committee’s determination, Participant shall immediately forfeit for no consideration any and all Shares which do not become Earned Shares, and Participant’s rights in any such Shares which do not become Earned Shares shall immediately lapse and expire. Each Earned Share shall be fully vested on the date set forth in the Grant Notice under the heading “Vesting Schedule” (the “</w:t>
      </w:r>
      <w:r>
        <w:rPr>
          <w:rFonts w:ascii="Arial" w:cs="Arial" w:eastAsia="Arial" w:hAnsi="Arial"/>
          <w:sz w:val="20"/>
          <w:szCs w:val="20"/>
          <w:u w:val="single" w:color="auto"/>
          <w:color w:val="auto"/>
        </w:rPr>
        <w:t>Vesting Date</w:t>
      </w:r>
      <w:r>
        <w:rPr>
          <w:rFonts w:ascii="Arial" w:cs="Arial" w:eastAsia="Arial" w:hAnsi="Arial"/>
          <w:sz w:val="20"/>
          <w:szCs w:val="20"/>
          <w:color w:val="auto"/>
        </w:rPr>
        <w:t>”).</w:t>
      </w:r>
    </w:p>
    <w:p>
      <w:pPr>
        <w:spacing w:after="0" w:line="196" w:lineRule="exact"/>
        <w:rPr>
          <w:rFonts w:ascii="Arial" w:cs="Arial" w:eastAsia="Arial" w:hAnsi="Arial"/>
          <w:sz w:val="20"/>
          <w:szCs w:val="20"/>
          <w:b w:val="1"/>
          <w:bCs w:val="1"/>
          <w:color w:val="auto"/>
        </w:rPr>
      </w:pPr>
    </w:p>
    <w:p>
      <w:pPr>
        <w:ind w:left="1720" w:hanging="415"/>
        <w:spacing w:after="0"/>
        <w:tabs>
          <w:tab w:leader="none" w:pos="1720" w:val="left"/>
        </w:tabs>
        <w:numPr>
          <w:ilvl w:val="0"/>
          <w:numId w:val="19"/>
        </w:numPr>
        <w:rPr>
          <w:rFonts w:ascii="Arial" w:cs="Arial" w:eastAsia="Arial" w:hAnsi="Arial"/>
          <w:sz w:val="20"/>
          <w:szCs w:val="20"/>
          <w:b w:val="1"/>
          <w:bCs w:val="1"/>
          <w:color w:val="auto"/>
        </w:rPr>
      </w:pPr>
      <w:r>
        <w:rPr>
          <w:rFonts w:ascii="Arial" w:cs="Arial" w:eastAsia="Arial" w:hAnsi="Arial"/>
          <w:sz w:val="20"/>
          <w:szCs w:val="20"/>
          <w:color w:val="auto"/>
        </w:rPr>
        <w:t>Notwithstanding the foregoing, if a Change in Control occurs:</w:t>
      </w:r>
    </w:p>
    <w:p>
      <w:pPr>
        <w:spacing w:after="0" w:line="215" w:lineRule="exact"/>
        <w:rPr>
          <w:rFonts w:ascii="Arial" w:cs="Arial" w:eastAsia="Arial" w:hAnsi="Arial"/>
          <w:sz w:val="20"/>
          <w:szCs w:val="20"/>
          <w:b w:val="1"/>
          <w:bCs w:val="1"/>
          <w:color w:val="auto"/>
        </w:rPr>
      </w:pPr>
    </w:p>
    <w:p>
      <w:pPr>
        <w:ind w:right="20" w:firstLine="1629"/>
        <w:spacing w:after="0" w:line="260" w:lineRule="auto"/>
        <w:tabs>
          <w:tab w:leader="none" w:pos="2014" w:val="left"/>
        </w:tabs>
        <w:numPr>
          <w:ilvl w:val="1"/>
          <w:numId w:val="19"/>
        </w:numPr>
        <w:rPr>
          <w:rFonts w:ascii="Arial" w:cs="Arial" w:eastAsia="Arial" w:hAnsi="Arial"/>
          <w:sz w:val="20"/>
          <w:szCs w:val="20"/>
          <w:color w:val="auto"/>
        </w:rPr>
      </w:pPr>
      <w:r>
        <w:rPr>
          <w:rFonts w:ascii="Arial" w:cs="Arial" w:eastAsia="Arial" w:hAnsi="Arial"/>
          <w:sz w:val="20"/>
          <w:szCs w:val="20"/>
          <w:color w:val="auto"/>
        </w:rPr>
        <w:t>on or following the completion of the Performance Period but prior to the Vesting Date, one hundred percent (100%) of the then-unvested Earned Shares shall fully vest upon the consummation of such Change in Control; or</w:t>
      </w:r>
    </w:p>
    <w:p>
      <w:pPr>
        <w:spacing w:after="0" w:line="176" w:lineRule="exact"/>
        <w:rPr>
          <w:rFonts w:ascii="Arial" w:cs="Arial" w:eastAsia="Arial" w:hAnsi="Arial"/>
          <w:sz w:val="20"/>
          <w:szCs w:val="20"/>
          <w:color w:val="auto"/>
        </w:rPr>
      </w:pPr>
    </w:p>
    <w:p>
      <w:pPr>
        <w:ind w:left="2060" w:hanging="431"/>
        <w:spacing w:after="0"/>
        <w:tabs>
          <w:tab w:leader="none" w:pos="2060" w:val="left"/>
        </w:tabs>
        <w:numPr>
          <w:ilvl w:val="1"/>
          <w:numId w:val="19"/>
        </w:numPr>
        <w:rPr>
          <w:rFonts w:ascii="Arial" w:cs="Arial" w:eastAsia="Arial" w:hAnsi="Arial"/>
          <w:sz w:val="20"/>
          <w:szCs w:val="20"/>
          <w:color w:val="auto"/>
        </w:rPr>
      </w:pPr>
      <w:r>
        <w:rPr>
          <w:rFonts w:ascii="Arial" w:cs="Arial" w:eastAsia="Arial" w:hAnsi="Arial"/>
          <w:sz w:val="20"/>
          <w:szCs w:val="20"/>
          <w:color w:val="auto"/>
        </w:rPr>
        <w:t>prior to the expiration of the Performance Period:</w:t>
      </w:r>
    </w:p>
    <w:p>
      <w:pPr>
        <w:spacing w:after="0" w:line="215" w:lineRule="exact"/>
        <w:rPr>
          <w:rFonts w:ascii="Arial" w:cs="Arial" w:eastAsia="Arial" w:hAnsi="Arial"/>
          <w:sz w:val="20"/>
          <w:szCs w:val="20"/>
          <w:color w:val="auto"/>
        </w:rPr>
      </w:pPr>
    </w:p>
    <w:p>
      <w:pPr>
        <w:jc w:val="both"/>
        <w:ind w:firstLine="1953"/>
        <w:spacing w:after="0" w:line="250" w:lineRule="auto"/>
        <w:tabs>
          <w:tab w:leader="none" w:pos="2427" w:val="left"/>
        </w:tabs>
        <w:numPr>
          <w:ilvl w:val="2"/>
          <w:numId w:val="19"/>
        </w:numPr>
        <w:rPr>
          <w:rFonts w:ascii="Arial" w:cs="Arial" w:eastAsia="Arial" w:hAnsi="Arial"/>
          <w:sz w:val="20"/>
          <w:szCs w:val="20"/>
          <w:color w:val="auto"/>
        </w:rPr>
      </w:pPr>
      <w:r>
        <w:rPr>
          <w:rFonts w:ascii="Arial" w:cs="Arial" w:eastAsia="Arial" w:hAnsi="Arial"/>
          <w:sz w:val="20"/>
          <w:szCs w:val="20"/>
          <w:color w:val="auto"/>
        </w:rPr>
        <w:t>the number of Shares which become Earned Shares upon the consummation of such Change in Control shall be the number of Shares that would have become Earned Shares at the “Target” level BVPS Growth Percentage as set forth in the definition of “BVPS Vesting Percentage” in Exhibit A hereto; and</w:t>
      </w:r>
    </w:p>
    <w:p>
      <w:pPr>
        <w:spacing w:after="0" w:line="186" w:lineRule="exact"/>
        <w:rPr>
          <w:rFonts w:ascii="Arial" w:cs="Arial" w:eastAsia="Arial" w:hAnsi="Arial"/>
          <w:sz w:val="20"/>
          <w:szCs w:val="20"/>
          <w:color w:val="auto"/>
        </w:rPr>
      </w:pPr>
    </w:p>
    <w:p>
      <w:pPr>
        <w:ind w:firstLine="1953"/>
        <w:spacing w:after="0" w:line="260" w:lineRule="auto"/>
        <w:tabs>
          <w:tab w:leader="none" w:pos="2443" w:val="left"/>
        </w:tabs>
        <w:numPr>
          <w:ilvl w:val="2"/>
          <w:numId w:val="19"/>
        </w:numPr>
        <w:rPr>
          <w:rFonts w:ascii="Arial" w:cs="Arial" w:eastAsia="Arial" w:hAnsi="Arial"/>
          <w:sz w:val="20"/>
          <w:szCs w:val="20"/>
          <w:color w:val="auto"/>
        </w:rPr>
      </w:pPr>
      <w:r>
        <w:rPr>
          <w:rFonts w:ascii="Arial" w:cs="Arial" w:eastAsia="Arial" w:hAnsi="Arial"/>
          <w:sz w:val="20"/>
          <w:szCs w:val="20"/>
          <w:color w:val="auto"/>
        </w:rPr>
        <w:t>the treatment of the Earned Shares determined pursuant to Section 3.2(b)(ii)(A) above will be dependent upon whether the acquiring or surviving company (the “</w:t>
      </w:r>
      <w:r>
        <w:rPr>
          <w:rFonts w:ascii="Arial" w:cs="Arial" w:eastAsia="Arial" w:hAnsi="Arial"/>
          <w:sz w:val="20"/>
          <w:szCs w:val="20"/>
          <w:u w:val="single" w:color="auto"/>
          <w:color w:val="auto"/>
        </w:rPr>
        <w:t>Acquirer</w:t>
      </w:r>
      <w:r>
        <w:rPr>
          <w:rFonts w:ascii="Arial" w:cs="Arial" w:eastAsia="Arial" w:hAnsi="Arial"/>
          <w:sz w:val="20"/>
          <w:szCs w:val="20"/>
          <w:color w:val="auto"/>
        </w:rPr>
        <w:t>”) assumes the outstanding equity awards as follows:</w:t>
      </w:r>
    </w:p>
    <w:p>
      <w:pPr>
        <w:spacing w:after="0" w:line="176" w:lineRule="exact"/>
        <w:rPr>
          <w:rFonts w:ascii="Arial" w:cs="Arial" w:eastAsia="Arial" w:hAnsi="Arial"/>
          <w:sz w:val="20"/>
          <w:szCs w:val="20"/>
          <w:color w:val="auto"/>
        </w:rPr>
      </w:pPr>
    </w:p>
    <w:p>
      <w:pPr>
        <w:ind w:right="300" w:firstLine="2601"/>
        <w:spacing w:after="0" w:line="250" w:lineRule="auto"/>
        <w:tabs>
          <w:tab w:leader="none" w:pos="2960" w:val="left"/>
        </w:tabs>
        <w:numPr>
          <w:ilvl w:val="3"/>
          <w:numId w:val="19"/>
        </w:numPr>
        <w:rPr>
          <w:rFonts w:ascii="Arial" w:cs="Arial" w:eastAsia="Arial" w:hAnsi="Arial"/>
          <w:sz w:val="20"/>
          <w:szCs w:val="20"/>
          <w:color w:val="auto"/>
        </w:rPr>
      </w:pPr>
      <w:r>
        <w:rPr>
          <w:rFonts w:ascii="Arial" w:cs="Arial" w:eastAsia="Arial" w:hAnsi="Arial"/>
          <w:sz w:val="20"/>
          <w:szCs w:val="20"/>
          <w:color w:val="auto"/>
        </w:rPr>
        <w:t>if the Acquirer does not assume the Shares on or before the date of such Change in Control, the Earned Shares shall become fully vested on such date and shall be treated in the same manner as Stock held by shareholders of the Company in connection with such Change in Control; or</w:t>
      </w:r>
    </w:p>
    <w:p>
      <w:pPr>
        <w:spacing w:after="0" w:line="186" w:lineRule="exact"/>
        <w:rPr>
          <w:rFonts w:ascii="Arial" w:cs="Arial" w:eastAsia="Arial" w:hAnsi="Arial"/>
          <w:sz w:val="20"/>
          <w:szCs w:val="20"/>
          <w:color w:val="auto"/>
        </w:rPr>
      </w:pPr>
    </w:p>
    <w:p>
      <w:pPr>
        <w:ind w:right="20" w:firstLine="2601"/>
        <w:spacing w:after="0" w:line="272" w:lineRule="auto"/>
        <w:tabs>
          <w:tab w:leader="none" w:pos="3015" w:val="left"/>
        </w:tabs>
        <w:numPr>
          <w:ilvl w:val="3"/>
          <w:numId w:val="19"/>
        </w:numPr>
        <w:rPr>
          <w:rFonts w:ascii="Arial" w:cs="Arial" w:eastAsia="Arial" w:hAnsi="Arial"/>
          <w:sz w:val="18"/>
          <w:szCs w:val="18"/>
          <w:color w:val="auto"/>
        </w:rPr>
      </w:pPr>
      <w:r>
        <w:rPr>
          <w:rFonts w:ascii="Arial" w:cs="Arial" w:eastAsia="Arial" w:hAnsi="Arial"/>
          <w:sz w:val="18"/>
          <w:szCs w:val="18"/>
          <w:color w:val="auto"/>
        </w:rPr>
        <w:t>if the Acquirer assumes the Shares, provided that Participant remains employed by the Service Recipient pursuant to terms and conditions substantially similar to those set forth in the Participant’s Employment Agreement with the Service Recipient, dated September 30, 2013, as such agreement may be amended, restated or otherwise modified from time to time (the “</w:t>
      </w:r>
      <w:r>
        <w:rPr>
          <w:rFonts w:ascii="Arial" w:cs="Arial" w:eastAsia="Arial" w:hAnsi="Arial"/>
          <w:sz w:val="18"/>
          <w:szCs w:val="18"/>
          <w:u w:val="single" w:color="auto"/>
          <w:color w:val="auto"/>
        </w:rPr>
        <w:t>Employment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the Acquirer or any of their respective Affiliate(s), as the case may be, upon and after the consummation of such Change in Control, the Earned Shares shall be converted into a number of time-based restricted shares of the Acquirer’s common stock (or, if the Acquirer is a subsidiary of another company, time-based restricted shares of the Acquirer’s ultimate parent entity) that have in the aggregate a fair market value equal to the fair market value of such Earned Shares as of the consummation of such Change in Control, and that shall fully vest on the earlier of (A) December 31, 2021, or (B) a Termination of Participant’s employment with the Service Provider, the Acquirer and/or their respective Affiliate(s) upon or after such Change in Control as a result of Participant’s death or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366" w:right="239" w:bottom="1440" w:gutter="0" w:footer="0" w:header="0"/>
        </w:sectPr>
      </w:pPr>
    </w:p>
    <w:bookmarkStart w:id="52" w:name="page53"/>
    <w:bookmarkEnd w:id="52"/>
    <w:p>
      <w:pPr>
        <w:ind w:right="300"/>
        <w:spacing w:after="0" w:line="273" w:lineRule="auto"/>
        <w:rPr>
          <w:sz w:val="20"/>
          <w:szCs w:val="20"/>
          <w:color w:val="auto"/>
        </w:rPr>
      </w:pPr>
      <w:r>
        <w:rPr>
          <w:rFonts w:ascii="Arial" w:cs="Arial" w:eastAsia="Arial" w:hAnsi="Arial"/>
          <w:sz w:val="18"/>
          <w:szCs w:val="18"/>
          <w:color w:val="auto"/>
        </w:rPr>
        <w:t xml:space="preserve">Disability (as such term is defined in and subject to the applicable provisions set forth in the Employment Agreement), a Termination by the Company without Cause (as such term is defined in and subject to the applicable provisions set forth in the Employment Agreement), or a Termination by Participant for Good Reason (as such term is defined in and subject to the applicable provisions set forth in the Employment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the foregoing, in no event shall any Earned Shares be exchanged for or converted into shares of a class or series that is not publicly traded and marketable as of the date of such Change in Control without the prior consent of Participant in his or her sole discretion, and in the event that Participant does not so consent then such Earned Shares shall be deemed to be fully vested as of such Change in Control in accordance with Section 3.2(b)(ii)(A) and shall be treated in the same manner as Stock held by shareholders of the Company in connection with such Change in Control; and</w:t>
      </w:r>
    </w:p>
    <w:p>
      <w:pPr>
        <w:spacing w:after="0" w:line="169" w:lineRule="exact"/>
        <w:rPr>
          <w:sz w:val="20"/>
          <w:szCs w:val="20"/>
          <w:color w:val="auto"/>
        </w:rPr>
      </w:pPr>
    </w:p>
    <w:p>
      <w:pPr>
        <w:jc w:val="both"/>
        <w:ind w:firstLine="1953"/>
        <w:spacing w:after="0" w:line="250" w:lineRule="auto"/>
        <w:tabs>
          <w:tab w:leader="none" w:pos="2402" w:val="left"/>
        </w:tabs>
        <w:numPr>
          <w:ilvl w:val="3"/>
          <w:numId w:val="20"/>
        </w:numPr>
        <w:rPr>
          <w:rFonts w:ascii="Arial" w:cs="Arial" w:eastAsia="Arial" w:hAnsi="Arial"/>
          <w:sz w:val="20"/>
          <w:szCs w:val="20"/>
          <w:color w:val="auto"/>
        </w:rPr>
      </w:pPr>
      <w:r>
        <w:rPr>
          <w:rFonts w:ascii="Arial" w:cs="Arial" w:eastAsia="Arial" w:hAnsi="Arial"/>
          <w:sz w:val="20"/>
          <w:szCs w:val="20"/>
          <w:color w:val="auto"/>
        </w:rPr>
        <w:t>Participant shall immediately forfeit for no consideration any and all Shares which do not become Earned Shares as of the consummation of such Change in Control, and Participant’s rights in any such Shares which do not become Earned Shares shall immediately lapse and expire.</w:t>
      </w:r>
    </w:p>
    <w:p>
      <w:pPr>
        <w:spacing w:after="0" w:line="186" w:lineRule="exact"/>
        <w:rPr>
          <w:rFonts w:ascii="Arial" w:cs="Arial" w:eastAsia="Arial" w:hAnsi="Arial"/>
          <w:sz w:val="20"/>
          <w:szCs w:val="20"/>
          <w:color w:val="auto"/>
        </w:rPr>
      </w:pPr>
    </w:p>
    <w:p>
      <w:pPr>
        <w:jc w:val="both"/>
        <w:ind w:firstLine="1305"/>
        <w:spacing w:after="0" w:line="270" w:lineRule="auto"/>
        <w:tabs>
          <w:tab w:leader="none" w:pos="1746" w:val="left"/>
        </w:tabs>
        <w:numPr>
          <w:ilvl w:val="1"/>
          <w:numId w:val="21"/>
        </w:numPr>
        <w:rPr>
          <w:rFonts w:ascii="Arial" w:cs="Arial" w:eastAsia="Arial" w:hAnsi="Arial"/>
          <w:sz w:val="18"/>
          <w:szCs w:val="18"/>
          <w:b w:val="1"/>
          <w:bCs w:val="1"/>
          <w:color w:val="auto"/>
        </w:rPr>
      </w:pPr>
      <w:r>
        <w:rPr>
          <w:rFonts w:ascii="Arial" w:cs="Arial" w:eastAsia="Arial" w:hAnsi="Arial"/>
          <w:sz w:val="18"/>
          <w:szCs w:val="18"/>
          <w:color w:val="auto"/>
        </w:rPr>
        <w:t>In the event Participant incurs a Termination as a result of (i) Participant’s death, (ii) Participant’s Disability (as such term is defined in and subject to the applicable provisions set forth in the Employment Agreement), (iii) a Termination by the Service Recipient without Cause (as such term is defined in and subject to the applicable provisions set forth in the Employment Agreement), (iv) a Termination by Participant for Good Reason (as such term is defined in and subject to the applicable provisions set forth in the Employment Agreement), or</w:t>
      </w:r>
    </w:p>
    <w:p>
      <w:pPr>
        <w:spacing w:after="0" w:line="2" w:lineRule="exact"/>
        <w:rPr>
          <w:rFonts w:ascii="Arial" w:cs="Arial" w:eastAsia="Arial" w:hAnsi="Arial"/>
          <w:sz w:val="18"/>
          <w:szCs w:val="18"/>
          <w:b w:val="1"/>
          <w:bCs w:val="1"/>
          <w:color w:val="auto"/>
        </w:rPr>
      </w:pPr>
    </w:p>
    <w:p>
      <w:pPr>
        <w:jc w:val="both"/>
        <w:ind w:firstLine="8"/>
        <w:spacing w:after="0" w:line="260" w:lineRule="auto"/>
        <w:tabs>
          <w:tab w:leader="none" w:pos="309" w:val="left"/>
        </w:tabs>
        <w:numPr>
          <w:ilvl w:val="0"/>
          <w:numId w:val="22"/>
        </w:numPr>
        <w:rPr>
          <w:rFonts w:ascii="Arial" w:cs="Arial" w:eastAsia="Arial" w:hAnsi="Arial"/>
          <w:sz w:val="19"/>
          <w:szCs w:val="19"/>
          <w:color w:val="auto"/>
        </w:rPr>
      </w:pPr>
      <w:r>
        <w:rPr>
          <w:rFonts w:ascii="Arial" w:cs="Arial" w:eastAsia="Arial" w:hAnsi="Arial"/>
          <w:sz w:val="19"/>
          <w:szCs w:val="19"/>
          <w:color w:val="auto"/>
        </w:rPr>
        <w:t>a voluntary Termination by Participant that follows (x) satisfaction for late, normal or early retirement under the tax-qualified defined contribution plan in which Participant is eligible to participate, as defined in such plan or (y) the date after which Participant has attained the age of sixty-two (62) and completed at least ten (10) years of continuous service with the Company or its Affiliates, then:</w:t>
      </w:r>
    </w:p>
    <w:p>
      <w:pPr>
        <w:spacing w:after="0" w:line="178" w:lineRule="exact"/>
        <w:rPr>
          <w:rFonts w:ascii="Arial" w:cs="Arial" w:eastAsia="Arial" w:hAnsi="Arial"/>
          <w:sz w:val="19"/>
          <w:szCs w:val="19"/>
          <w:color w:val="auto"/>
        </w:rPr>
      </w:pPr>
    </w:p>
    <w:p>
      <w:pPr>
        <w:ind w:right="20" w:firstLine="1629"/>
        <w:spacing w:after="0" w:line="260" w:lineRule="auto"/>
        <w:tabs>
          <w:tab w:leader="none" w:pos="2001" w:val="left"/>
        </w:tabs>
        <w:numPr>
          <w:ilvl w:val="2"/>
          <w:numId w:val="22"/>
        </w:numPr>
        <w:rPr>
          <w:rFonts w:ascii="Arial" w:cs="Arial" w:eastAsia="Arial" w:hAnsi="Arial"/>
          <w:sz w:val="20"/>
          <w:szCs w:val="20"/>
          <w:color w:val="auto"/>
        </w:rPr>
      </w:pPr>
      <w:r>
        <w:rPr>
          <w:rFonts w:ascii="Arial" w:cs="Arial" w:eastAsia="Arial" w:hAnsi="Arial"/>
          <w:sz w:val="20"/>
          <w:szCs w:val="20"/>
          <w:color w:val="auto"/>
        </w:rPr>
        <w:t>if such Termination occurs on or following the completion of the Performance Period, one hundred percent (100%) of the Earned Shares for such Performance Period shall fully vest upon the Vesting Date;</w:t>
      </w:r>
    </w:p>
    <w:p>
      <w:pPr>
        <w:spacing w:after="0" w:line="176" w:lineRule="exact"/>
        <w:rPr>
          <w:rFonts w:ascii="Arial" w:cs="Arial" w:eastAsia="Arial" w:hAnsi="Arial"/>
          <w:sz w:val="20"/>
          <w:szCs w:val="20"/>
          <w:color w:val="auto"/>
        </w:rPr>
      </w:pPr>
    </w:p>
    <w:p>
      <w:pPr>
        <w:jc w:val="both"/>
        <w:ind w:firstLine="1629"/>
        <w:spacing w:after="0" w:line="242" w:lineRule="auto"/>
        <w:tabs>
          <w:tab w:leader="none" w:pos="2123" w:val="left"/>
        </w:tabs>
        <w:numPr>
          <w:ilvl w:val="2"/>
          <w:numId w:val="22"/>
        </w:numPr>
        <w:rPr>
          <w:rFonts w:ascii="Arial" w:cs="Arial" w:eastAsia="Arial" w:hAnsi="Arial"/>
          <w:sz w:val="20"/>
          <w:szCs w:val="20"/>
          <w:color w:val="auto"/>
        </w:rPr>
      </w:pPr>
      <w:r>
        <w:rPr>
          <w:rFonts w:ascii="Arial" w:cs="Arial" w:eastAsia="Arial" w:hAnsi="Arial"/>
          <w:sz w:val="20"/>
          <w:szCs w:val="20"/>
          <w:color w:val="auto"/>
        </w:rPr>
        <w:t>if such Termination occurs prior to the expiration of the Performance Period, the Shares shall remain outstanding through the last day of the Performance Period, without regard to the Termination, the number of Shares which become Earned Shares, if any, shall be determined based on the BVPS Vesting Percentage during the Performance Period, and the number of Earned Shares that become vested shall be determined by multiplying the number of Earned Shares by a fraction, the numerator of which is the number of days which elapsed from the commencement of the Performance Period through the date of the Termination and the denominator of which is 1,095, and any other unvested Shares (excluding unvested Earned Shares) as of such date shall immediately be forfeited for no consideration, and Participant’s rights in any such unvested Shares (excluding unvested Earned Shares) shall immediately lapse and expire (the “</w:t>
      </w:r>
      <w:r>
        <w:rPr>
          <w:rFonts w:ascii="Arial" w:cs="Arial" w:eastAsia="Arial" w:hAnsi="Arial"/>
          <w:sz w:val="20"/>
          <w:szCs w:val="20"/>
          <w:u w:val="single" w:color="auto"/>
          <w:color w:val="auto"/>
        </w:rPr>
        <w:t>Initial</w:t>
      </w:r>
      <w:r>
        <w:rPr>
          <w:rFonts w:ascii="Arial" w:cs="Arial" w:eastAsia="Arial" w:hAnsi="Arial"/>
          <w:sz w:val="20"/>
          <w:szCs w:val="20"/>
          <w:color w:val="auto"/>
        </w:rPr>
        <w:t xml:space="preserve"> </w:t>
      </w:r>
      <w:r>
        <w:rPr>
          <w:rFonts w:ascii="Arial" w:cs="Arial" w:eastAsia="Arial" w:hAnsi="Arial"/>
          <w:sz w:val="20"/>
          <w:szCs w:val="20"/>
          <w:u w:val="single" w:color="auto"/>
          <w:color w:val="auto"/>
        </w:rPr>
        <w:t>Termination Shares</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if such Termination is by the Service Recipient without Cause or by Participant for Good Reason and:</w:t>
      </w:r>
    </w:p>
    <w:p>
      <w:pPr>
        <w:spacing w:after="0" w:line="195" w:lineRule="exact"/>
        <w:rPr>
          <w:rFonts w:ascii="Arial" w:cs="Arial" w:eastAsia="Arial" w:hAnsi="Arial"/>
          <w:sz w:val="20"/>
          <w:szCs w:val="20"/>
          <w:color w:val="auto"/>
        </w:rPr>
      </w:pPr>
    </w:p>
    <w:p>
      <w:pPr>
        <w:jc w:val="both"/>
        <w:ind w:firstLine="1953"/>
        <w:spacing w:after="0" w:line="272" w:lineRule="auto"/>
        <w:tabs>
          <w:tab w:leader="none" w:pos="2481" w:val="left"/>
        </w:tabs>
        <w:numPr>
          <w:ilvl w:val="3"/>
          <w:numId w:val="22"/>
        </w:numPr>
        <w:rPr>
          <w:rFonts w:ascii="Arial" w:cs="Arial" w:eastAsia="Arial" w:hAnsi="Arial"/>
          <w:sz w:val="18"/>
          <w:szCs w:val="18"/>
          <w:color w:val="auto"/>
        </w:rPr>
      </w:pPr>
      <w:r>
        <w:rPr>
          <w:rFonts w:ascii="Arial" w:cs="Arial" w:eastAsia="Arial" w:hAnsi="Arial"/>
          <w:sz w:val="18"/>
          <w:szCs w:val="18"/>
          <w:color w:val="auto"/>
        </w:rPr>
        <w:t>a Change in Control does not occur prior to the last day of the Performance Period (assuming no Change in Control), (1) if the date of the Termination was not more than 180 days prior to the last day of the Performance Period, the unvested Earned Shares shall remain outstanding through the last day of the 180-day period following the date of the Termination (the “</w:t>
      </w:r>
      <w:r>
        <w:rPr>
          <w:rFonts w:ascii="Arial" w:cs="Arial" w:eastAsia="Arial" w:hAnsi="Arial"/>
          <w:sz w:val="18"/>
          <w:szCs w:val="18"/>
          <w:u w:val="single" w:color="auto"/>
          <w:color w:val="auto"/>
        </w:rPr>
        <w:t>Protected Period</w:t>
      </w:r>
      <w:r>
        <w:rPr>
          <w:rFonts w:ascii="Arial" w:cs="Arial" w:eastAsia="Arial" w:hAnsi="Arial"/>
          <w:sz w:val="18"/>
          <w:szCs w:val="18"/>
          <w:color w:val="auto"/>
        </w:rPr>
        <w:t>”), and</w:t>
      </w:r>
    </w:p>
    <w:p>
      <w:pPr>
        <w:spacing w:after="0" w:line="1" w:lineRule="exact"/>
        <w:rPr>
          <w:rFonts w:ascii="Arial" w:cs="Arial" w:eastAsia="Arial" w:hAnsi="Arial"/>
          <w:sz w:val="18"/>
          <w:szCs w:val="18"/>
          <w:color w:val="auto"/>
        </w:rPr>
      </w:pPr>
    </w:p>
    <w:p>
      <w:pPr>
        <w:spacing w:after="0" w:line="269" w:lineRule="auto"/>
        <w:rPr>
          <w:rFonts w:ascii="Arial" w:cs="Arial" w:eastAsia="Arial" w:hAnsi="Arial"/>
          <w:sz w:val="18"/>
          <w:szCs w:val="18"/>
          <w:color w:val="auto"/>
        </w:rPr>
      </w:pPr>
      <w:r>
        <w:rPr>
          <w:rFonts w:ascii="Arial" w:cs="Arial" w:eastAsia="Arial" w:hAnsi="Arial"/>
          <w:sz w:val="18"/>
          <w:szCs w:val="18"/>
          <w:color w:val="auto"/>
        </w:rPr>
        <w:t xml:space="preserve">(2) </w:t>
      </w:r>
      <w:r>
        <w:rPr>
          <w:rFonts w:ascii="Arial" w:cs="Arial" w:eastAsia="Arial" w:hAnsi="Arial"/>
          <w:sz w:val="19"/>
          <w:szCs w:val="19"/>
          <w:color w:val="auto"/>
        </w:rPr>
        <w:t>if a Change in Control occurs after the last day of the Performance Period and during the Protected Period, then in addition to the vesting of</w:t>
      </w:r>
      <w:r>
        <w:rPr>
          <w:rFonts w:ascii="Arial" w:cs="Arial" w:eastAsia="Arial" w:hAnsi="Arial"/>
          <w:sz w:val="18"/>
          <w:szCs w:val="18"/>
          <w:color w:val="auto"/>
        </w:rPr>
        <w:t xml:space="preserve"> </w:t>
      </w:r>
      <w:r>
        <w:rPr>
          <w:rFonts w:ascii="Arial" w:cs="Arial" w:eastAsia="Arial" w:hAnsi="Arial"/>
          <w:sz w:val="19"/>
          <w:szCs w:val="19"/>
          <w:color w:val="auto"/>
        </w:rPr>
        <w:t>the Initial Termination Shares upon such Termination, one hundred percent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366" w:right="239" w:bottom="1440" w:gutter="0" w:footer="0" w:header="0"/>
        </w:sectPr>
      </w:pPr>
    </w:p>
    <w:bookmarkStart w:id="53" w:name="page54"/>
    <w:bookmarkEnd w:id="53"/>
    <w:p>
      <w:pPr>
        <w:spacing w:after="0"/>
        <w:rPr>
          <w:sz w:val="20"/>
          <w:szCs w:val="20"/>
          <w:color w:val="auto"/>
        </w:rPr>
      </w:pPr>
      <w:r>
        <w:rPr>
          <w:rFonts w:ascii="Arial" w:cs="Arial" w:eastAsia="Arial" w:hAnsi="Arial"/>
          <w:sz w:val="20"/>
          <w:szCs w:val="20"/>
          <w:color w:val="auto"/>
        </w:rPr>
        <w:t>(100%) of the then-unvested Earned Shares shall fully vest upon the consummation of such Change in Control; and</w:t>
      </w:r>
    </w:p>
    <w:p>
      <w:pPr>
        <w:spacing w:after="0" w:line="216" w:lineRule="exact"/>
        <w:rPr>
          <w:sz w:val="20"/>
          <w:szCs w:val="20"/>
          <w:color w:val="auto"/>
        </w:rPr>
      </w:pPr>
    </w:p>
    <w:p>
      <w:pPr>
        <w:ind w:firstLine="1953"/>
        <w:spacing w:after="0" w:line="316" w:lineRule="auto"/>
        <w:tabs>
          <w:tab w:leader="none" w:pos="2402"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Change in Control occurs prior to the last day of the Performance Period (assuming no Change in Control) and during the Protected Period, the number of Shares which become Earned Shares will be determined in accordance with Section 3.2(b)(ii).</w:t>
      </w:r>
    </w:p>
    <w:p>
      <w:pPr>
        <w:spacing w:after="0" w:line="130" w:lineRule="exact"/>
        <w:rPr>
          <w:rFonts w:ascii="Arial" w:cs="Arial" w:eastAsia="Arial" w:hAnsi="Arial"/>
          <w:sz w:val="18"/>
          <w:szCs w:val="18"/>
          <w:color w:val="auto"/>
        </w:rPr>
      </w:pPr>
    </w:p>
    <w:p>
      <w:pPr>
        <w:jc w:val="both"/>
        <w:ind w:firstLine="1305"/>
        <w:spacing w:after="0" w:line="256" w:lineRule="auto"/>
        <w:tabs>
          <w:tab w:leader="none" w:pos="1718" w:val="left"/>
        </w:tabs>
        <w:numPr>
          <w:ilvl w:val="0"/>
          <w:numId w:val="24"/>
        </w:numPr>
        <w:rPr>
          <w:rFonts w:ascii="Arial" w:cs="Arial" w:eastAsia="Arial" w:hAnsi="Arial"/>
          <w:sz w:val="19"/>
          <w:szCs w:val="19"/>
          <w:b w:val="1"/>
          <w:bCs w:val="1"/>
          <w:color w:val="auto"/>
        </w:rPr>
      </w:pPr>
      <w:r>
        <w:rPr>
          <w:rFonts w:ascii="Arial" w:cs="Arial" w:eastAsia="Arial" w:hAnsi="Arial"/>
          <w:sz w:val="19"/>
          <w:szCs w:val="19"/>
          <w:color w:val="auto"/>
        </w:rPr>
        <w:t>The Shares shall be released from the Forfeiture Restriction in accordance with the vesting schedule set forth in the Grant Notice. Any of the Shares which, from time to time, have not yet been released from the Forfeiture Restriction are referred to herein as “</w:t>
      </w:r>
      <w:r>
        <w:rPr>
          <w:rFonts w:ascii="Arial" w:cs="Arial" w:eastAsia="Arial" w:hAnsi="Arial"/>
          <w:sz w:val="19"/>
          <w:szCs w:val="19"/>
          <w:u w:val="single" w:color="auto"/>
          <w:color w:val="auto"/>
        </w:rPr>
        <w:t>Unreleased Shares</w:t>
      </w:r>
      <w:r>
        <w:rPr>
          <w:rFonts w:ascii="Arial" w:cs="Arial" w:eastAsia="Arial" w:hAnsi="Arial"/>
          <w:sz w:val="19"/>
          <w:szCs w:val="19"/>
          <w:color w:val="auto"/>
        </w:rPr>
        <w:t>.” In the event any of the Unreleased Shares are released from the Forfeiture Restriction, any Retained Distributions (as defined below) paid on such Unreleased Shares shall be promptly paid by the Company to Participant. As soon as administratively practicable following the release of any Shares from the Forfeiture Restriction, the Company shall, as applicable, either deliver to Participant the certificate or certificates representing such Shares in the Company’s possession belonging to Participant, or, if the Shares are held in book-entry form, then the Company shall remove the notations indicating that the Shares are subject to the restrictions of this Agreement. Participant (or the beneficiary or personal representative of Participant in the event of Participant’s death or incapacity, as the case may be) shall deliver to the Company any representations or other documents or assurances as the Company or its representatives deem necessary or advisable in connection with any such delivery.</w:t>
      </w:r>
    </w:p>
    <w:p>
      <w:pPr>
        <w:spacing w:after="0" w:line="18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6"/>
          <w:szCs w:val="16"/>
          <w:u w:val="single" w:color="auto"/>
          <w:color w:val="auto"/>
        </w:rPr>
        <w:t>Escrow</w:t>
      </w:r>
      <w:r>
        <w:rPr>
          <w:rFonts w:ascii="Arial" w:cs="Arial" w:eastAsia="Arial" w:hAnsi="Arial"/>
          <w:sz w:val="16"/>
          <w:szCs w:val="16"/>
          <w:color w:val="auto"/>
        </w:rPr>
        <w:t>.</w:t>
      </w:r>
    </w:p>
    <w:p>
      <w:pPr>
        <w:spacing w:after="0" w:line="216" w:lineRule="exact"/>
        <w:rPr>
          <w:sz w:val="20"/>
          <w:szCs w:val="20"/>
          <w:color w:val="auto"/>
        </w:rPr>
      </w:pPr>
    </w:p>
    <w:p>
      <w:pPr>
        <w:jc w:val="both"/>
        <w:ind w:firstLine="1305"/>
        <w:spacing w:after="0" w:line="256" w:lineRule="auto"/>
        <w:tabs>
          <w:tab w:leader="none" w:pos="1872"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Unreleased Shares shall be held by the Company until such Unreleased Shares are forfeited as provided in Section 3.1, until such Unreleased Shares are fully released from the Forfeiture Restriction as provided in Section 3.2, or until such time as this Agreement is no longer in effect. Participant shall not retain physical custody of any certificates representing Unreleased Shares issued to Participant. Participant, by acceptance of this Agreement, shall be deemed to appoint, and does so appoint, the Company and each of its authorized representatives as Participant’s attorney(s)-in-fact to effect any transfer of forfeited Unreleased Shares (and Retained Distributions, if any, paid on such forfeited Unreleased Shares) to the Company as may be required pursuant to the Plan or this Agreement, and to execute such representations or other documents or assurances as the Company or such representatives deem necessary or advisable in connection with any such transfer. To the extent allowable by applicable law and the applicable rules of each national securities exchange on which the Stock is listed, the Company, or its designee, shall not be liable for any act it may do or omit to do with respect to holding the Shares in escrow and while acting in good faith and in the exercise of its judgment.</w:t>
      </w:r>
    </w:p>
    <w:p>
      <w:pPr>
        <w:spacing w:after="0" w:line="181" w:lineRule="exact"/>
        <w:rPr>
          <w:rFonts w:ascii="Arial" w:cs="Arial" w:eastAsia="Arial" w:hAnsi="Arial"/>
          <w:sz w:val="19"/>
          <w:szCs w:val="19"/>
          <w:color w:val="auto"/>
        </w:rPr>
      </w:pPr>
    </w:p>
    <w:p>
      <w:pPr>
        <w:jc w:val="both"/>
        <w:ind w:firstLine="1305"/>
        <w:spacing w:after="0" w:line="256" w:lineRule="auto"/>
        <w:tabs>
          <w:tab w:leader="none" w:pos="1856"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Company will retain custody of all cash dividends and other distributions (“</w:t>
      </w:r>
      <w:r>
        <w:rPr>
          <w:rFonts w:ascii="Arial" w:cs="Arial" w:eastAsia="Arial" w:hAnsi="Arial"/>
          <w:sz w:val="19"/>
          <w:szCs w:val="19"/>
          <w:u w:val="single" w:color="auto"/>
          <w:color w:val="auto"/>
        </w:rPr>
        <w:t>Retained Distributions</w:t>
      </w:r>
      <w:r>
        <w:rPr>
          <w:rFonts w:ascii="Arial" w:cs="Arial" w:eastAsia="Arial" w:hAnsi="Arial"/>
          <w:sz w:val="19"/>
          <w:szCs w:val="19"/>
          <w:color w:val="auto"/>
        </w:rPr>
        <w:t>”) made or declared with respect to Unreleased Shares (and such Retained Distributions will be subject to the Forfeiture Restriction and the other terms and conditions under this Agreement that are applicable to the Shares) until such time, if ever, as the Unreleased Shares with respect to which such Retained Distributions shall have been made, paid or declared shall have become vested pursuant to the Grant Notice. Retained Distributions that were made or declared in cash will be deemed reinvested in notional shares of Stock such that upon release and distribution of such Retained Distributions to Participant as set forth in the immediately preceding sentence, Participant shall be entitled to receive on the date of such distribution or release an amount of cash or the number of whole shares of Stock or a combination thereof, as determined by the Committee, the aggregate fair value of which shall be equal to the Fair Market Value of the notional shares of Stock to which such released Retained Distributions relate. Any Retained Distributions with respect to Unreleased Shares shall be forfeited in the event such Unreleased Shares are forfeited.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366" w:right="239" w:bottom="1440" w:gutter="0" w:footer="0" w:header="0"/>
        </w:sectPr>
      </w:pPr>
    </w:p>
    <w:bookmarkStart w:id="54" w:name="page55"/>
    <w:bookmarkEnd w:id="54"/>
    <w:p>
      <w:pPr>
        <w:jc w:val="both"/>
        <w:ind w:firstLine="648"/>
        <w:spacing w:after="0" w:line="250"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u w:val="single" w:color="auto"/>
          <w:color w:val="auto"/>
        </w:rPr>
        <w:t>Rights as Stockholder</w:t>
      </w:r>
      <w:r>
        <w:rPr>
          <w:rFonts w:ascii="Arial" w:cs="Arial" w:eastAsia="Arial" w:hAnsi="Arial"/>
          <w:sz w:val="20"/>
          <w:szCs w:val="20"/>
          <w:color w:val="auto"/>
        </w:rPr>
        <w:t>. Except as otherwise provided herein, upon issuance of the Shares by the Company, Participant shall have all the rights of a stockholder with respect to said Shares, subject to the restrictions herein, including the right to vote the Shares and to receive all dividends or other distributions paid or made with respect to the Shares.</w:t>
      </w:r>
    </w:p>
    <w:p>
      <w:pPr>
        <w:spacing w:after="0" w:line="180" w:lineRule="exact"/>
        <w:rPr>
          <w:sz w:val="20"/>
          <w:szCs w:val="20"/>
          <w:color w:val="auto"/>
        </w:rPr>
      </w:pPr>
    </w:p>
    <w:p>
      <w:pPr>
        <w:ind w:left="5020"/>
        <w:spacing w:after="0"/>
        <w:rPr>
          <w:sz w:val="20"/>
          <w:szCs w:val="20"/>
          <w:color w:val="auto"/>
        </w:rPr>
      </w:pPr>
      <w:r>
        <w:rPr>
          <w:rFonts w:ascii="Arial" w:cs="Arial" w:eastAsia="Arial" w:hAnsi="Arial"/>
          <w:sz w:val="20"/>
          <w:szCs w:val="20"/>
          <w:b w:val="1"/>
          <w:bCs w:val="1"/>
          <w:color w:val="auto"/>
        </w:rPr>
        <w:t>ARTICLE IV.</w:t>
      </w:r>
    </w:p>
    <w:p>
      <w:pPr>
        <w:spacing w:after="0" w:line="189" w:lineRule="exact"/>
        <w:rPr>
          <w:sz w:val="20"/>
          <w:szCs w:val="20"/>
          <w:color w:val="auto"/>
        </w:rPr>
      </w:pPr>
    </w:p>
    <w:p>
      <w:pPr>
        <w:ind w:left="3940"/>
        <w:spacing w:after="0"/>
        <w:rPr>
          <w:sz w:val="20"/>
          <w:szCs w:val="20"/>
          <w:color w:val="auto"/>
        </w:rPr>
      </w:pPr>
      <w:r>
        <w:rPr>
          <w:rFonts w:ascii="Arial" w:cs="Arial" w:eastAsia="Arial" w:hAnsi="Arial"/>
          <w:sz w:val="20"/>
          <w:szCs w:val="20"/>
          <w:b w:val="1"/>
          <w:bCs w:val="1"/>
          <w:color w:val="auto"/>
        </w:rPr>
        <w:t>TAXATION AND TAX WITHHOLDING</w:t>
      </w:r>
    </w:p>
    <w:p>
      <w:pPr>
        <w:spacing w:after="0" w:line="19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Representation</w:t>
      </w:r>
      <w:r>
        <w:rPr>
          <w:rFonts w:ascii="Arial" w:cs="Arial" w:eastAsia="Arial" w:hAnsi="Arial"/>
          <w:sz w:val="18"/>
          <w:szCs w:val="18"/>
          <w:color w:val="auto"/>
        </w:rPr>
        <w:t>. Participant represents to the Company that Participant has reviewed with his or her own tax advisors the federal, state, local and foreign tax consequences of this investment and the transactions contemplated by this Agreement. Participant is relying solely on such advisors and not on any statements or representations of the Company or any of its agents. Participant is ultimately liable and responsible for all taxes owed in connection with this investment and the transactions contemplated by this Agreement, regardless of any action the Company or any of its Affiliates take with respect to any tax withholding obligations that arise in connection with the Shares. Neither the Company nor any of its Affiliates make any representation or undertaking regarding the treatment of any tax withholding in connection with the Shares or Participant’s sale of shares of Stock. The Company and its Affiliates do not commit and are under no obligation to structure this investment or the transactions contemplated by this Agreement to reduce or eliminate Participant’s tax liability.</w:t>
      </w:r>
    </w:p>
    <w:p>
      <w:pPr>
        <w:spacing w:after="0" w:line="16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Section 83(b) Election</w:t>
      </w:r>
      <w:r>
        <w:rPr>
          <w:rFonts w:ascii="Arial" w:cs="Arial" w:eastAsia="Arial" w:hAnsi="Arial"/>
          <w:sz w:val="20"/>
          <w:szCs w:val="20"/>
          <w:color w:val="auto"/>
        </w:rPr>
        <w:t>. If Participant makes an election under Section 83(b) of the U.S. Internal Revenue Code of 1986, as amended (the “</w:t>
      </w:r>
      <w:r>
        <w:rPr>
          <w:rFonts w:ascii="Arial" w:cs="Arial" w:eastAsia="Arial" w:hAnsi="Arial"/>
          <w:sz w:val="20"/>
          <w:szCs w:val="20"/>
          <w:u w:val="single" w:color="auto"/>
          <w:color w:val="auto"/>
        </w:rPr>
        <w:t>Code</w:t>
      </w:r>
      <w:r>
        <w:rPr>
          <w:rFonts w:ascii="Arial" w:cs="Arial" w:eastAsia="Arial" w:hAnsi="Arial"/>
          <w:sz w:val="20"/>
          <w:szCs w:val="20"/>
          <w:color w:val="auto"/>
        </w:rPr>
        <w:t>”), to be taxed with respect to the Shares as of the date of transfer of the Shares rather than as of the date or dates upon which Participant would otherwise be taxable under Section 83(a) of the Code, Participant shall deliver a copy of such election to the Company promptly upon filing such election with the Internal Revenue Service.</w:t>
      </w:r>
    </w:p>
    <w:p>
      <w:pPr>
        <w:spacing w:after="0" w:line="19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 Notwithstanding any other provision of this Agreement:</w:t>
      </w:r>
    </w:p>
    <w:p>
      <w:pPr>
        <w:spacing w:after="0" w:line="216" w:lineRule="exact"/>
        <w:rPr>
          <w:sz w:val="20"/>
          <w:szCs w:val="20"/>
          <w:color w:val="auto"/>
        </w:rPr>
      </w:pPr>
    </w:p>
    <w:p>
      <w:pPr>
        <w:jc w:val="both"/>
        <w:ind w:firstLine="1305"/>
        <w:spacing w:after="0" w:line="282" w:lineRule="auto"/>
        <w:tabs>
          <w:tab w:leader="none" w:pos="169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and its Affiliates have the authority to deduct or withhold, or require Participant to remit to the Company or the applicable Affiliate, an amount sufficient to satisfy applicable federal, state, local and foreign taxes (including the employee portion of any FICA obligation) required by law to be withheld with respect to any taxable event arising pursuant to this Agreement. The Company and its Affiliates may withhold or Participant may make such payment in one or more of the forms specified below:</w:t>
      </w:r>
    </w:p>
    <w:p>
      <w:pPr>
        <w:spacing w:after="0" w:line="161" w:lineRule="exact"/>
        <w:rPr>
          <w:rFonts w:ascii="Arial" w:cs="Arial" w:eastAsia="Arial" w:hAnsi="Arial"/>
          <w:sz w:val="18"/>
          <w:szCs w:val="18"/>
          <w:color w:val="auto"/>
        </w:rPr>
      </w:pPr>
    </w:p>
    <w:p>
      <w:pPr>
        <w:ind w:left="2360" w:hanging="407"/>
        <w:spacing w:after="0"/>
        <w:tabs>
          <w:tab w:leader="none" w:pos="23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by cash or check made payable to the Company or its Affiliate with respect to which the withholding obligation</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arises;</w:t>
      </w:r>
    </w:p>
    <w:p>
      <w:pPr>
        <w:spacing w:after="0" w:line="199" w:lineRule="exact"/>
        <w:rPr>
          <w:rFonts w:ascii="Arial" w:cs="Arial" w:eastAsia="Arial" w:hAnsi="Arial"/>
          <w:sz w:val="18"/>
          <w:szCs w:val="18"/>
          <w:color w:val="auto"/>
        </w:rPr>
      </w:pPr>
    </w:p>
    <w:p>
      <w:pPr>
        <w:ind w:left="2380" w:hanging="427"/>
        <w:spacing w:after="0"/>
        <w:tabs>
          <w:tab w:leader="none" w:pos="2380" w:val="left"/>
        </w:tabs>
        <w:numPr>
          <w:ilvl w:val="1"/>
          <w:numId w:val="26"/>
        </w:numPr>
        <w:rPr>
          <w:rFonts w:ascii="Arial" w:cs="Arial" w:eastAsia="Arial" w:hAnsi="Arial"/>
          <w:sz w:val="20"/>
          <w:szCs w:val="20"/>
          <w:color w:val="auto"/>
        </w:rPr>
      </w:pPr>
      <w:r>
        <w:rPr>
          <w:rFonts w:ascii="Arial" w:cs="Arial" w:eastAsia="Arial" w:hAnsi="Arial"/>
          <w:sz w:val="20"/>
          <w:szCs w:val="20"/>
          <w:color w:val="auto"/>
        </w:rPr>
        <w:t>by the deduction of such amount from other compensation payable to Participant;</w:t>
      </w:r>
    </w:p>
    <w:p>
      <w:pPr>
        <w:spacing w:after="0" w:line="215" w:lineRule="exact"/>
        <w:rPr>
          <w:rFonts w:ascii="Arial" w:cs="Arial" w:eastAsia="Arial" w:hAnsi="Arial"/>
          <w:sz w:val="20"/>
          <w:szCs w:val="20"/>
          <w:color w:val="auto"/>
        </w:rPr>
      </w:pPr>
    </w:p>
    <w:p>
      <w:pPr>
        <w:jc w:val="both"/>
        <w:ind w:firstLine="1953"/>
        <w:spacing w:after="0" w:line="263" w:lineRule="auto"/>
        <w:tabs>
          <w:tab w:leader="none" w:pos="2421" w:val="left"/>
        </w:tabs>
        <w:numPr>
          <w:ilvl w:val="1"/>
          <w:numId w:val="26"/>
        </w:numPr>
        <w:rPr>
          <w:rFonts w:ascii="Arial" w:cs="Arial" w:eastAsia="Arial" w:hAnsi="Arial"/>
          <w:sz w:val="19"/>
          <w:szCs w:val="19"/>
          <w:color w:val="auto"/>
        </w:rPr>
      </w:pPr>
      <w:r>
        <w:rPr>
          <w:rFonts w:ascii="Arial" w:cs="Arial" w:eastAsia="Arial" w:hAnsi="Arial"/>
          <w:sz w:val="19"/>
          <w:szCs w:val="19"/>
          <w:color w:val="auto"/>
        </w:rPr>
        <w:t>with respect to any withholding taxes arising in connection with the vesting of the Shares, with the consent of the Committee, by requesting that the Company and its Affiliates withhold a net number of vested Shares having a then current Fair Market Value not exceeding the amount necessary to satisfy the withholding obligation of the Company and its Affiliates based on the minimum applicable statutory withholding rates for federal, state, local and foreign income tax and payroll tax purposes;</w:t>
      </w:r>
    </w:p>
    <w:p>
      <w:pPr>
        <w:spacing w:after="0" w:line="176" w:lineRule="exact"/>
        <w:rPr>
          <w:rFonts w:ascii="Arial" w:cs="Arial" w:eastAsia="Arial" w:hAnsi="Arial"/>
          <w:sz w:val="19"/>
          <w:szCs w:val="19"/>
          <w:color w:val="auto"/>
        </w:rPr>
      </w:pPr>
    </w:p>
    <w:p>
      <w:pPr>
        <w:ind w:firstLine="1953"/>
        <w:spacing w:after="0" w:line="260" w:lineRule="auto"/>
        <w:tabs>
          <w:tab w:leader="none" w:pos="2411" w:val="left"/>
        </w:tabs>
        <w:numPr>
          <w:ilvl w:val="1"/>
          <w:numId w:val="26"/>
        </w:numPr>
        <w:rPr>
          <w:rFonts w:ascii="Arial" w:cs="Arial" w:eastAsia="Arial" w:hAnsi="Arial"/>
          <w:sz w:val="20"/>
          <w:szCs w:val="20"/>
          <w:color w:val="auto"/>
        </w:rPr>
      </w:pPr>
      <w:r>
        <w:rPr>
          <w:rFonts w:ascii="Arial" w:cs="Arial" w:eastAsia="Arial" w:hAnsi="Arial"/>
          <w:sz w:val="20"/>
          <w:szCs w:val="20"/>
          <w:color w:val="auto"/>
        </w:rPr>
        <w:t>with respect to any withholding taxes arising in connection with the vesting of the Shares, with the consent of the Committee, by tendering to the Company vested shares of Stock having</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366" w:right="239" w:bottom="1440" w:gutter="0" w:footer="0" w:header="0"/>
        </w:sectPr>
      </w:pPr>
    </w:p>
    <w:bookmarkStart w:id="55" w:name="page56"/>
    <w:bookmarkEnd w:id="55"/>
    <w:p>
      <w:pPr>
        <w:spacing w:after="0" w:line="316" w:lineRule="auto"/>
        <w:rPr>
          <w:sz w:val="20"/>
          <w:szCs w:val="20"/>
          <w:color w:val="auto"/>
        </w:rPr>
      </w:pPr>
      <w:r>
        <w:rPr>
          <w:rFonts w:ascii="Arial" w:cs="Arial" w:eastAsia="Arial" w:hAnsi="Arial"/>
          <w:sz w:val="18"/>
          <w:szCs w:val="18"/>
          <w:color w:val="auto"/>
        </w:rPr>
        <w:t>a then current Fair Market Value not exceeding the amount necessary to satisfy the withholding obligation of the Company and its Affiliates based on the minimum applicable statutory withholding rates for federal, state, local and foreign income tax and payroll tax purposes;</w:t>
      </w:r>
    </w:p>
    <w:p>
      <w:pPr>
        <w:spacing w:after="0" w:line="130" w:lineRule="exact"/>
        <w:rPr>
          <w:sz w:val="20"/>
          <w:szCs w:val="20"/>
          <w:color w:val="auto"/>
        </w:rPr>
      </w:pPr>
    </w:p>
    <w:p>
      <w:pPr>
        <w:jc w:val="both"/>
        <w:ind w:firstLine="1953"/>
        <w:spacing w:after="0" w:line="243" w:lineRule="auto"/>
        <w:tabs>
          <w:tab w:leader="none" w:pos="2355" w:val="left"/>
        </w:tabs>
        <w:numPr>
          <w:ilvl w:val="1"/>
          <w:numId w:val="27"/>
        </w:numPr>
        <w:rPr>
          <w:rFonts w:ascii="Arial" w:cs="Arial" w:eastAsia="Arial" w:hAnsi="Arial"/>
          <w:sz w:val="20"/>
          <w:szCs w:val="20"/>
          <w:color w:val="auto"/>
        </w:rPr>
      </w:pPr>
      <w:r>
        <w:rPr>
          <w:rFonts w:ascii="Arial" w:cs="Arial" w:eastAsia="Arial" w:hAnsi="Arial"/>
          <w:sz w:val="20"/>
          <w:szCs w:val="20"/>
          <w:color w:val="auto"/>
        </w:rPr>
        <w:t xml:space="preserve">with respect to any withholding taxes arising in connection with the vesting of the Shares, through the delivery of a notice that Participant has placed a market sell order with a broker acceptable to the Company with respect to those Shares that are then becoming vested and that the broker has been directed to pay a sufficient portion of the net proceeds of the sale to the Company or the Affiliate with respect to which the withholding obligation arises in satisfaction of such withholding taxes;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payment of such proceeds is then made to the Company or the applicable Affiliate at such time as may be required by the Committee, but in any event not later than the settlement of such sale; or</w:t>
      </w:r>
    </w:p>
    <w:p>
      <w:pPr>
        <w:spacing w:after="0" w:line="196" w:lineRule="exact"/>
        <w:rPr>
          <w:rFonts w:ascii="Arial" w:cs="Arial" w:eastAsia="Arial" w:hAnsi="Arial"/>
          <w:sz w:val="20"/>
          <w:szCs w:val="20"/>
          <w:color w:val="auto"/>
        </w:rPr>
      </w:pPr>
    </w:p>
    <w:p>
      <w:pPr>
        <w:ind w:left="2420" w:hanging="467"/>
        <w:spacing w:after="0"/>
        <w:tabs>
          <w:tab w:leader="none" w:pos="2420" w:val="left"/>
        </w:tabs>
        <w:numPr>
          <w:ilvl w:val="1"/>
          <w:numId w:val="27"/>
        </w:numPr>
        <w:rPr>
          <w:rFonts w:ascii="Arial" w:cs="Arial" w:eastAsia="Arial" w:hAnsi="Arial"/>
          <w:sz w:val="20"/>
          <w:szCs w:val="20"/>
          <w:color w:val="auto"/>
        </w:rPr>
      </w:pPr>
      <w:r>
        <w:rPr>
          <w:rFonts w:ascii="Arial" w:cs="Arial" w:eastAsia="Arial" w:hAnsi="Arial"/>
          <w:sz w:val="20"/>
          <w:szCs w:val="20"/>
          <w:color w:val="auto"/>
        </w:rPr>
        <w:t>in any combination of the foregoing.</w:t>
      </w:r>
    </w:p>
    <w:p>
      <w:pPr>
        <w:spacing w:after="0" w:line="215" w:lineRule="exact"/>
        <w:rPr>
          <w:rFonts w:ascii="Arial" w:cs="Arial" w:eastAsia="Arial" w:hAnsi="Arial"/>
          <w:sz w:val="20"/>
          <w:szCs w:val="20"/>
          <w:color w:val="auto"/>
        </w:rPr>
      </w:pPr>
    </w:p>
    <w:p>
      <w:pPr>
        <w:jc w:val="both"/>
        <w:ind w:firstLine="1305"/>
        <w:spacing w:after="0" w:line="276" w:lineRule="auto"/>
        <w:tabs>
          <w:tab w:leader="none" w:pos="1802"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With respect to any withholding taxes arising in connection with the Shares, in the event Participant fails to provide timely payment of all sums required pursuant to Section 4.3(a), the Company shall have the right and option, but not the obligation, to treat such failure as an election by Participant to satisfy all or any portion of Participant’s required payment obligation pursuant to Section 4.3(a)(ii) or Section 4.3(a)(iii) above, or any combination of the foregoing as the Company may determine to be appropriate;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a taxable event occurs in connection with the shares of a successor entity following a Change in Control, then Participant shall have the right to elect to satisfy applicable withholding taxes in accordance with the cashless method described in Section 4.3(a)(iii) above.</w:t>
      </w:r>
    </w:p>
    <w:p>
      <w:pPr>
        <w:spacing w:after="0" w:line="165" w:lineRule="exact"/>
        <w:rPr>
          <w:rFonts w:ascii="Arial" w:cs="Arial" w:eastAsia="Arial" w:hAnsi="Arial"/>
          <w:sz w:val="18"/>
          <w:szCs w:val="18"/>
          <w:color w:val="auto"/>
        </w:rPr>
      </w:pPr>
    </w:p>
    <w:p>
      <w:pPr>
        <w:jc w:val="both"/>
        <w:ind w:firstLine="1305"/>
        <w:spacing w:after="0" w:line="246" w:lineRule="auto"/>
        <w:tabs>
          <w:tab w:leader="none" w:pos="1764"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Company shall not be obligated to deliver any certificate representing the Shares to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of the Shares or any other taxable event related to the Shares.</w:t>
      </w:r>
    </w:p>
    <w:p>
      <w:pPr>
        <w:spacing w:after="0" w:line="191" w:lineRule="exact"/>
        <w:rPr>
          <w:rFonts w:ascii="Arial" w:cs="Arial" w:eastAsia="Arial" w:hAnsi="Arial"/>
          <w:sz w:val="20"/>
          <w:szCs w:val="20"/>
          <w:color w:val="auto"/>
        </w:rPr>
      </w:pPr>
    </w:p>
    <w:p>
      <w:pPr>
        <w:jc w:val="both"/>
        <w:ind w:firstLine="1305"/>
        <w:spacing w:after="0" w:line="273" w:lineRule="auto"/>
        <w:tabs>
          <w:tab w:leader="none" w:pos="1761"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event any tax withholding obligation arising in connection with the Shares will be satisfied under Section 4.3(a) (iii), then the Company may elect to instruct any brokerage firm determined acceptable to the Company for such purpose to sell on Participant’s behalf a whole number of shares of Stock from those Shares that are then becoming vested as the Company determines to be appropriate to generate cash proceeds sufficient to satisfy the tax withholding obligation and to remit the proceeds of such sale to the Company or the Affiliate with respect to which the withholding obligation arises. Participant’s acceptance of this Agreement constitutes Participant’s instruction and authorization to the Company and such brokerage firm to complete the transactions described in this Section 4.3(d), including the transactions described in the previous sentence, as applicable. The Company may refuse to deliver any certificate representing the Shares to Participant or his or her legal representative until the foregoing tax withholding obligations are satisfied.</w:t>
      </w:r>
    </w:p>
    <w:p>
      <w:pPr>
        <w:spacing w:after="0" w:line="169" w:lineRule="exact"/>
        <w:rPr>
          <w:rFonts w:ascii="Arial" w:cs="Arial" w:eastAsia="Arial" w:hAnsi="Arial"/>
          <w:sz w:val="18"/>
          <w:szCs w:val="18"/>
          <w:color w:val="auto"/>
        </w:rPr>
      </w:pPr>
    </w:p>
    <w:p>
      <w:pPr>
        <w:jc w:val="both"/>
        <w:ind w:firstLine="1305"/>
        <w:spacing w:after="0" w:line="260" w:lineRule="auto"/>
        <w:tabs>
          <w:tab w:leader="none" w:pos="1723" w:val="left"/>
        </w:tabs>
        <w:numPr>
          <w:ilvl w:val="0"/>
          <w:numId w:val="28"/>
        </w:numPr>
        <w:rPr>
          <w:rFonts w:ascii="Arial" w:cs="Arial" w:eastAsia="Arial" w:hAnsi="Arial"/>
          <w:sz w:val="19"/>
          <w:szCs w:val="19"/>
          <w:color w:val="auto"/>
        </w:rPr>
      </w:pPr>
      <w:r>
        <w:rPr>
          <w:rFonts w:ascii="Arial" w:cs="Arial" w:eastAsia="Arial" w:hAnsi="Arial"/>
          <w:sz w:val="19"/>
          <w:szCs w:val="19"/>
          <w:color w:val="auto"/>
        </w:rPr>
        <w:t>Participant is ultimately liable and responsible for all taxes owed in connection with the Shares, regardless of any action the Company or any of its Affiliates takes with respect to any tax withholding obligations that arise in connection with the Shares. Neither the Company nor any of its Affiliates make any representation or undertaking regarding the treatment of any tax withholding in connection with the awarding, vesting or payment of the Shares or the subsequent sale of the Shares. The Company and its Affiliates do not commit and are under no obligation to structure this Agreement to reduce or eliminate Participant’s tax liability.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366" w:right="239" w:bottom="1440" w:gutter="0" w:footer="0" w:header="0"/>
        </w:sectPr>
      </w:pPr>
    </w:p>
    <w:bookmarkStart w:id="56" w:name="page57"/>
    <w:bookmarkEnd w:id="56"/>
    <w:p>
      <w:pPr>
        <w:jc w:val="center"/>
        <w:ind w:right="180"/>
        <w:spacing w:after="0"/>
        <w:rPr>
          <w:sz w:val="20"/>
          <w:szCs w:val="20"/>
          <w:color w:val="auto"/>
        </w:rPr>
      </w:pPr>
      <w:r>
        <w:rPr>
          <w:rFonts w:ascii="Arial" w:cs="Arial" w:eastAsia="Arial" w:hAnsi="Arial"/>
          <w:sz w:val="20"/>
          <w:szCs w:val="20"/>
          <w:b w:val="1"/>
          <w:bCs w:val="1"/>
          <w:color w:val="auto"/>
        </w:rPr>
        <w:t>ARTICLE V.</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RESTRICTIVE LEGENDS AND STOP-TRANSFER ORDERS</w:t>
      </w:r>
    </w:p>
    <w:p>
      <w:pPr>
        <w:spacing w:after="0" w:line="19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u w:val="single" w:color="auto"/>
          <w:color w:val="auto"/>
        </w:rPr>
        <w:t>Legends</w:t>
      </w:r>
      <w:r>
        <w:rPr>
          <w:rFonts w:ascii="Arial" w:cs="Arial" w:eastAsia="Arial" w:hAnsi="Arial"/>
          <w:sz w:val="20"/>
          <w:szCs w:val="20"/>
          <w:color w:val="auto"/>
        </w:rPr>
        <w:t>. The certificate or certificates representing the Shares, if any, shall bear the following legend (as well as any legends required by the Company’s charter and applicable law):</w:t>
      </w:r>
    </w:p>
    <w:p>
      <w:pPr>
        <w:spacing w:after="0" w:line="177" w:lineRule="exact"/>
        <w:rPr>
          <w:sz w:val="20"/>
          <w:szCs w:val="20"/>
          <w:color w:val="auto"/>
        </w:rPr>
      </w:pPr>
    </w:p>
    <w:p>
      <w:pPr>
        <w:jc w:val="both"/>
        <w:ind w:left="1300"/>
        <w:spacing w:after="0" w:line="246" w:lineRule="auto"/>
        <w:rPr>
          <w:sz w:val="20"/>
          <w:szCs w:val="20"/>
          <w:color w:val="auto"/>
        </w:rPr>
      </w:pPr>
      <w:r>
        <w:rPr>
          <w:rFonts w:ascii="Arial" w:cs="Arial" w:eastAsia="Arial" w:hAnsi="Arial"/>
          <w:sz w:val="20"/>
          <w:szCs w:val="20"/>
          <w:color w:val="auto"/>
        </w:rPr>
        <w:t>THE SHARES REPRESENTED BY THIS CERTIFICATE ARE SUBJECT TO FORFEITURE IN FAVOR OF THE COMPANY AND MAY BE TRANSFERRED ONLY IN ACCORDANCE WITH THE TERMS OF A RESTRICTED STOCK AGREEMENT BETWEEN THE COMPANY AND THE STOCKHOLDER, A COPY OF WHICH IS ON FILE WITH THE SECRETARY OF THE COMPANY.</w:t>
      </w:r>
    </w:p>
    <w:p>
      <w:pPr>
        <w:spacing w:after="0" w:line="19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u w:val="single" w:color="auto"/>
          <w:color w:val="auto"/>
        </w:rPr>
        <w:t>Refusal to Transfer; Stop-Transfer Notices</w:t>
      </w:r>
      <w:r>
        <w:rPr>
          <w:rFonts w:ascii="Arial" w:cs="Arial" w:eastAsia="Arial" w:hAnsi="Arial"/>
          <w:sz w:val="20"/>
          <w:szCs w:val="20"/>
          <w:color w:val="auto"/>
        </w:rPr>
        <w:t>. The Company shall not be required (a) to transfer on its books any Shares that have been sold or otherwise transferred in violation of any of the provisions of this Agreement or (b) to treat as owner of such Shares or to accord the right to vote or pay dividends to any purchaser or other transferee to whom such Shares shall have been so transferred.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9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u w:val="single" w:color="auto"/>
          <w:color w:val="auto"/>
        </w:rPr>
        <w:t>Removal of Legend</w:t>
      </w:r>
      <w:r>
        <w:rPr>
          <w:rFonts w:ascii="Arial" w:cs="Arial" w:eastAsia="Arial" w:hAnsi="Arial"/>
          <w:sz w:val="20"/>
          <w:szCs w:val="20"/>
          <w:color w:val="auto"/>
        </w:rPr>
        <w:t>. After such time as the Forfeiture Restriction shall have lapsed with respect to the Shares, and upon Participant’s request, a new certificate or certificates representing such Shares shall be issued without the legend referred to in Section 5.1 and delivered to Participant. If the Shares are held in book entry form, the Company shall cause any restrictions noted on the book form to be removed.</w:t>
      </w:r>
    </w:p>
    <w:p>
      <w:pPr>
        <w:spacing w:after="0" w:line="186" w:lineRule="exact"/>
        <w:rPr>
          <w:sz w:val="20"/>
          <w:szCs w:val="20"/>
          <w:color w:val="auto"/>
        </w:rPr>
      </w:pPr>
    </w:p>
    <w:p>
      <w:pPr>
        <w:ind w:left="5020"/>
        <w:spacing w:after="0"/>
        <w:rPr>
          <w:sz w:val="20"/>
          <w:szCs w:val="20"/>
          <w:color w:val="auto"/>
        </w:rPr>
      </w:pPr>
      <w:r>
        <w:rPr>
          <w:rFonts w:ascii="Arial" w:cs="Arial" w:eastAsia="Arial" w:hAnsi="Arial"/>
          <w:sz w:val="20"/>
          <w:szCs w:val="20"/>
          <w:b w:val="1"/>
          <w:bCs w:val="1"/>
          <w:color w:val="auto"/>
        </w:rPr>
        <w:t>ARTICLE VI.</w:t>
      </w:r>
    </w:p>
    <w:p>
      <w:pPr>
        <w:spacing w:after="0" w:line="189" w:lineRule="exact"/>
        <w:rPr>
          <w:sz w:val="20"/>
          <w:szCs w:val="20"/>
          <w:color w:val="auto"/>
        </w:rPr>
      </w:pPr>
    </w:p>
    <w:p>
      <w:pPr>
        <w:ind w:left="4720"/>
        <w:spacing w:after="0"/>
        <w:rPr>
          <w:sz w:val="20"/>
          <w:szCs w:val="20"/>
          <w:color w:val="auto"/>
        </w:rPr>
      </w:pPr>
      <w:r>
        <w:rPr>
          <w:rFonts w:ascii="Arial" w:cs="Arial" w:eastAsia="Arial" w:hAnsi="Arial"/>
          <w:sz w:val="20"/>
          <w:szCs w:val="20"/>
          <w:b w:val="1"/>
          <w:bCs w:val="1"/>
          <w:color w:val="auto"/>
        </w:rPr>
        <w:t>OTHER PROVISIONS</w:t>
      </w:r>
    </w:p>
    <w:p>
      <w:pPr>
        <w:spacing w:after="0" w:line="19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Administration</w:t>
      </w:r>
      <w:r>
        <w:rPr>
          <w:rFonts w:ascii="Arial" w:cs="Arial" w:eastAsia="Arial" w:hAnsi="Arial"/>
          <w:sz w:val="20"/>
          <w:szCs w:val="20"/>
          <w:color w:val="auto"/>
        </w:rPr>
        <w:t>. The Committee shall have the power to interpret the Plan, the Grant Notice and this Agreement and to adopt such rules for the administration, interpretation and application of the Plan, the Grant Notice and this Agreement as are consistent therewith and to interpret, amend or revoke any such rules. All actions taken and all interpretations and determinations made by the Committee will be final, binding, and conclusive upon Participant, the Company and all other interested persons. To the extent allowable pursuant to applicable law, no member of the Committee or the Board will be personally liable for any action, determination or interpretation made with respect to the Plan, the Grant Notice or this Agreement.</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Shares Not Transferable</w:t>
      </w:r>
      <w:r>
        <w:rPr>
          <w:rFonts w:ascii="Arial" w:cs="Arial" w:eastAsia="Arial" w:hAnsi="Arial"/>
          <w:sz w:val="19"/>
          <w:szCs w:val="19"/>
          <w:color w:val="auto"/>
        </w:rPr>
        <w:t>. The Shares and Retained Distributions may not be sold, pledged, assigned or transferred in any manner unless and until the Forfeiture Restrictions have lapsed. No Unreleased Shares or Retained Distributions 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589" w:right="239" w:bottom="1440" w:gutter="0" w:footer="0" w:header="0"/>
        </w:sectPr>
      </w:pPr>
    </w:p>
    <w:bookmarkStart w:id="57" w:name="page58"/>
    <w:bookmarkEnd w:id="57"/>
    <w:p>
      <w:pPr>
        <w:jc w:val="both"/>
        <w:ind w:firstLine="648"/>
        <w:spacing w:after="0" w:line="250" w:lineRule="auto"/>
        <w:rPr>
          <w:sz w:val="20"/>
          <w:szCs w:val="20"/>
          <w:color w:val="auto"/>
        </w:rPr>
      </w:pPr>
      <w:r>
        <w:rPr>
          <w:rFonts w:ascii="Arial" w:cs="Arial" w:eastAsia="Arial" w:hAnsi="Arial"/>
          <w:sz w:val="20"/>
          <w:szCs w:val="20"/>
          <w:color w:val="auto"/>
        </w:rPr>
        <w:t xml:space="preserve">6.3 </w:t>
      </w:r>
      <w:r>
        <w:rPr>
          <w:rFonts w:ascii="Arial" w:cs="Arial" w:eastAsia="Arial" w:hAnsi="Arial"/>
          <w:sz w:val="20"/>
          <w:szCs w:val="20"/>
          <w:u w:val="single" w:color="auto"/>
          <w:color w:val="auto"/>
        </w:rPr>
        <w:t>Adjustments</w:t>
      </w:r>
      <w:r>
        <w:rPr>
          <w:rFonts w:ascii="Arial" w:cs="Arial" w:eastAsia="Arial" w:hAnsi="Arial"/>
          <w:sz w:val="20"/>
          <w:szCs w:val="20"/>
          <w:color w:val="auto"/>
        </w:rPr>
        <w:t>. The Committee may accelerate the vesting of all or a portion of the Unreleased Shares in such circumstances as it, in its sole discretion, may determine. Participant acknowledges that the Shares are subject to adjustment, modification and termination in certain events as provided in this Agreement and Section 11 of the Plan.</w:t>
      </w:r>
    </w:p>
    <w:p>
      <w:pPr>
        <w:spacing w:after="0" w:line="18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6.4 </w:t>
      </w:r>
      <w:r>
        <w:rPr>
          <w:rFonts w:ascii="Arial" w:cs="Arial" w:eastAsia="Arial" w:hAnsi="Arial"/>
          <w:sz w:val="20"/>
          <w:szCs w:val="20"/>
          <w:u w:val="single" w:color="auto"/>
          <w:color w:val="auto"/>
        </w:rPr>
        <w:t>Notices</w:t>
      </w:r>
      <w:r>
        <w:rPr>
          <w:rFonts w:ascii="Arial" w:cs="Arial" w:eastAsia="Arial" w:hAnsi="Arial"/>
          <w:sz w:val="20"/>
          <w:szCs w:val="20"/>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6.4,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9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6.5 </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interpretation or construction of this Agreement.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6.6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and construed in accordance with the internal laws of Bermuda without reference to the principles of conflicts of laws thereof.</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6.7 </w:t>
      </w:r>
      <w:r>
        <w:rPr>
          <w:rFonts w:ascii="Arial" w:cs="Arial" w:eastAsia="Arial" w:hAnsi="Arial"/>
          <w:sz w:val="20"/>
          <w:szCs w:val="20"/>
          <w:u w:val="single" w:color="auto"/>
          <w:color w:val="auto"/>
        </w:rPr>
        <w:t>Conformity to Securities Laws</w:t>
      </w:r>
      <w:r>
        <w:rPr>
          <w:rFonts w:ascii="Arial" w:cs="Arial" w:eastAsia="Arial" w:hAnsi="Arial"/>
          <w:sz w:val="20"/>
          <w:szCs w:val="20"/>
          <w:color w:val="auto"/>
        </w:rPr>
        <w:t>. Participant acknowledges that the Plan, the Grant Notice and this Agreement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Notwithstanding anything herein to the contrary, the Plan shall be administered, and the Shares are granted, only in such a manner as to conform to applicable law. To the extent permitted by applicable law, the Plan and this Agreement shall be deemed amended to the extent necessary to conform to applicable law.</w:t>
      </w:r>
    </w:p>
    <w:p>
      <w:pPr>
        <w:spacing w:after="0" w:line="19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6.8 </w:t>
      </w:r>
      <w:r>
        <w:rPr>
          <w:rFonts w:ascii="Arial" w:cs="Arial" w:eastAsia="Arial" w:hAnsi="Arial"/>
          <w:sz w:val="20"/>
          <w:szCs w:val="20"/>
          <w:u w:val="single" w:color="auto"/>
          <w:color w:val="auto"/>
        </w:rPr>
        <w:t>Amendment, Suspension and Termination</w:t>
      </w:r>
      <w:r>
        <w:rPr>
          <w:rFonts w:ascii="Arial" w:cs="Arial" w:eastAsia="Arial" w:hAnsi="Arial"/>
          <w:sz w:val="20"/>
          <w:szCs w:val="20"/>
          <w:color w:val="auto"/>
        </w:rPr>
        <w:t>. To the extent permitted by the Plan, this Agreement may be wholly or partially amended or otherwise modified, suspended or terminated at any time or from time to time by the Committee or the Board</w:t>
      </w:r>
      <w:r>
        <w:rPr>
          <w:rFonts w:ascii="Arial" w:cs="Arial" w:eastAsia="Arial" w:hAnsi="Arial"/>
          <w:sz w:val="20"/>
          <w:szCs w:val="20"/>
          <w:i w:val="1"/>
          <w:iCs w:val="1"/>
          <w:color w:val="auto"/>
        </w:rPr>
        <w:t>,</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except as may otherwise be provided by the Plan, no amendment, modification, suspension or termination of this Agreement shall adversely affect the Shares in any material way without the prior written consent of Participant.</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6.9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under this Agreement to single or multiple assignees, and this Agreement shall inure to the benefit of the successors and assigns of the Company. Subject to the restrictions on transfer set forth in Section 6.2 and the Plan, this Agreement shall be binding upon and inure to the benefit of the heirs, legatees, legal representatives, successors and assigns of the parties hereto.</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6.10 </w:t>
      </w:r>
      <w:r>
        <w:rPr>
          <w:rFonts w:ascii="Arial" w:cs="Arial" w:eastAsia="Arial" w:hAnsi="Arial"/>
          <w:sz w:val="19"/>
          <w:szCs w:val="19"/>
          <w:u w:val="single" w:color="auto"/>
          <w:color w:val="auto"/>
        </w:rPr>
        <w:t>Limitations Applicable to Section 16 Persons</w:t>
      </w:r>
      <w:r>
        <w:rPr>
          <w:rFonts w:ascii="Arial" w:cs="Arial" w:eastAsia="Arial" w:hAnsi="Arial"/>
          <w:sz w:val="19"/>
          <w:szCs w:val="19"/>
          <w:color w:val="auto"/>
        </w:rPr>
        <w:t>. Notwithstanding any other provision of the Plan or this Agreement, if Participant is subject to Section 16 of the Exchange Act, the Plan, the Shares, the Grant Notice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8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6.11 </w:t>
      </w:r>
      <w:r>
        <w:rPr>
          <w:rFonts w:ascii="Arial" w:cs="Arial" w:eastAsia="Arial" w:hAnsi="Arial"/>
          <w:sz w:val="20"/>
          <w:szCs w:val="20"/>
          <w:u w:val="single" w:color="auto"/>
          <w:color w:val="auto"/>
        </w:rPr>
        <w:t>Not a Contract of Employment</w:t>
      </w:r>
      <w:r>
        <w:rPr>
          <w:rFonts w:ascii="Arial" w:cs="Arial" w:eastAsia="Arial" w:hAnsi="Arial"/>
          <w:sz w:val="20"/>
          <w:szCs w:val="20"/>
          <w:color w:val="auto"/>
        </w:rPr>
        <w:t>. Nothing in this Agreement or in the Plan shall confer upon Participant any right to continue to serve as an employee or other service provider of the Company or any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366" w:right="239" w:bottom="1440" w:gutter="0" w:footer="0" w:header="0"/>
        </w:sectPr>
      </w:pPr>
    </w:p>
    <w:bookmarkStart w:id="58" w:name="page59"/>
    <w:bookmarkEnd w:id="58"/>
    <w:p>
      <w:pPr>
        <w:jc w:val="both"/>
        <w:spacing w:after="0" w:line="269" w:lineRule="auto"/>
        <w:rPr>
          <w:sz w:val="20"/>
          <w:szCs w:val="20"/>
          <w:color w:val="auto"/>
        </w:rPr>
      </w:pPr>
      <w:r>
        <w:rPr>
          <w:rFonts w:ascii="Arial" w:cs="Arial" w:eastAsia="Arial" w:hAnsi="Arial"/>
          <w:sz w:val="19"/>
          <w:szCs w:val="19"/>
          <w:color w:val="auto"/>
        </w:rPr>
        <w:t>of its Affiliates or shall interfere with or restrict in any way the rights of the Company or its Affiliates, which rights are hereby expressly reserved, to discharge or terminate the services of Participant at any time for any reason whatsoever, with or without cause, except to the extent expressly provided otherwise in a written agreement between the Company or one of its Affiliates and Participant.</w:t>
      </w:r>
    </w:p>
    <w:p>
      <w:pPr>
        <w:spacing w:after="0" w:line="1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6.12 </w:t>
      </w:r>
      <w:r>
        <w:rPr>
          <w:rFonts w:ascii="Arial" w:cs="Arial" w:eastAsia="Arial" w:hAnsi="Arial"/>
          <w:sz w:val="20"/>
          <w:szCs w:val="20"/>
          <w:u w:val="single" w:color="auto"/>
          <w:color w:val="auto"/>
        </w:rPr>
        <w:t>Entire Agreement</w:t>
      </w:r>
      <w:r>
        <w:rPr>
          <w:rFonts w:ascii="Arial" w:cs="Arial" w:eastAsia="Arial" w:hAnsi="Arial"/>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8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Sections 409A and 457A</w:t>
      </w:r>
      <w:r>
        <w:rPr>
          <w:rFonts w:ascii="Arial" w:cs="Arial" w:eastAsia="Arial" w:hAnsi="Arial"/>
          <w:sz w:val="18"/>
          <w:szCs w:val="18"/>
          <w:color w:val="auto"/>
        </w:rPr>
        <w:t>. This Agreement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18"/>
          <w:szCs w:val="18"/>
          <w:u w:val="single" w:color="auto"/>
          <w:color w:val="auto"/>
        </w:rPr>
        <w:t>Section 409A</w:t>
      </w:r>
      <w:r>
        <w:rPr>
          <w:rFonts w:ascii="Arial" w:cs="Arial" w:eastAsia="Arial" w:hAnsi="Arial"/>
          <w:sz w:val="18"/>
          <w:szCs w:val="18"/>
          <w:color w:val="auto"/>
        </w:rPr>
        <w:t>”). However, notwithstanding any other provision of the Plan, the Grant Notice or this Agreement, if at any time the Committee determines that this Agreement (or any portion thereof) may be subject to Section 409A or Section 457A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18"/>
          <w:szCs w:val="18"/>
          <w:u w:val="single" w:color="auto"/>
          <w:color w:val="auto"/>
        </w:rPr>
        <w:t>Section 457A</w:t>
      </w:r>
      <w:r>
        <w:rPr>
          <w:rFonts w:ascii="Arial" w:cs="Arial" w:eastAsia="Arial" w:hAnsi="Arial"/>
          <w:sz w:val="18"/>
          <w:szCs w:val="18"/>
          <w:color w:val="auto"/>
        </w:rPr>
        <w:t>”), the Committee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Committee determines are necessary or appropriate for this Agreement and the award of Shares either to be exempt from the application of Section 409A or Section 457A or to comply with the requirements of Section 409A or Section 457A.</w:t>
      </w:r>
    </w:p>
    <w:p>
      <w:pPr>
        <w:spacing w:after="0" w:line="171"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 xml:space="preserve">6.14 </w:t>
      </w: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6.15 </w:t>
      </w:r>
      <w:r>
        <w:rPr>
          <w:rFonts w:ascii="Arial" w:cs="Arial" w:eastAsia="Arial" w:hAnsi="Arial"/>
          <w:sz w:val="19"/>
          <w:szCs w:val="19"/>
          <w:u w:val="single" w:color="auto"/>
          <w:color w:val="auto"/>
        </w:rPr>
        <w:t>Limitation on Participant’s Rights</w:t>
      </w:r>
      <w:r>
        <w:rPr>
          <w:rFonts w:ascii="Arial" w:cs="Arial" w:eastAsia="Arial" w:hAnsi="Arial"/>
          <w:sz w:val="19"/>
          <w:szCs w:val="19"/>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with respect to amounts credited and benefits payable, if any, with respect to the Shares.</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6.16 </w:t>
      </w:r>
      <w:r>
        <w:rPr>
          <w:rFonts w:ascii="Arial" w:cs="Arial" w:eastAsia="Arial" w:hAnsi="Arial"/>
          <w:sz w:val="19"/>
          <w:szCs w:val="19"/>
          <w:u w:val="single" w:color="auto"/>
          <w:color w:val="auto"/>
        </w:rPr>
        <w:t>Counterparts</w:t>
      </w:r>
      <w:r>
        <w:rPr>
          <w:rFonts w:ascii="Arial" w:cs="Arial" w:eastAsia="Arial" w:hAnsi="Arial"/>
          <w:sz w:val="19"/>
          <w:szCs w:val="19"/>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5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6.17 </w:t>
      </w:r>
      <w:r>
        <w:rPr>
          <w:rFonts w:ascii="Arial" w:cs="Arial" w:eastAsia="Arial" w:hAnsi="Arial"/>
          <w:sz w:val="18"/>
          <w:szCs w:val="18"/>
          <w:u w:val="single" w:color="auto"/>
          <w:color w:val="auto"/>
        </w:rPr>
        <w:t>Broker-Assisted Sales</w:t>
      </w:r>
      <w:r>
        <w:rPr>
          <w:rFonts w:ascii="Arial" w:cs="Arial" w:eastAsia="Arial" w:hAnsi="Arial"/>
          <w:sz w:val="18"/>
          <w:szCs w:val="18"/>
          <w:color w:val="auto"/>
        </w:rPr>
        <w:t xml:space="preserve">. In the event of any broker-assisted sale of shares of Stock in connection with the payment of withholding taxes as provided in Section 4.3(a)(iii) or Section 4.3(a)(v): (A) any shares of Stock to be sold through a broker-assisted sale will be sold on the day the tax withholding obligation arises or as soon thereafter as practicable; (B) such shares of Stock may be sold as part of a block trade with other participants in the Plan in which all participants receive an average price; (C) Participant will be responsible for all broker’s fees and other costs of sale, and Participant agrees to indemnify and hold the Company harmless from any losses, costs, damages, or expenses relating to any such sale; (D) to the extent the proceeds of such sale exceed the applicable </w:t>
      </w:r>
      <w:r>
        <w:rPr>
          <w:rFonts w:ascii="Arial" w:cs="Arial" w:eastAsia="Arial" w:hAnsi="Arial"/>
          <w:sz w:val="18"/>
          <w:szCs w:val="18"/>
          <w:u w:val="single" w:color="auto"/>
          <w:color w:val="auto"/>
        </w:rPr>
        <w:t>tax withholding obli</w:t>
      </w:r>
      <w:r>
        <w:rPr>
          <w:rFonts w:ascii="Arial" w:cs="Arial" w:eastAsia="Arial" w:hAnsi="Arial"/>
          <w:sz w:val="18"/>
          <w:szCs w:val="18"/>
          <w:color w:val="auto"/>
        </w:rPr>
        <w:t>gation, the Company agrees to pay such excess in cash to Participant as soon as reasonably practicable; (E) Participant acknowledges that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366" w:right="239" w:bottom="1440" w:gutter="0" w:footer="0" w:header="0"/>
        </w:sectPr>
      </w:pPr>
    </w:p>
    <w:bookmarkStart w:id="59" w:name="page60"/>
    <w:bookmarkEnd w:id="59"/>
    <w:p>
      <w:pPr>
        <w:jc w:val="both"/>
        <w:spacing w:after="0" w:line="244" w:lineRule="auto"/>
        <w:rPr>
          <w:sz w:val="20"/>
          <w:szCs w:val="20"/>
          <w:color w:val="auto"/>
        </w:rPr>
      </w:pPr>
      <w:r>
        <w:rPr>
          <w:rFonts w:ascii="Arial" w:cs="Arial" w:eastAsia="Arial" w:hAnsi="Arial"/>
          <w:sz w:val="20"/>
          <w:szCs w:val="20"/>
          <w:color w:val="auto"/>
        </w:rPr>
        <w:t>the Company or its designee is under no obligation to arrange for such sale at any particular price, and that the proceeds of any such sale may not be sufficient to satisfy the applicable tax withholding obligation; and (F) in the event the proceeds of such sale are insufficient to satisfy the applicable tax withholding obligation, Participant agrees to pay immediately upon demand to the Company or its Affiliate with respect to which the withholding obligation arises an amount in cash sufficient to satisfy any remaining portion of the Company’s or the applicable Affiliate’s withholding obligation.</w:t>
      </w:r>
    </w:p>
    <w:p>
      <w:pPr>
        <w:spacing w:after="0" w:line="19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6.18 </w:t>
      </w:r>
      <w:r>
        <w:rPr>
          <w:rFonts w:ascii="Arial" w:cs="Arial" w:eastAsia="Arial" w:hAnsi="Arial"/>
          <w:sz w:val="18"/>
          <w:szCs w:val="18"/>
          <w:u w:val="single" w:color="auto"/>
          <w:color w:val="auto"/>
        </w:rPr>
        <w:t>Lock-Up</w:t>
      </w:r>
      <w:r>
        <w:rPr>
          <w:rFonts w:ascii="Arial" w:cs="Arial" w:eastAsia="Arial" w:hAnsi="Arial"/>
          <w:sz w:val="18"/>
          <w:szCs w:val="18"/>
          <w:color w:val="auto"/>
        </w:rPr>
        <w:t>. Participant shall agree, if so requested by the Company and any underwriter in connection with any public offering of securities of the Company, not to directly or indirectly offer, sell, contract to sell, sell any option or contract to purchase, purchase any option or contract to sell, grant any option, right or warrant for the sale of or otherwise dispose of or transfer any shares of Common Stock held by him or her for such period, not to exceed one hundred eighty (180) days following the effective date of the relevant registration statement filed under the Securities Act in connection with such public offering, as such underwriter shall specify reasonably and in good faith. The Company may impose stop-transfer instructions with respect to securities subject to the foregoing restrictions until the end of such 180-day period.</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6.19 </w:t>
      </w:r>
      <w:r>
        <w:rPr>
          <w:rFonts w:ascii="Arial" w:cs="Arial" w:eastAsia="Arial" w:hAnsi="Arial"/>
          <w:sz w:val="19"/>
          <w:szCs w:val="19"/>
          <w:u w:val="single" w:color="auto"/>
          <w:color w:val="auto"/>
        </w:rPr>
        <w:t>Acceptance of Agreement, Plan and Grant Notice</w:t>
      </w:r>
      <w:r>
        <w:rPr>
          <w:rFonts w:ascii="Arial" w:cs="Arial" w:eastAsia="Arial" w:hAnsi="Arial"/>
          <w:sz w:val="19"/>
          <w:szCs w:val="19"/>
          <w:color w:val="auto"/>
        </w:rPr>
        <w:t>. By his or her acceptance of the Grant Notice, Participant agrees to be bound by the terms and conditions of the Agreement, the Plan and the Grant Notice. Participant has reviewed the Agreement, the Plan and the Grant Notice in their entirety, has had an opportunity to obtain the advice of counsel prior to accepting the Grant Notice and fully understands all provisions of the Grant Notice, the Agreement and the Plan. Participant agrees to accept as binding, conclusive and final all decisions or interpretations of the Committee upon any questions arising under the Agreement, Plan or the Grant Notice.</w:t>
      </w:r>
    </w:p>
    <w:p>
      <w:pPr>
        <w:spacing w:after="0" w:line="200" w:lineRule="exact"/>
        <w:rPr>
          <w:sz w:val="20"/>
          <w:szCs w:val="20"/>
          <w:color w:val="auto"/>
        </w:rPr>
      </w:pPr>
    </w:p>
    <w:p>
      <w:pPr>
        <w:spacing w:after="0" w:line="210" w:lineRule="exact"/>
        <w:rPr>
          <w:sz w:val="20"/>
          <w:szCs w:val="20"/>
          <w:color w:val="auto"/>
        </w:rPr>
      </w:pPr>
    </w:p>
    <w:p>
      <w:pPr>
        <w:jc w:val="center"/>
        <w:spacing w:after="0"/>
        <w:tabs>
          <w:tab w:leader="none" w:pos="180" w:val="left"/>
          <w:tab w:leader="none" w:pos="180" w:val="left"/>
        </w:tabs>
        <w:rPr>
          <w:sz w:val="20"/>
          <w:szCs w:val="20"/>
          <w:color w:val="auto"/>
        </w:rPr>
      </w:pPr>
      <w:r>
        <w:rPr>
          <w:rFonts w:ascii="Arial" w:cs="Arial" w:eastAsia="Arial" w:hAnsi="Arial"/>
          <w:sz w:val="20"/>
          <w:szCs w:val="20"/>
          <w:color w:val="auto"/>
        </w:rPr>
        <w:t>*</w:t>
        <w:tab/>
        <w:t>*</w:t>
        <w:tab/>
        <w:t>*</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366"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20"/>
          <w:szCs w:val="20"/>
          <w:b w:val="1"/>
          <w:bCs w:val="1"/>
          <w:color w:val="auto"/>
        </w:rPr>
        <w:t>EXHIBIT A</w:t>
      </w:r>
    </w:p>
    <w:p>
      <w:pPr>
        <w:spacing w:after="0" w:line="229" w:lineRule="exact"/>
        <w:rPr>
          <w:sz w:val="20"/>
          <w:szCs w:val="20"/>
          <w:color w:val="auto"/>
        </w:rPr>
      </w:pPr>
    </w:p>
    <w:p>
      <w:pPr>
        <w:ind w:left="4420"/>
        <w:spacing w:after="0"/>
        <w:rPr>
          <w:sz w:val="20"/>
          <w:szCs w:val="20"/>
          <w:color w:val="auto"/>
        </w:rPr>
      </w:pPr>
      <w:r>
        <w:rPr>
          <w:rFonts w:ascii="Arial" w:cs="Arial" w:eastAsia="Arial" w:hAnsi="Arial"/>
          <w:sz w:val="20"/>
          <w:szCs w:val="20"/>
          <w:b w:val="1"/>
          <w:bCs w:val="1"/>
          <w:color w:val="auto"/>
        </w:rPr>
        <w:t>CERTAIN DEFINED TERMS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For purposes of the Grant Notice and the Agreement, the following terms have the following meanings:</w:t>
      </w:r>
    </w:p>
    <w:p>
      <w:pPr>
        <w:spacing w:after="0" w:line="108" w:lineRule="exact"/>
        <w:rPr>
          <w:sz w:val="20"/>
          <w:szCs w:val="20"/>
          <w:color w:val="auto"/>
        </w:rPr>
      </w:pPr>
    </w:p>
    <w:p>
      <w:pPr>
        <w:jc w:val="both"/>
        <w:ind w:firstLine="1305"/>
        <w:spacing w:after="0" w:line="271" w:lineRule="auto"/>
        <w:tabs>
          <w:tab w:leader="none" w:pos="1815"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Book Value</w:t>
      </w:r>
      <w:r>
        <w:rPr>
          <w:rFonts w:ascii="Arial" w:cs="Arial" w:eastAsia="Arial" w:hAnsi="Arial"/>
          <w:sz w:val="18"/>
          <w:szCs w:val="18"/>
          <w:color w:val="auto"/>
        </w:rPr>
        <w:t xml:space="preserve">” means, for any year, (i) the consolidated stockholder’s equity of the Company computed in accordance with GAAP, as reflected in the Company’s financial statements,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accumulated other comprehensive income (loss) (within the meaning of GAAP) as reflected in the Company’s financial statements,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the proceeds from the assumed exercise of all outstanding “in-the-money” stock options, warrants, or similar instruments,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(iv) cash dividends and other distributions paid in respect of the Company’s outstanding equity, and assuming that all cash dividends and cash distributions are immediately reinvested in common shares of the Company using the closing market price on the ex-dividend date, plus (v) any amounts paid by the Company to its equityholders for the repurchase of shares of Company’s outstanding equity. For purposes of determining “Adjusted Book Value” (A) the following items shall not be taken into account, (x) the cumulative effect of changes in accounting principles under GAAP, (y) the cumulative effective of changes in tax laws and/or tax rates, and (z) the impact of extraordinary, unusual and/or non-recurring items, in each case, at the discretion of the Committee and (B) there shall be adjustments to give effect to any stock dividends or stock splits.</w:t>
      </w:r>
    </w:p>
    <w:p>
      <w:pPr>
        <w:spacing w:after="0" w:line="174" w:lineRule="exact"/>
        <w:rPr>
          <w:rFonts w:ascii="Arial" w:cs="Arial" w:eastAsia="Arial" w:hAnsi="Arial"/>
          <w:sz w:val="18"/>
          <w:szCs w:val="18"/>
          <w:b w:val="1"/>
          <w:bCs w:val="1"/>
          <w:color w:val="auto"/>
        </w:rPr>
      </w:pPr>
    </w:p>
    <w:p>
      <w:pPr>
        <w:ind w:firstLine="1305"/>
        <w:spacing w:after="0" w:line="260" w:lineRule="auto"/>
        <w:tabs>
          <w:tab w:leader="none" w:pos="1759" w:val="left"/>
        </w:tabs>
        <w:numPr>
          <w:ilvl w:val="0"/>
          <w:numId w:val="29"/>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BVPS</w:t>
      </w:r>
      <w:r>
        <w:rPr>
          <w:rFonts w:ascii="Arial" w:cs="Arial" w:eastAsia="Arial" w:hAnsi="Arial"/>
          <w:sz w:val="20"/>
          <w:szCs w:val="20"/>
          <w:color w:val="auto"/>
        </w:rPr>
        <w:t>” means, for any year, Adjusted Book Value divided by Diluted Common Shares Outstanding, as determined by the Committee in good faith.</w:t>
      </w:r>
    </w:p>
    <w:p>
      <w:pPr>
        <w:spacing w:after="0" w:line="176" w:lineRule="exact"/>
        <w:rPr>
          <w:rFonts w:ascii="Arial" w:cs="Arial" w:eastAsia="Arial" w:hAnsi="Arial"/>
          <w:sz w:val="20"/>
          <w:szCs w:val="20"/>
          <w:b w:val="1"/>
          <w:bCs w:val="1"/>
          <w:color w:val="auto"/>
        </w:rPr>
      </w:pPr>
    </w:p>
    <w:p>
      <w:pPr>
        <w:ind w:firstLine="1305"/>
        <w:spacing w:after="0" w:line="316" w:lineRule="auto"/>
        <w:tabs>
          <w:tab w:leader="none" w:pos="1723"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BVPS Growth Percentage</w:t>
      </w:r>
      <w:r>
        <w:rPr>
          <w:rFonts w:ascii="Arial" w:cs="Arial" w:eastAsia="Arial" w:hAnsi="Arial"/>
          <w:sz w:val="18"/>
          <w:szCs w:val="18"/>
          <w:color w:val="auto"/>
        </w:rPr>
        <w:t>” means, for the Performance Period, the compounded annual growth rate in BVPS measured at the end of the Performance Period over the BVPS measured at the end of the year prior to the beginning of the Performance Period.</w:t>
      </w:r>
    </w:p>
    <w:p>
      <w:pPr>
        <w:spacing w:after="0" w:line="130" w:lineRule="exact"/>
        <w:rPr>
          <w:rFonts w:ascii="Arial" w:cs="Arial" w:eastAsia="Arial" w:hAnsi="Arial"/>
          <w:sz w:val="18"/>
          <w:szCs w:val="18"/>
          <w:b w:val="1"/>
          <w:bCs w:val="1"/>
          <w:color w:val="auto"/>
        </w:rPr>
      </w:pPr>
    </w:p>
    <w:p>
      <w:pPr>
        <w:ind w:right="20" w:firstLine="1305"/>
        <w:spacing w:after="0" w:line="260" w:lineRule="auto"/>
        <w:tabs>
          <w:tab w:leader="none" w:pos="1799" w:val="left"/>
        </w:tabs>
        <w:numPr>
          <w:ilvl w:val="0"/>
          <w:numId w:val="29"/>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BVPS Vesting Percentage</w:t>
      </w:r>
      <w:r>
        <w:rPr>
          <w:rFonts w:ascii="Arial" w:cs="Arial" w:eastAsia="Arial" w:hAnsi="Arial"/>
          <w:sz w:val="20"/>
          <w:szCs w:val="20"/>
          <w:color w:val="auto"/>
        </w:rPr>
        <w:t>” means a function of the BVPS Growth Percentage achieved by the Company during the Performance Period, rounded to the nearest tenth of a percent (0.1%), and shall be determined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254875" cy="2306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875" cy="2306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220"/>
        <w:spacing w:after="0"/>
        <w:rPr>
          <w:sz w:val="20"/>
          <w:szCs w:val="20"/>
          <w:color w:val="auto"/>
        </w:rPr>
      </w:pPr>
      <w:r>
        <w:rPr>
          <w:rFonts w:ascii="Arial" w:cs="Arial" w:eastAsia="Arial" w:hAnsi="Arial"/>
          <w:sz w:val="20"/>
          <w:szCs w:val="20"/>
          <w:color w:val="auto"/>
        </w:rPr>
        <w:t>“Threshold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“Target/Maximum Level”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900" w:type="dxa"/>
            <w:vAlign w:val="bottom"/>
          </w:tcPr>
          <w:p>
            <w:pPr>
              <w:jc w:val="center"/>
              <w:ind w:right="721"/>
              <w:spacing w:after="0"/>
              <w:rPr>
                <w:sz w:val="20"/>
                <w:szCs w:val="20"/>
                <w:color w:val="auto"/>
              </w:rPr>
            </w:pPr>
            <w:r>
              <w:rPr>
                <w:rFonts w:ascii="Arial" w:cs="Arial" w:eastAsia="Arial" w:hAnsi="Arial"/>
                <w:sz w:val="20"/>
                <w:szCs w:val="20"/>
                <w:u w:val="single" w:color="auto"/>
                <w:color w:val="auto"/>
                <w:w w:val="89"/>
              </w:rPr>
              <w:t>BVPS Growth Percentage</w:t>
            </w:r>
          </w:p>
        </w:tc>
        <w:tc>
          <w:tcPr>
            <w:tcW w:w="2980" w:type="dxa"/>
            <w:vAlign w:val="bottom"/>
          </w:tcPr>
          <w:p>
            <w:pPr>
              <w:spacing w:after="0"/>
              <w:rPr>
                <w:sz w:val="19"/>
                <w:szCs w:val="19"/>
                <w:color w:val="auto"/>
              </w:rPr>
            </w:pPr>
          </w:p>
        </w:tc>
      </w:tr>
      <w:tr>
        <w:trPr>
          <w:trHeight w:val="230"/>
        </w:trPr>
        <w:tc>
          <w:tcPr>
            <w:tcW w:w="2900" w:type="dxa"/>
            <w:vAlign w:val="bottom"/>
          </w:tcPr>
          <w:p>
            <w:pPr>
              <w:jc w:val="center"/>
              <w:ind w:right="701"/>
              <w:spacing w:after="0"/>
              <w:rPr>
                <w:sz w:val="20"/>
                <w:szCs w:val="20"/>
                <w:color w:val="auto"/>
              </w:rPr>
            </w:pPr>
            <w:r>
              <w:rPr>
                <w:rFonts w:ascii="Arial" w:cs="Arial" w:eastAsia="Arial" w:hAnsi="Arial"/>
                <w:sz w:val="20"/>
                <w:szCs w:val="20"/>
                <w:color w:val="auto"/>
                <w:w w:val="87"/>
              </w:rPr>
              <w:t>(rounded to the nearest</w:t>
            </w:r>
          </w:p>
        </w:tc>
        <w:tc>
          <w:tcPr>
            <w:tcW w:w="2980" w:type="dxa"/>
            <w:vAlign w:val="bottom"/>
          </w:tcPr>
          <w:p>
            <w:pPr>
              <w:spacing w:after="0"/>
              <w:rPr>
                <w:sz w:val="19"/>
                <w:szCs w:val="19"/>
                <w:color w:val="auto"/>
              </w:rPr>
            </w:pPr>
          </w:p>
        </w:tc>
      </w:tr>
      <w:tr>
        <w:trPr>
          <w:trHeight w:val="250"/>
        </w:trPr>
        <w:tc>
          <w:tcPr>
            <w:tcW w:w="2900" w:type="dxa"/>
            <w:vAlign w:val="bottom"/>
          </w:tcPr>
          <w:p>
            <w:pPr>
              <w:jc w:val="center"/>
              <w:ind w:right="721"/>
              <w:spacing w:after="0"/>
              <w:rPr>
                <w:sz w:val="20"/>
                <w:szCs w:val="20"/>
                <w:color w:val="auto"/>
              </w:rPr>
            </w:pPr>
            <w:r>
              <w:rPr>
                <w:rFonts w:ascii="Arial" w:cs="Arial" w:eastAsia="Arial" w:hAnsi="Arial"/>
                <w:sz w:val="20"/>
                <w:szCs w:val="20"/>
                <w:color w:val="auto"/>
                <w:w w:val="88"/>
              </w:rPr>
              <w:t>tenth of a percent)</w:t>
            </w:r>
          </w:p>
        </w:tc>
        <w:tc>
          <w:tcPr>
            <w:tcW w:w="2980" w:type="dxa"/>
            <w:vAlign w:val="bottom"/>
          </w:tcPr>
          <w:p>
            <w:pPr>
              <w:ind w:left="820"/>
              <w:spacing w:after="0"/>
              <w:rPr>
                <w:sz w:val="20"/>
                <w:szCs w:val="20"/>
                <w:color w:val="auto"/>
              </w:rPr>
            </w:pPr>
            <w:r>
              <w:rPr>
                <w:rFonts w:ascii="Arial" w:cs="Arial" w:eastAsia="Arial" w:hAnsi="Arial"/>
                <w:sz w:val="20"/>
                <w:szCs w:val="20"/>
                <w:u w:val="single" w:color="auto"/>
                <w:color w:val="auto"/>
                <w:w w:val="88"/>
              </w:rPr>
              <w:t>BVPS Vesting Percentage</w:t>
            </w:r>
            <w:r>
              <w:rPr>
                <w:rFonts w:ascii="Arial" w:cs="Arial" w:eastAsia="Arial" w:hAnsi="Arial"/>
                <w:sz w:val="20"/>
                <w:szCs w:val="20"/>
                <w:color w:val="auto"/>
                <w:w w:val="88"/>
              </w:rPr>
              <w:t>*</w:t>
            </w:r>
          </w:p>
        </w:tc>
      </w:tr>
    </w:tbl>
    <w:p>
      <w:pPr>
        <w:spacing w:after="0" w:line="2803" w:lineRule="exact"/>
        <w:rPr>
          <w:sz w:val="20"/>
          <w:szCs w:val="20"/>
          <w:color w:val="auto"/>
        </w:rPr>
      </w:pPr>
    </w:p>
    <w:p>
      <w:pPr>
        <w:sectPr>
          <w:pgSz w:w="11900" w:h="16838" w:orient="portrait"/>
          <w:cols w:equalWidth="0" w:num="2">
            <w:col w:w="4080" w:space="720"/>
            <w:col w:w="6620"/>
          </w:cols>
          <w:pgMar w:left="240" w:top="360" w:right="239" w:bottom="1440" w:gutter="0" w:footer="0" w:header="0"/>
          <w:type w:val="continuous"/>
        </w:sectPr>
      </w:pPr>
    </w:p>
    <w:p>
      <w:pPr>
        <w:spacing w:after="0" w:line="201" w:lineRule="exact"/>
        <w:rPr>
          <w:sz w:val="20"/>
          <w:szCs w:val="20"/>
          <w:color w:val="auto"/>
        </w:rPr>
      </w:pPr>
    </w:p>
    <w:p>
      <w:pPr>
        <w:ind w:left="340" w:right="260" w:hanging="332"/>
        <w:spacing w:after="0" w:line="260" w:lineRule="auto"/>
        <w:tabs>
          <w:tab w:leader="none" w:pos="3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In the event that the BVPS Growth Percentage falls between the performance levels shown above, the BVPS Vesting Percentage shall be determined using a straight line linear interpolation between the respective levels shown.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360" w:right="239" w:bottom="1440" w:gutter="0" w:footer="0" w:header="0"/>
          <w:type w:val="continuous"/>
        </w:sectPr>
      </w:pPr>
    </w:p>
    <w:bookmarkStart w:id="61" w:name="page62"/>
    <w:bookmarkEnd w:id="61"/>
    <w:p>
      <w:pPr>
        <w:jc w:val="both"/>
        <w:ind w:left="-20" w:firstLine="1305"/>
        <w:spacing w:after="0" w:line="282" w:lineRule="auto"/>
        <w:tabs>
          <w:tab w:leader="none" w:pos="1703"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Diluted Common Shares Outstanding</w:t>
      </w:r>
      <w:r>
        <w:rPr>
          <w:rFonts w:ascii="Arial" w:cs="Arial" w:eastAsia="Arial" w:hAnsi="Arial"/>
          <w:sz w:val="18"/>
          <w:szCs w:val="18"/>
          <w:color w:val="auto"/>
        </w:rPr>
        <w:t xml:space="preserve">” means, (i) the total number shares of Stock outstanding,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all “in-the-money” stock options, warrants and similar instruments and equity instruments (including any Restricted Stock Units) issued to employees, officers, directors and consultants of the Company and its Affiliates; provided, however, that Diluted Common Shares Outstanding shall be equitably adjusted to give effect to any of the Company’s equity shares repurchased during the Performance Period.</w:t>
      </w:r>
    </w:p>
    <w:p>
      <w:pPr>
        <w:spacing w:after="0" w:line="161" w:lineRule="exact"/>
        <w:rPr>
          <w:rFonts w:ascii="Arial" w:cs="Arial" w:eastAsia="Arial" w:hAnsi="Arial"/>
          <w:sz w:val="18"/>
          <w:szCs w:val="18"/>
          <w:b w:val="1"/>
          <w:bCs w:val="1"/>
          <w:color w:val="auto"/>
        </w:rPr>
      </w:pPr>
    </w:p>
    <w:p>
      <w:pPr>
        <w:ind w:left="1660" w:hanging="375"/>
        <w:spacing w:after="0"/>
        <w:tabs>
          <w:tab w:leader="none" w:pos="1660" w:val="left"/>
        </w:tabs>
        <w:numPr>
          <w:ilvl w:val="0"/>
          <w:numId w:val="31"/>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Earned Shares</w:t>
      </w:r>
      <w:r>
        <w:rPr>
          <w:rFonts w:ascii="Arial" w:cs="Arial" w:eastAsia="Arial" w:hAnsi="Arial"/>
          <w:sz w:val="19"/>
          <w:szCs w:val="19"/>
          <w:color w:val="auto"/>
        </w:rPr>
        <w:t xml:space="preserve">” means (i) the number of Shares granted herein, </w:t>
      </w:r>
      <w:r>
        <w:rPr>
          <w:rFonts w:ascii="Arial" w:cs="Arial" w:eastAsia="Arial" w:hAnsi="Arial"/>
          <w:sz w:val="19"/>
          <w:szCs w:val="19"/>
          <w:i w:val="1"/>
          <w:iCs w:val="1"/>
          <w:color w:val="auto"/>
        </w:rPr>
        <w:t>multiplied</w:t>
      </w:r>
      <w:r>
        <w:rPr>
          <w:rFonts w:ascii="Arial" w:cs="Arial" w:eastAsia="Arial" w:hAnsi="Arial"/>
          <w:sz w:val="19"/>
          <w:szCs w:val="19"/>
          <w:color w:val="auto"/>
        </w:rPr>
        <w:t xml:space="preserve"> by (ii) the BVPS Vesting Percentage.</w:t>
      </w:r>
    </w:p>
    <w:p>
      <w:pPr>
        <w:spacing w:after="0" w:line="227" w:lineRule="exact"/>
        <w:rPr>
          <w:rFonts w:ascii="Arial" w:cs="Arial" w:eastAsia="Arial" w:hAnsi="Arial"/>
          <w:sz w:val="19"/>
          <w:szCs w:val="19"/>
          <w:b w:val="1"/>
          <w:bCs w:val="1"/>
          <w:color w:val="auto"/>
        </w:rPr>
      </w:pPr>
    </w:p>
    <w:p>
      <w:pPr>
        <w:ind w:left="-20" w:right="20" w:firstLine="1305"/>
        <w:spacing w:after="0" w:line="260" w:lineRule="auto"/>
        <w:tabs>
          <w:tab w:leader="none" w:pos="1728" w:val="left"/>
        </w:tabs>
        <w:numPr>
          <w:ilvl w:val="0"/>
          <w:numId w:val="31"/>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Performance Period</w:t>
      </w:r>
      <w:r>
        <w:rPr>
          <w:rFonts w:ascii="Arial" w:cs="Arial" w:eastAsia="Arial" w:hAnsi="Arial"/>
          <w:sz w:val="20"/>
          <w:szCs w:val="20"/>
          <w:color w:val="auto"/>
        </w:rPr>
        <w:t>” means the period commencing on January 1, 20__ and ending on the earlier of (i) December 31, 20__ or (ii) the consummation of a Change in Control.</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00"/>
          </w:cols>
          <w:pgMar w:left="260" w:top="366"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Casale, certify that:</w:t>
      </w:r>
    </w:p>
    <w:p>
      <w:pPr>
        <w:spacing w:after="0" w:line="225" w:lineRule="exact"/>
        <w:rPr>
          <w:sz w:val="20"/>
          <w:szCs w:val="20"/>
          <w:color w:val="auto"/>
        </w:rPr>
      </w:pPr>
    </w:p>
    <w:p>
      <w:pPr>
        <w:ind w:left="560" w:hanging="552"/>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Essent Group Ltd.;</w:t>
      </w:r>
    </w:p>
    <w:p>
      <w:pPr>
        <w:spacing w:after="0" w:line="265"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quarterly report;</w:t>
      </w:r>
    </w:p>
    <w:p>
      <w:pPr>
        <w:spacing w:after="0" w:line="170" w:lineRule="exact"/>
        <w:rPr>
          <w:sz w:val="20"/>
          <w:szCs w:val="20"/>
          <w:color w:val="auto"/>
        </w:rPr>
      </w:pPr>
    </w:p>
    <w:p>
      <w:pPr>
        <w:ind w:right="580" w:firstLine="8"/>
        <w:spacing w:after="0" w:line="395" w:lineRule="auto"/>
        <w:tabs>
          <w:tab w:leader="none" w:pos="518"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3" w:lineRule="exact"/>
        <w:rPr>
          <w:rFonts w:ascii="Arial" w:cs="Arial" w:eastAsia="Arial" w:hAnsi="Arial"/>
          <w:sz w:val="16"/>
          <w:szCs w:val="16"/>
          <w:color w:val="auto"/>
        </w:rPr>
      </w:pPr>
    </w:p>
    <w:p>
      <w:pPr>
        <w:ind w:left="680" w:hanging="672"/>
        <w:spacing w:after="0"/>
        <w:tabs>
          <w:tab w:leader="none" w:pos="6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000" w:hanging="506"/>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020" w:hanging="526"/>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700" w:firstLine="494"/>
        <w:spacing w:after="0" w:line="395" w:lineRule="auto"/>
        <w:tabs>
          <w:tab w:leader="none" w:pos="1014" w:val="left"/>
        </w:tabs>
        <w:numPr>
          <w:ilvl w:val="0"/>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020" w:hanging="526"/>
        <w:spacing w:after="0"/>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00" w:firstLine="8"/>
        <w:spacing w:after="0" w:line="357" w:lineRule="auto"/>
        <w:tabs>
          <w:tab w:leader="none" w:pos="545"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140" w:firstLine="494"/>
        <w:spacing w:after="0" w:line="324" w:lineRule="auto"/>
        <w:tabs>
          <w:tab w:leader="none" w:pos="1014"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80" w:firstLine="494"/>
        <w:spacing w:after="0" w:line="324" w:lineRule="auto"/>
        <w:tabs>
          <w:tab w:leader="none" w:pos="1025"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May 6, 2019</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106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Lawrence E. McAlee, certify that:</w:t>
      </w:r>
    </w:p>
    <w:p>
      <w:pPr>
        <w:spacing w:after="0" w:line="225" w:lineRule="exact"/>
        <w:rPr>
          <w:sz w:val="20"/>
          <w:szCs w:val="20"/>
          <w:color w:val="auto"/>
        </w:rPr>
      </w:pPr>
    </w:p>
    <w:p>
      <w:pPr>
        <w:ind w:left="560" w:hanging="552"/>
        <w:spacing w:after="0"/>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Essent Group Ltd.;</w:t>
      </w:r>
    </w:p>
    <w:p>
      <w:pPr>
        <w:spacing w:after="0" w:line="265" w:lineRule="exact"/>
        <w:rPr>
          <w:rFonts w:ascii="Arial" w:cs="Arial" w:eastAsia="Arial" w:hAnsi="Arial"/>
          <w:sz w:val="18"/>
          <w:szCs w:val="18"/>
          <w:color w:val="auto"/>
        </w:rPr>
      </w:pPr>
    </w:p>
    <w:p>
      <w:pPr>
        <w:ind w:left="520" w:hanging="512"/>
        <w:spacing w:after="0"/>
        <w:tabs>
          <w:tab w:leader="none" w:pos="5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quarterly report;</w:t>
      </w:r>
    </w:p>
    <w:p>
      <w:pPr>
        <w:spacing w:after="0" w:line="170" w:lineRule="exact"/>
        <w:rPr>
          <w:sz w:val="20"/>
          <w:szCs w:val="20"/>
          <w:color w:val="auto"/>
        </w:rPr>
      </w:pPr>
    </w:p>
    <w:p>
      <w:pPr>
        <w:ind w:right="580" w:firstLine="8"/>
        <w:spacing w:after="0" w:line="395" w:lineRule="auto"/>
        <w:tabs>
          <w:tab w:leader="none" w:pos="518"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3" w:lineRule="exact"/>
        <w:rPr>
          <w:rFonts w:ascii="Arial" w:cs="Arial" w:eastAsia="Arial" w:hAnsi="Arial"/>
          <w:sz w:val="16"/>
          <w:szCs w:val="16"/>
          <w:color w:val="auto"/>
        </w:rPr>
      </w:pPr>
    </w:p>
    <w:p>
      <w:pPr>
        <w:ind w:left="680" w:hanging="672"/>
        <w:spacing w:after="0"/>
        <w:tabs>
          <w:tab w:leader="none" w:pos="6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000" w:hanging="506"/>
        <w:spacing w:after="0"/>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020" w:hanging="526"/>
        <w:spacing w:after="0"/>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700" w:firstLine="494"/>
        <w:spacing w:after="0" w:line="395" w:lineRule="auto"/>
        <w:tabs>
          <w:tab w:leader="none" w:pos="1014" w:val="left"/>
        </w:tabs>
        <w:numPr>
          <w:ilvl w:val="0"/>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020" w:hanging="526"/>
        <w:spacing w:after="0"/>
        <w:tabs>
          <w:tab w:leader="none" w:pos="10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00" w:firstLine="8"/>
        <w:spacing w:after="0" w:line="357" w:lineRule="auto"/>
        <w:tabs>
          <w:tab w:leader="none" w:pos="545"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140" w:firstLine="494"/>
        <w:spacing w:after="0" w:line="324" w:lineRule="auto"/>
        <w:tabs>
          <w:tab w:leader="none" w:pos="1014"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80" w:firstLine="494"/>
        <w:spacing w:after="0" w:line="324" w:lineRule="auto"/>
        <w:tabs>
          <w:tab w:leader="none" w:pos="1025"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May 6, 2019</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106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64" w:name="page65"/>
    <w:bookmarkEnd w:id="64"/>
    <w:p>
      <w:pPr>
        <w:ind w:left="104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PURSUANT TO SECTION 906 OF THE SARBANES-OXLEY ACT OF 2002</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undersigned, Mark A. Casale, President, Chief Executive Officer and Chairman of Essent Group Ltd. (the “Company”), and Lawrence E. McAlee, Senior Vice President and Chief Financial Officer of the Company, each hereby certify, pursuant to 18 U.S.C. Section 1350 as adopted pursuant to Section 906 of the Sarbanes-Oxley Act of 2002, that to the best of his knowledge:</w:t>
      </w:r>
    </w:p>
    <w:p>
      <w:pPr>
        <w:spacing w:after="0" w:line="181" w:lineRule="exact"/>
        <w:rPr>
          <w:sz w:val="20"/>
          <w:szCs w:val="20"/>
          <w:color w:val="auto"/>
        </w:rPr>
      </w:pPr>
    </w:p>
    <w:p>
      <w:pPr>
        <w:ind w:right="240" w:firstLine="8"/>
        <w:spacing w:after="0" w:line="324" w:lineRule="auto"/>
        <w:tabs>
          <w:tab w:leader="none" w:pos="68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2019 (the “Report”)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right="340" w:firstLine="8"/>
        <w:spacing w:after="0" w:line="575" w:lineRule="auto"/>
        <w:tabs>
          <w:tab w:leader="none" w:pos="68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6, 2019</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o"/>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lowerRoman"/>
      <w:start w:val="1"/>
    </w:lvl>
  </w:abstractNum>
  <w:abstractNum w:abstractNumId="19">
    <w:nsid w:val="6CEAF08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3"/>
    </w:lvl>
  </w:abstractNum>
  <w:abstractNum w:abstractNumId="20">
    <w:nsid w:val="22221A70"/>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21">
    <w:nsid w:val="4516DDE9"/>
    <w:multiLevelType w:val="hybridMultilevel"/>
    <w:lvl w:ilvl="0">
      <w:lvlJc w:val="left"/>
      <w:lvlText w:val="(%1)"/>
      <w:numFmt w:val="lowerLetter"/>
      <w:start w:val="2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2">
    <w:nsid w:val="3006C83E"/>
    <w:multiLevelType w:val="hybridMultilevel"/>
    <w:lvl w:ilvl="0">
      <w:lvlJc w:val="left"/>
      <w:lvlText w:val="%1"/>
      <w:numFmt w:val="lowerLetter"/>
      <w:start w:val="1"/>
    </w:lvl>
    <w:lvl w:ilvl="1">
      <w:lvlJc w:val="left"/>
      <w:lvlText w:val="(%2)"/>
      <w:numFmt w:val="upperLetter"/>
      <w:start w:val="2"/>
    </w:lvl>
  </w:abstractNum>
  <w:abstractNum w:abstractNumId="23">
    <w:nsid w:val="614FD4A1"/>
    <w:multiLevelType w:val="hybridMultilevel"/>
    <w:lvl w:ilvl="0">
      <w:lvlJc w:val="left"/>
      <w:lvlText w:val="(%1)"/>
      <w:numFmt w:val="lowerLetter"/>
      <w:start w:val="4"/>
    </w:lvl>
    <w:lvl w:ilvl="1">
      <w:lvlJc w:val="left"/>
      <w:lvlText w:val="%2"/>
      <w:numFmt w:val="upperLetter"/>
      <w:start w:val="1"/>
    </w:lvl>
  </w:abstractNum>
  <w:abstractNum w:abstractNumId="24">
    <w:nsid w:val="419AC241"/>
    <w:multiLevelType w:val="hybridMultilevel"/>
    <w:lvl w:ilvl="0">
      <w:lvlJc w:val="left"/>
      <w:lvlText w:val="(%1)"/>
      <w:numFmt w:val="lowerLetter"/>
      <w:start w:val="1"/>
    </w:lvl>
  </w:abstractNum>
  <w:abstractNum w:abstractNumId="25">
    <w:nsid w:val="5577F8E1"/>
    <w:multiLevelType w:val="hybridMultilevel"/>
    <w:lvl w:ilvl="0">
      <w:lvlJc w:val="left"/>
      <w:lvlText w:val="(%1)"/>
      <w:numFmt w:val="lowerLetter"/>
      <w:start w:val="1"/>
    </w:lvl>
    <w:lvl w:ilvl="1">
      <w:lvlJc w:val="left"/>
      <w:lvlText w:val="(%2)"/>
      <w:numFmt w:val="lowerRoman"/>
      <w:start w:val="1"/>
    </w:lvl>
  </w:abstractNum>
  <w:abstractNum w:abstractNumId="26">
    <w:nsid w:val="440BADFC"/>
    <w:multiLevelType w:val="hybridMultilevel"/>
    <w:lvl w:ilvl="0">
      <w:lvlJc w:val="left"/>
      <w:lvlText w:val="%1"/>
      <w:numFmt w:val="lowerLetter"/>
      <w:start w:val="1"/>
    </w:lvl>
    <w:lvl w:ilvl="1">
      <w:lvlJc w:val="left"/>
      <w:lvlText w:val="(%2)"/>
      <w:numFmt w:val="lowerRoman"/>
      <w:start w:val="5"/>
    </w:lvl>
  </w:abstractNum>
  <w:abstractNum w:abstractNumId="27">
    <w:nsid w:val="5072367"/>
    <w:multiLevelType w:val="hybridMultilevel"/>
    <w:lvl w:ilvl="0">
      <w:lvlJc w:val="left"/>
      <w:lvlText w:val="(%1)"/>
      <w:numFmt w:val="lowerLetter"/>
      <w:start w:val="2"/>
    </w:lvl>
    <w:lvl w:ilvl="1">
      <w:lvlJc w:val="left"/>
      <w:lvlText w:val="%2"/>
      <w:numFmt w:val="lowerRoman"/>
      <w:start w:val="1"/>
    </w:lvl>
  </w:abstractNum>
  <w:abstractNum w:abstractNumId="28">
    <w:nsid w:val="3804823E"/>
    <w:multiLevelType w:val="hybridMultilevel"/>
    <w:lvl w:ilvl="0">
      <w:lvlJc w:val="left"/>
      <w:lvlText w:val="(%1)"/>
      <w:numFmt w:val="lowerLetter"/>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1)"/>
      <w:numFmt w:val="lowerLetter"/>
      <w:start w:val="5"/>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1."/>
      <w:numFmt w:val="decimal"/>
      <w:start w:val="3"/>
    </w:lvl>
  </w:abstractNum>
  <w:abstractNum w:abstractNumId="33">
    <w:nsid w:val="5E884ADC"/>
    <w:multiLevelType w:val="hybridMultilevel"/>
    <w:lvl w:ilvl="0">
      <w:lvlJc w:val="left"/>
      <w:lvlText w:val="(%1)"/>
      <w:numFmt w:val="lowerLetter"/>
      <w:start w:val="1"/>
    </w:lvl>
  </w:abstractNum>
  <w:abstractNum w:abstractNumId="34">
    <w:nsid w:val="51EAD36B"/>
    <w:multiLevelType w:val="hybridMultilevel"/>
    <w:lvl w:ilvl="0">
      <w:lvlJc w:val="left"/>
      <w:lvlText w:val="(%1)"/>
      <w:numFmt w:val="lowerLetter"/>
      <w:start w:val="2"/>
    </w:lvl>
  </w:abstractNum>
  <w:abstractNum w:abstractNumId="35">
    <w:nsid w:val="2D517796"/>
    <w:multiLevelType w:val="hybridMultilevel"/>
    <w:lvl w:ilvl="0">
      <w:lvlJc w:val="left"/>
      <w:lvlText w:val="(%1)"/>
      <w:numFmt w:val="lowerLetter"/>
      <w:start w:val="3"/>
    </w:lvl>
  </w:abstractNum>
  <w:abstractNum w:abstractNumId="36">
    <w:nsid w:val="580BD78F"/>
    <w:multiLevelType w:val="hybridMultilevel"/>
    <w:lvl w:ilvl="0">
      <w:lvlJc w:val="left"/>
      <w:lvlText w:val="%1."/>
      <w:numFmt w:val="decimal"/>
      <w:start w:val="5"/>
    </w:lvl>
    <w:lvl w:ilvl="1">
      <w:lvlJc w:val="left"/>
      <w:lvlText w:val="(%2)"/>
      <w:numFmt w:val="lowerLetter"/>
      <w:start w:val="1"/>
    </w:lvl>
  </w:abstractNum>
  <w:abstractNum w:abstractNumId="37">
    <w:nsid w:val="153EA438"/>
    <w:multiLevelType w:val="hybridMultilevel"/>
    <w:lvl w:ilvl="0">
      <w:lvlJc w:val="left"/>
      <w:lvlText w:val="%1."/>
      <w:numFmt w:val="decimal"/>
      <w:start w:val="1"/>
    </w:lvl>
  </w:abstractNum>
  <w:abstractNum w:abstractNumId="38">
    <w:nsid w:val="3855585C"/>
    <w:multiLevelType w:val="hybridMultilevel"/>
    <w:lvl w:ilvl="0">
      <w:lvlJc w:val="left"/>
      <w:lvlText w:val="%1."/>
      <w:numFmt w:val="decimal"/>
      <w:start w:val="3"/>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1)"/>
      <w:numFmt w:val="lowerLetter"/>
      <w:start w:val="2"/>
    </w:lvl>
  </w:abstractNum>
  <w:abstractNum w:abstractNumId="41">
    <w:nsid w:val="2A487CB0"/>
    <w:multiLevelType w:val="hybridMultilevel"/>
    <w:lvl w:ilvl="0">
      <w:lvlJc w:val="left"/>
      <w:lvlText w:val="(%1)"/>
      <w:numFmt w:val="lowerLetter"/>
      <w:start w:val="3"/>
    </w:lvl>
  </w:abstractNum>
  <w:abstractNum w:abstractNumId="42">
    <w:nsid w:val="1D4ED43B"/>
    <w:multiLevelType w:val="hybridMultilevel"/>
    <w:lvl w:ilvl="0">
      <w:lvlJc w:val="left"/>
      <w:lvlText w:val="%1."/>
      <w:numFmt w:val="decimal"/>
      <w:start w:val="5"/>
    </w:lvl>
    <w:lvl w:ilvl="1">
      <w:lvlJc w:val="left"/>
      <w:lvlText w:val="(%2)"/>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2019-12-03T00:17:51Z</dcterms:created>
  <dcterms:modified xsi:type="dcterms:W3CDTF">2019-12-03T00:17:51Z</dcterms:modified>
</cp:coreProperties>
</file>