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2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period ended June 30, 2014</w:t>
      </w:r>
    </w:p>
    <w:p>
      <w:pPr>
        <w:spacing w:after="0" w:line="216" w:lineRule="exact"/>
        <w:rPr>
          <w:sz w:val="24"/>
          <w:szCs w:val="24"/>
          <w:color w:val="auto"/>
        </w:rPr>
      </w:pPr>
    </w:p>
    <w:p>
      <w:pPr>
        <w:ind w:left="660" w:right="18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60"/>
          </w:cols>
          <w:pgMar w:left="240" w:top="233" w:right="399" w:bottom="0" w:gutter="0" w:footer="0" w:header="0"/>
        </w:sectPr>
      </w:pPr>
    </w:p>
    <w:p>
      <w:pPr>
        <w:spacing w:after="0" w:line="17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200" w:space="620"/>
            <w:col w:w="4440"/>
          </w:cols>
          <w:pgMar w:left="240" w:top="233" w:right="399" w:bottom="0" w:gutter="0" w:footer="0" w:header="0"/>
          <w:type w:val="continuous"/>
        </w:sectPr>
      </w:pP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Commission file number 005-87689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60"/>
          </w:cols>
          <w:pgMar w:left="240" w:top="233"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ESSENT GROUP LTD.</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225425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60"/>
          </w:cols>
          <w:pgMar w:left="240" w:top="233"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Bermuda</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8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80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7080" w:space="720"/>
            <w:col w:w="3460"/>
          </w:cols>
          <w:pgMar w:left="240" w:top="233" w:right="399" w:bottom="0" w:gutter="0" w:footer="0" w:header="0"/>
          <w:type w:val="continuous"/>
        </w:sectPr>
      </w:pP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 Church Street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Hamilton HM11, Bermuda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(Address of principal executive offices and zip code)</w:t>
      </w:r>
    </w:p>
    <w:p>
      <w:pPr>
        <w:spacing w:after="0" w:line="23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(441) 297-9901</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60"/>
          </w:cols>
          <w:pgMar w:left="240" w:top="233" w:right="399" w:bottom="0" w:gutter="0" w:footer="0" w:header="0"/>
          <w:type w:val="continuous"/>
        </w:sectPr>
      </w:pPr>
    </w:p>
    <w:p>
      <w:pPr>
        <w:spacing w:after="0" w:line="234" w:lineRule="exact"/>
        <w:rPr>
          <w:sz w:val="24"/>
          <w:szCs w:val="24"/>
          <w:color w:val="auto"/>
        </w:rPr>
      </w:pPr>
    </w:p>
    <w:p>
      <w:pPr>
        <w:ind w:left="80" w:firstLine="475"/>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left="80" w:right="20" w:firstLine="47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ind w:left="80"/>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11" w:lineRule="exact"/>
        <w:rPr>
          <w:sz w:val="24"/>
          <w:szCs w:val="24"/>
          <w:color w:val="auto"/>
        </w:rPr>
      </w:pPr>
    </w:p>
    <w:p>
      <w:pPr>
        <w:ind w:left="480"/>
        <w:spacing w:after="0"/>
        <w:tabs>
          <w:tab w:leader="none" w:pos="3580" w:val="left"/>
          <w:tab w:leader="none" w:pos="6320" w:val="left"/>
          <w:tab w:leader="none" w:pos="90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x</w:t>
      </w:r>
      <w:r>
        <w:rPr>
          <w:sz w:val="20"/>
          <w:szCs w:val="20"/>
          <w:color w:val="auto"/>
        </w:rPr>
        <w:tab/>
      </w:r>
      <w:r>
        <w:rPr>
          <w:rFonts w:ascii="Arial" w:cs="Arial" w:eastAsia="Arial" w:hAnsi="Arial"/>
          <w:sz w:val="16"/>
          <w:szCs w:val="16"/>
          <w:color w:val="auto"/>
        </w:rPr>
        <w:t>Smaller reporting company o</w:t>
      </w:r>
    </w:p>
    <w:p>
      <w:pPr>
        <w:spacing w:after="0" w:line="22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The number of the registrant’s common shares outstanding as of August 7, 2014 was 86,528,025.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ectPr>
          <w:pgSz w:w="11900" w:h="16838" w:orient="portrait"/>
          <w:cols w:equalWidth="0" w:num="1">
            <w:col w:w="11260"/>
          </w:cols>
          <w:pgMar w:left="240" w:top="233" w:right="3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20" w:type="dxa"/>
            <w:vAlign w:val="bottom"/>
            <w:gridSpan w:val="9"/>
          </w:tcPr>
          <w:p>
            <w:pPr>
              <w:jc w:val="center"/>
              <w:ind w:right="2360"/>
              <w:spacing w:after="0"/>
              <w:rPr>
                <w:sz w:val="20"/>
                <w:szCs w:val="20"/>
                <w:color w:val="auto"/>
              </w:rPr>
            </w:pPr>
            <w:r>
              <w:rPr>
                <w:rFonts w:ascii="Arial" w:cs="Arial" w:eastAsia="Arial" w:hAnsi="Arial"/>
                <w:sz w:val="18"/>
                <w:szCs w:val="18"/>
                <w:b w:val="1"/>
                <w:bCs w:val="1"/>
                <w:color w:val="auto"/>
                <w:w w:val="93"/>
              </w:rPr>
              <w:t>Index</w:t>
            </w:r>
          </w:p>
        </w:tc>
        <w:tc>
          <w:tcPr>
            <w:tcW w:w="1700" w:type="dxa"/>
            <w:vAlign w:val="bottom"/>
          </w:tcPr>
          <w:p>
            <w:pPr>
              <w:spacing w:after="0"/>
              <w:rPr>
                <w:sz w:val="20"/>
                <w:szCs w:val="20"/>
                <w:color w:val="auto"/>
              </w:rPr>
            </w:pPr>
          </w:p>
        </w:tc>
      </w:tr>
      <w:tr>
        <w:trPr>
          <w:trHeight w:val="392"/>
        </w:trPr>
        <w:tc>
          <w:tcPr>
            <w:tcW w:w="6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80" w:type="dxa"/>
            <w:vAlign w:val="bottom"/>
            <w:gridSpan w:val="4"/>
          </w:tcPr>
          <w:p>
            <w:pPr>
              <w:spacing w:after="0"/>
              <w:rPr>
                <w:sz w:val="24"/>
                <w:szCs w:val="24"/>
                <w:color w:val="auto"/>
              </w:rPr>
            </w:pPr>
          </w:p>
        </w:tc>
        <w:tc>
          <w:tcPr>
            <w:tcW w:w="830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540" w:type="dxa"/>
            <w:vAlign w:val="bottom"/>
          </w:tcPr>
          <w:p>
            <w:pPr>
              <w:spacing w:after="0"/>
              <w:rPr>
                <w:rFonts w:ascii="Arial" w:cs="Arial" w:eastAsia="Arial" w:hAnsi="Arial"/>
                <w:sz w:val="18"/>
                <w:szCs w:val="18"/>
                <w:b w:val="1"/>
                <w:bCs w:val="1"/>
                <w:color w:val="0000EE"/>
                <w:w w:val="87"/>
              </w:rPr>
            </w:pPr>
            <w:hyperlink w:anchor="page3">
              <w:r>
                <w:rPr>
                  <w:rFonts w:ascii="Arial" w:cs="Arial" w:eastAsia="Arial" w:hAnsi="Arial"/>
                  <w:sz w:val="18"/>
                  <w:szCs w:val="18"/>
                  <w:b w:val="1"/>
                  <w:bCs w:val="1"/>
                  <w:color w:val="0000EE"/>
                  <w:w w:val="87"/>
                </w:rPr>
                <w:t>Item 1.</w:t>
              </w:r>
            </w:hyperlink>
          </w:p>
        </w:tc>
        <w:tc>
          <w:tcPr>
            <w:tcW w:w="140" w:type="dxa"/>
            <w:vAlign w:val="bottom"/>
            <w:gridSpan w:val="2"/>
          </w:tcPr>
          <w:p>
            <w:pPr>
              <w:spacing w:after="0"/>
              <w:rPr>
                <w:sz w:val="24"/>
                <w:szCs w:val="24"/>
                <w:color w:val="auto"/>
              </w:rPr>
            </w:pPr>
          </w:p>
        </w:tc>
        <w:tc>
          <w:tcPr>
            <w:tcW w:w="780" w:type="dxa"/>
            <w:vAlign w:val="bottom"/>
            <w:gridSpan w:val="4"/>
          </w:tcPr>
          <w:p>
            <w:pPr>
              <w:spacing w:after="0"/>
              <w:rPr>
                <w:sz w:val="24"/>
                <w:szCs w:val="24"/>
                <w:color w:val="auto"/>
              </w:rPr>
            </w:pPr>
          </w:p>
        </w:tc>
        <w:tc>
          <w:tcPr>
            <w:tcW w:w="830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30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Condensed Consolidated Balance Sheets (Unaudited)</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20" w:type="dxa"/>
            <w:vAlign w:val="bottom"/>
            <w:tcBorders>
              <w:bottom w:val="single" w:sz="8" w:color="0000EE"/>
            </w:tcBorders>
            <w:gridSpan w:val="13"/>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Condensed Consolidated Statements of Comprehensive Income (Unaudited)</w:t>
              </w:r>
            </w:hyperlink>
          </w:p>
        </w:tc>
        <w:tc>
          <w:tcPr>
            <w:tcW w:w="2480" w:type="dxa"/>
            <w:vAlign w:val="bottom"/>
            <w:gridSpan w:val="3"/>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Borders>
              <w:bottom w:val="single" w:sz="8" w:color="0000EE"/>
            </w:tcBorders>
            <w:gridSpan w:val="14"/>
          </w:tcPr>
          <w:p>
            <w:pPr>
              <w:spacing w:after="0"/>
              <w:rPr>
                <w:rFonts w:ascii="Arial" w:cs="Arial" w:eastAsia="Arial" w:hAnsi="Arial"/>
                <w:sz w:val="18"/>
                <w:szCs w:val="18"/>
                <w:b w:val="1"/>
                <w:bCs w:val="1"/>
                <w:color w:val="0000EE"/>
                <w:w w:val="89"/>
              </w:rPr>
            </w:pPr>
            <w:hyperlink w:anchor="page5">
              <w:r>
                <w:rPr>
                  <w:rFonts w:ascii="Arial" w:cs="Arial" w:eastAsia="Arial" w:hAnsi="Arial"/>
                  <w:sz w:val="18"/>
                  <w:szCs w:val="18"/>
                  <w:b w:val="1"/>
                  <w:bCs w:val="1"/>
                  <w:color w:val="0000EE"/>
                  <w:w w:val="89"/>
                </w:rPr>
                <w:t>Condensed Consolidated Statements of Changes in Stockholders’ Equity (Unaudited)</w:t>
              </w:r>
            </w:hyperlink>
          </w:p>
        </w:tc>
        <w:tc>
          <w:tcPr>
            <w:tcW w:w="1760" w:type="dxa"/>
            <w:vAlign w:val="bottom"/>
            <w:gridSpan w:val="2"/>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tcBorders>
              <w:bottom w:val="single" w:sz="8" w:color="0000EE"/>
            </w:tcBorders>
            <w:gridSpan w:val="11"/>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Condensed Consolidated Statements of Cash Flows (Unaudited)</w:t>
              </w:r>
            </w:hyperlink>
          </w:p>
        </w:tc>
        <w:tc>
          <w:tcPr>
            <w:tcW w:w="3400" w:type="dxa"/>
            <w:vAlign w:val="bottom"/>
            <w:gridSpan w:val="5"/>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30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Notes to Condensed Consolidated Financial Statements (Unaudited)</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540" w:type="dxa"/>
            <w:vAlign w:val="bottom"/>
          </w:tcPr>
          <w:p>
            <w:pPr>
              <w:spacing w:after="0"/>
              <w:rPr>
                <w:rFonts w:ascii="Arial" w:cs="Arial" w:eastAsia="Arial" w:hAnsi="Arial"/>
                <w:sz w:val="18"/>
                <w:szCs w:val="18"/>
                <w:b w:val="1"/>
                <w:bCs w:val="1"/>
                <w:color w:val="0000EE"/>
                <w:w w:val="87"/>
              </w:rPr>
            </w:pPr>
            <w:hyperlink w:anchor="page17">
              <w:r>
                <w:rPr>
                  <w:rFonts w:ascii="Arial" w:cs="Arial" w:eastAsia="Arial" w:hAnsi="Arial"/>
                  <w:sz w:val="18"/>
                  <w:szCs w:val="18"/>
                  <w:b w:val="1"/>
                  <w:bCs w:val="1"/>
                  <w:color w:val="0000EE"/>
                  <w:w w:val="87"/>
                </w:rPr>
                <w:t>Item 2.</w:t>
              </w:r>
            </w:hyperlink>
          </w:p>
        </w:tc>
        <w:tc>
          <w:tcPr>
            <w:tcW w:w="920" w:type="dxa"/>
            <w:vAlign w:val="bottom"/>
            <w:gridSpan w:val="6"/>
          </w:tcPr>
          <w:p>
            <w:pPr>
              <w:spacing w:after="0"/>
              <w:rPr>
                <w:sz w:val="24"/>
                <w:szCs w:val="24"/>
                <w:color w:val="auto"/>
              </w:rPr>
            </w:pPr>
          </w:p>
        </w:tc>
        <w:tc>
          <w:tcPr>
            <w:tcW w:w="8300" w:type="dxa"/>
            <w:vAlign w:val="bottom"/>
            <w:gridSpan w:val="16"/>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Management’s Discussion and Analysis of Financial Condition and Results of Operations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87"/>
              </w:rPr>
            </w:pPr>
            <w:hyperlink w:anchor="page29">
              <w:r>
                <w:rPr>
                  <w:rFonts w:ascii="Arial" w:cs="Arial" w:eastAsia="Arial" w:hAnsi="Arial"/>
                  <w:sz w:val="18"/>
                  <w:szCs w:val="18"/>
                  <w:b w:val="1"/>
                  <w:bCs w:val="1"/>
                  <w:color w:val="0000EE"/>
                  <w:w w:val="87"/>
                </w:rPr>
                <w:t>Item 3.</w:t>
              </w:r>
            </w:hyperlink>
          </w:p>
        </w:tc>
        <w:tc>
          <w:tcPr>
            <w:tcW w:w="920" w:type="dxa"/>
            <w:vAlign w:val="bottom"/>
            <w:gridSpan w:val="6"/>
          </w:tcPr>
          <w:p>
            <w:pPr>
              <w:spacing w:after="0"/>
              <w:rPr>
                <w:sz w:val="24"/>
                <w:szCs w:val="24"/>
                <w:color w:val="auto"/>
              </w:rPr>
            </w:pPr>
          </w:p>
        </w:tc>
        <w:tc>
          <w:tcPr>
            <w:tcW w:w="466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91"/>
              </w:rPr>
            </w:pPr>
            <w:hyperlink w:anchor="page29">
              <w:r>
                <w:rPr>
                  <w:rFonts w:ascii="Arial" w:cs="Arial" w:eastAsia="Arial" w:hAnsi="Arial"/>
                  <w:sz w:val="18"/>
                  <w:szCs w:val="18"/>
                  <w:b w:val="1"/>
                  <w:bCs w:val="1"/>
                  <w:color w:val="0000EE"/>
                  <w:w w:val="91"/>
                </w:rPr>
                <w:t>Quantitative and Qualitative Disclosures About Market Risk</w:t>
              </w:r>
            </w:hyperlink>
          </w:p>
        </w:tc>
        <w:tc>
          <w:tcPr>
            <w:tcW w:w="2160" w:type="dxa"/>
            <w:vAlign w:val="bottom"/>
            <w:tcBorders>
              <w:top w:val="single" w:sz="8" w:color="0000EE"/>
            </w:tcBorders>
            <w:gridSpan w:val="5"/>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1460" w:type="dxa"/>
            <w:vAlign w:val="bottom"/>
            <w:gridSpan w:val="7"/>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4.</w:t>
              </w:r>
            </w:hyperlink>
          </w:p>
        </w:tc>
        <w:tc>
          <w:tcPr>
            <w:tcW w:w="8300" w:type="dxa"/>
            <w:vAlign w:val="bottom"/>
            <w:gridSpan w:val="16"/>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Controls and Procedures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1460" w:type="dxa"/>
            <w:vAlign w:val="bottom"/>
            <w:gridSpan w:val="7"/>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8300" w:type="dxa"/>
            <w:vAlign w:val="bottom"/>
            <w:gridSpan w:val="16"/>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70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1.</w:t>
              </w:r>
            </w:hyperlink>
          </w:p>
        </w:tc>
        <w:tc>
          <w:tcPr>
            <w:tcW w:w="760" w:type="dxa"/>
            <w:vAlign w:val="bottom"/>
            <w:gridSpan w:val="3"/>
          </w:tcPr>
          <w:p>
            <w:pPr>
              <w:spacing w:after="0"/>
              <w:rPr>
                <w:sz w:val="24"/>
                <w:szCs w:val="24"/>
                <w:color w:val="auto"/>
              </w:rPr>
            </w:pPr>
          </w:p>
        </w:tc>
        <w:tc>
          <w:tcPr>
            <w:tcW w:w="20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Legal Proceedings</w:t>
              </w:r>
            </w:hyperlink>
          </w:p>
        </w:tc>
        <w:tc>
          <w:tcPr>
            <w:tcW w:w="6280" w:type="dxa"/>
            <w:vAlign w:val="bottom"/>
            <w:gridSpan w:val="11"/>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Arial" w:cs="Arial" w:eastAsia="Arial" w:hAnsi="Arial"/>
                <w:sz w:val="18"/>
                <w:szCs w:val="18"/>
                <w:b w:val="1"/>
                <w:bCs w:val="1"/>
                <w:color w:val="0000EE"/>
                <w:w w:val="94"/>
              </w:rPr>
            </w:pPr>
            <w:hyperlink w:anchor="page29">
              <w:r>
                <w:rPr>
                  <w:rFonts w:ascii="Arial" w:cs="Arial" w:eastAsia="Arial" w:hAnsi="Arial"/>
                  <w:sz w:val="18"/>
                  <w:szCs w:val="18"/>
                  <w:b w:val="1"/>
                  <w:bCs w:val="1"/>
                  <w:color w:val="0000EE"/>
                  <w:w w:val="94"/>
                </w:rPr>
                <w:t>Item 1A.</w:t>
              </w:r>
            </w:hyperlink>
          </w:p>
        </w:tc>
        <w:tc>
          <w:tcPr>
            <w:tcW w:w="780" w:type="dxa"/>
            <w:vAlign w:val="bottom"/>
            <w:gridSpan w:val="4"/>
          </w:tcPr>
          <w:p>
            <w:pPr>
              <w:spacing w:after="0"/>
              <w:rPr>
                <w:sz w:val="24"/>
                <w:szCs w:val="24"/>
                <w:color w:val="auto"/>
              </w:rPr>
            </w:pPr>
          </w:p>
        </w:tc>
        <w:tc>
          <w:tcPr>
            <w:tcW w:w="8300" w:type="dxa"/>
            <w:vAlign w:val="bottom"/>
            <w:gridSpan w:val="16"/>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Risk Factors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2.</w:t>
              </w:r>
            </w:hyperlink>
          </w:p>
        </w:tc>
        <w:tc>
          <w:tcPr>
            <w:tcW w:w="480" w:type="dxa"/>
            <w:vAlign w:val="bottom"/>
            <w:gridSpan w:val="2"/>
          </w:tcPr>
          <w:p>
            <w:pPr>
              <w:spacing w:after="0"/>
              <w:rPr>
                <w:sz w:val="24"/>
                <w:szCs w:val="24"/>
                <w:color w:val="auto"/>
              </w:rPr>
            </w:pPr>
          </w:p>
        </w:tc>
        <w:tc>
          <w:tcPr>
            <w:tcW w:w="300" w:type="dxa"/>
            <w:vAlign w:val="bottom"/>
            <w:gridSpan w:val="2"/>
          </w:tcPr>
          <w:p>
            <w:pPr>
              <w:spacing w:after="0"/>
              <w:rPr>
                <w:sz w:val="24"/>
                <w:szCs w:val="24"/>
                <w:color w:val="auto"/>
              </w:rPr>
            </w:pPr>
          </w:p>
        </w:tc>
        <w:tc>
          <w:tcPr>
            <w:tcW w:w="8300" w:type="dxa"/>
            <w:vAlign w:val="bottom"/>
            <w:gridSpan w:val="1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Unregistered Sales of Equity Securities and Use of Proceeds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87"/>
              </w:rPr>
            </w:pPr>
            <w:hyperlink w:anchor="page30">
              <w:r>
                <w:rPr>
                  <w:rFonts w:ascii="Arial" w:cs="Arial" w:eastAsia="Arial" w:hAnsi="Arial"/>
                  <w:sz w:val="18"/>
                  <w:szCs w:val="18"/>
                  <w:b w:val="1"/>
                  <w:bCs w:val="1"/>
                  <w:color w:val="0000EE"/>
                  <w:w w:val="87"/>
                </w:rPr>
                <w:t>Item 6.</w:t>
              </w:r>
            </w:hyperlink>
          </w:p>
        </w:tc>
        <w:tc>
          <w:tcPr>
            <w:tcW w:w="620" w:type="dxa"/>
            <w:vAlign w:val="bottom"/>
            <w:tcBorders>
              <w:top w:val="single" w:sz="8" w:color="0000EE"/>
            </w:tcBorders>
            <w:gridSpan w:val="4"/>
          </w:tcPr>
          <w:p>
            <w:pPr>
              <w:spacing w:after="0"/>
              <w:rPr>
                <w:sz w:val="24"/>
                <w:szCs w:val="24"/>
                <w:color w:val="auto"/>
              </w:rPr>
            </w:pPr>
          </w:p>
        </w:tc>
        <w:tc>
          <w:tcPr>
            <w:tcW w:w="300" w:type="dxa"/>
            <w:vAlign w:val="bottom"/>
            <w:gridSpan w:val="2"/>
          </w:tcPr>
          <w:p>
            <w:pPr>
              <w:spacing w:after="0"/>
              <w:rPr>
                <w:sz w:val="24"/>
                <w:szCs w:val="24"/>
                <w:color w:val="auto"/>
              </w:rPr>
            </w:pPr>
          </w:p>
        </w:tc>
        <w:tc>
          <w:tcPr>
            <w:tcW w:w="6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88"/>
              </w:rPr>
            </w:pPr>
            <w:hyperlink w:anchor="page30">
              <w:r>
                <w:rPr>
                  <w:rFonts w:ascii="Arial" w:cs="Arial" w:eastAsia="Arial" w:hAnsi="Arial"/>
                  <w:sz w:val="18"/>
                  <w:szCs w:val="18"/>
                  <w:b w:val="1"/>
                  <w:bCs w:val="1"/>
                  <w:color w:val="0000EE"/>
                  <w:w w:val="88"/>
                </w:rPr>
                <w:t>Exhibits</w:t>
              </w:r>
            </w:hyperlink>
          </w:p>
        </w:tc>
        <w:tc>
          <w:tcPr>
            <w:tcW w:w="3920" w:type="dxa"/>
            <w:vAlign w:val="bottom"/>
            <w:tcBorders>
              <w:top w:val="single" w:sz="8" w:color="0000EE"/>
            </w:tcBorders>
            <w:gridSpan w:val="8"/>
          </w:tcPr>
          <w:p>
            <w:pPr>
              <w:spacing w:after="0"/>
              <w:rPr>
                <w:sz w:val="24"/>
                <w:szCs w:val="24"/>
                <w:color w:val="auto"/>
              </w:rPr>
            </w:pPr>
          </w:p>
        </w:tc>
        <w:tc>
          <w:tcPr>
            <w:tcW w:w="3740" w:type="dxa"/>
            <w:vAlign w:val="bottom"/>
            <w:gridSpan w:val="7"/>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1460" w:type="dxa"/>
            <w:vAlign w:val="bottom"/>
            <w:gridSpan w:val="7"/>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1460" w:type="dxa"/>
            <w:vAlign w:val="bottom"/>
            <w:gridSpan w:val="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EXHIBIT INDEX</w:t>
              </w:r>
            </w:hyperlink>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53"/>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40" w:type="dxa"/>
            <w:vAlign w:val="bottom"/>
            <w:gridSpan w:val="8"/>
          </w:tcPr>
          <w:p>
            <w:pPr>
              <w:jc w:val="center"/>
              <w:ind w:right="3860"/>
              <w:spacing w:after="0"/>
              <w:rPr>
                <w:sz w:val="20"/>
                <w:szCs w:val="20"/>
                <w:color w:val="auto"/>
              </w:rPr>
            </w:pPr>
            <w:r>
              <w:rPr>
                <w:rFonts w:ascii="Arial" w:cs="Arial" w:eastAsia="Arial" w:hAnsi="Arial"/>
                <w:sz w:val="18"/>
                <w:szCs w:val="18"/>
                <w:color w:val="auto"/>
              </w:rPr>
              <w:t>ii</w:t>
            </w:r>
          </w:p>
        </w:tc>
        <w:tc>
          <w:tcPr>
            <w:tcW w:w="170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the context otherwise indicates or requires, the terms “we,” “our,” “us,” “Essent,” and the “Company,” as used in this Quarterly Report on</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i w:val="1"/>
          <w:iCs w:val="1"/>
          <w:color w:val="auto"/>
        </w:rPr>
        <w:t>Form 10-Q, refer to Essent Group Ltd. and its directly and indirectly owned subsidiaries, including our primary operating subsidiary, Essent Guaranty, Inc., as a combined entity, except where otherwise stated or where it is clear that the terms mean only Essent Group Ltd. exclusive of its subsidiaries.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merchandise,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factors described in Part I, Item 2 “Management’s Discussion and Analysis of Financial Condition and Results of Operations” of this Quarterly Report, and factors described in Part I, Item 1A “Risk Factors” of our Annual Report on Form 10-K for the year ended December 31, 2013 filed with the Securities and Exchange Commission. These factors include, without limitation, the following:</w:t>
      </w:r>
    </w:p>
    <w:p>
      <w:pPr>
        <w:spacing w:after="0" w:line="179" w:lineRule="exact"/>
        <w:rPr>
          <w:sz w:val="20"/>
          <w:szCs w:val="20"/>
          <w:color w:val="auto"/>
        </w:rPr>
      </w:pPr>
    </w:p>
    <w:p>
      <w:pPr>
        <w:ind w:left="980" w:right="12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ectPr>
          <w:pgSz w:w="11900" w:h="16838" w:orient="portrait"/>
          <w:cols w:equalWidth="0" w:num="1">
            <w:col w:w="11460"/>
          </w:cols>
          <w:pgMar w:left="240" w:top="337" w:right="199" w:bottom="0" w:gutter="0" w:footer="0" w:header="0"/>
        </w:sectPr>
      </w:pPr>
    </w:p>
    <w:bookmarkStart w:id="2" w:name="page3"/>
    <w:bookmarkEnd w:id="2"/>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 in new insurance written, or NIW, and franchise value due to loss of a significant customer;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scope of recently enacted legislation is uncertain;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 (Unaudited)</w:t>
      </w:r>
    </w:p>
    <w:p>
      <w:pPr>
        <w:sectPr>
          <w:pgSz w:w="11900" w:h="16838" w:orient="portrait"/>
          <w:cols w:equalWidth="0" w:num="1">
            <w:col w:w="11400"/>
          </w:cols>
          <w:pgMar w:left="240" w:top="125" w:right="259" w:bottom="0" w:gutter="0" w:footer="0" w:header="0"/>
        </w:sectPr>
      </w:pPr>
    </w:p>
    <w:p>
      <w:pPr>
        <w:spacing w:after="0" w:line="221" w:lineRule="exact"/>
        <w:rPr>
          <w:sz w:val="20"/>
          <w:szCs w:val="20"/>
          <w:color w:val="auto"/>
        </w:rPr>
      </w:pPr>
    </w:p>
    <w:p>
      <w:pPr>
        <w:ind w:left="8740"/>
        <w:spacing w:after="0"/>
        <w:tabs>
          <w:tab w:leader="none" w:pos="102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ectPr>
          <w:pgSz w:w="11900" w:h="16838" w:orient="portrait"/>
          <w:cols w:equalWidth="0" w:num="1">
            <w:col w:w="11400"/>
          </w:cols>
          <w:pgMar w:left="240" w:top="125" w:right="25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Investments available for sale, at fair value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maturities</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672,699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173,171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845,870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14,180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12,249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5"/>
              </w:rPr>
              <w:t>Property and equipment (at cost, less accumulated depreciation of $38,013 in 2014 and $36,796 in 2013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4,865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Prepaid federal income tax</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5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925,365</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853,970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Reserve for losses and LAE</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4,506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premium reserve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124,004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Amounts due under Asset Purchase Agreement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payroll and bonuses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7,957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deferred tax liability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9,430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157,406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 $0.015 par value: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Authorized - 233,333; issued - 86,528 shares in 2014 and 86,491 shares in 2013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760,252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3,947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767,959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722,141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925,365</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premiums written</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63,505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44,923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115,697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unearned premiums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(13,163)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(20,605)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premiums earned</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left="492"/>
              <w:spacing w:after="0"/>
              <w:rPr>
                <w:sz w:val="20"/>
                <w:szCs w:val="20"/>
                <w:color w:val="auto"/>
              </w:rPr>
            </w:pPr>
            <w:r>
              <w:rPr>
                <w:rFonts w:ascii="Arial" w:cs="Arial" w:eastAsia="Arial" w:hAnsi="Arial"/>
                <w:sz w:val="18"/>
                <w:szCs w:val="18"/>
                <w:color w:val="auto"/>
                <w:w w:val="87"/>
              </w:rPr>
              <w:t>50,342</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95,092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Realized investment gains, net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468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492"/>
              <w:spacing w:after="0"/>
              <w:rPr>
                <w:sz w:val="20"/>
                <w:szCs w:val="20"/>
                <w:color w:val="auto"/>
              </w:rPr>
            </w:pPr>
            <w:r>
              <w:rPr>
                <w:rFonts w:ascii="Arial" w:cs="Arial" w:eastAsia="Arial" w:hAnsi="Arial"/>
                <w:sz w:val="18"/>
                <w:szCs w:val="18"/>
                <w:color w:val="auto"/>
                <w:w w:val="87"/>
              </w:rPr>
              <w:t>54,283</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102,104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Losses and expenses: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losses and LAE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underwriting and operating expenses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23,648</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15,557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47,107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losses and expenses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color w:val="auto"/>
                <w:w w:val="87"/>
              </w:rPr>
              <w:t>24,614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7"/>
              </w:rPr>
              <w:t>29,669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53,129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ind w:left="492"/>
              <w:spacing w:after="0"/>
              <w:rPr>
                <w:sz w:val="20"/>
                <w:szCs w:val="20"/>
                <w:color w:val="auto"/>
              </w:rPr>
            </w:pPr>
            <w:r>
              <w:rPr>
                <w:rFonts w:ascii="Arial" w:cs="Arial" w:eastAsia="Arial" w:hAnsi="Arial"/>
                <w:sz w:val="18"/>
                <w:szCs w:val="18"/>
                <w:color w:val="auto"/>
                <w:w w:val="87"/>
              </w:rPr>
              <w:t>10,114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(10,150)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18,568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color w:val="auto"/>
                <w:w w:val="87"/>
              </w:rPr>
              <w:t>19,555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Common Shares</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Class A common shares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Class B-2 common shares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Common Shares</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Class A common shares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Class B-2 common shares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Common Shares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83,276</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83,071</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520"/>
              <w:spacing w:after="0"/>
              <w:rPr>
                <w:sz w:val="20"/>
                <w:szCs w:val="20"/>
                <w:color w:val="auto"/>
              </w:rPr>
            </w:pPr>
            <w:r>
              <w:rPr>
                <w:rFonts w:ascii="Arial" w:cs="Arial" w:eastAsia="Arial" w:hAnsi="Arial"/>
                <w:sz w:val="18"/>
                <w:szCs w:val="18"/>
                <w:color w:val="auto"/>
              </w:rPr>
              <w:t>Class A common shares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36,793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Class B-2 common shares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Common Shares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84,706</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84,701</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520"/>
              <w:spacing w:after="0"/>
              <w:rPr>
                <w:sz w:val="20"/>
                <w:szCs w:val="20"/>
                <w:color w:val="auto"/>
              </w:rPr>
            </w:pPr>
            <w:r>
              <w:rPr>
                <w:rFonts w:ascii="Arial" w:cs="Arial" w:eastAsia="Arial" w:hAnsi="Arial"/>
                <w:sz w:val="18"/>
                <w:szCs w:val="18"/>
                <w:color w:val="auto"/>
              </w:rPr>
              <w:t>Class A common shares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36,901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Class B-2 common shares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6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19,555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23,577</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34,561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60"/>
              <w:spacing w:after="0" w:line="201" w:lineRule="exact"/>
              <w:rPr>
                <w:sz w:val="20"/>
                <w:szCs w:val="20"/>
                <w:color w:val="auto"/>
              </w:rPr>
            </w:pPr>
            <w:r>
              <w:rPr>
                <w:rFonts w:ascii="Arial" w:cs="Arial" w:eastAsia="Arial" w:hAnsi="Arial"/>
                <w:sz w:val="18"/>
                <w:szCs w:val="18"/>
                <w:color w:val="auto"/>
              </w:rPr>
              <w:t>Change in unrealized appreciation (depreciation) of</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investments, net of tax expense (benefit) of $2,095 and</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w w:val="92"/>
              </w:rPr>
              <w:t>$(2,043) in the three months ended June 30, 2014 and 2013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w w:val="95"/>
              </w:rPr>
              <w:t>and $2,465 and $(2,182) in the six months ended June 30,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2014 and 2013</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auto"/>
                <w:w w:val="84"/>
              </w:rPr>
              <w:t>4,915</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5,394</w:t>
            </w:r>
          </w:p>
        </w:tc>
        <w:tc>
          <w:tcPr>
            <w:tcW w:w="4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4"/>
              </w:rPr>
              <w:t>4,915</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3"/>
              </w:rPr>
              <w:t>24,470</w:t>
            </w:r>
          </w:p>
        </w:tc>
        <w:tc>
          <w:tcPr>
            <w:tcW w:w="30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39,955</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Class B-2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Treasury</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3"/>
            <w:vMerge w:val="continue"/>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2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Balance at January 1, 2013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347,924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(97,512)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(34,142)</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219,123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65,413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Class A and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of issuance cost of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123,729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Conversion of Class A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Class B-2 common shares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into Common Shares</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Shares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of issuance cost of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$25,546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313,414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313,713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Issuance of management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incentive shares</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Forfeiture of management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incentive shares</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acquired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Cancellation of treasury stock</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(34,419)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34,453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gridSpan w:val="2"/>
            <w:vMerge w:val="continue"/>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1,297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754,390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(1,447)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(32,099)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722,141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8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00" w:type="dxa"/>
            <w:vAlign w:val="bottom"/>
            <w:tcBorders>
              <w:right w:val="single" w:sz="8" w:color="CCEEFF"/>
            </w:tcBorders>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40" w:type="dxa"/>
            <w:vAlign w:val="bottom"/>
            <w:tcBorders>
              <w:right w:val="single" w:sz="8" w:color="CCEEFF"/>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34,561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management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incentive shares</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6,148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acquired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Cancellation of treasury stock</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2,384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Excess tax benefits from</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gridSpan w:val="3"/>
          </w:tcPr>
          <w:p>
            <w:pPr>
              <w:spacing w:after="0"/>
              <w:rPr>
                <w:sz w:val="20"/>
                <w:szCs w:val="20"/>
                <w:color w:val="auto"/>
              </w:rPr>
            </w:pPr>
            <w:r>
              <w:rPr>
                <w:rFonts w:ascii="Arial" w:cs="Arial" w:eastAsia="Arial" w:hAnsi="Arial"/>
                <w:sz w:val="18"/>
                <w:szCs w:val="18"/>
                <w:color w:val="auto"/>
              </w:rPr>
              <w:t>Balance at June 30, 2014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1,298</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760,252</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2,462</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767,959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356"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34,561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Gain on the sale of investments, net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Amortization of discount on payments due under Asset Purchase Agreement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Amortization of premium on investment securities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2,835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provision (benefit)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Accrued investment income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(2,663)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Deferred policy acquisition costs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(1,366)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federal income tax</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Reserve for losses and LAE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Unearned premium reserve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20,605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45,247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short-term investments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Purchase of investments available for sale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(427,964)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(89,386)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maturity of investments available for sale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Proceeds from sales of investments available for sale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67,209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 net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(504,683)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shares net of costs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Payment of offering costs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acquired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under Asset Purchase Agreement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(decrease) increase in cash</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(463,475)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year</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477,655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22,315</w:t>
            </w:r>
          </w:p>
        </w:tc>
        <w:tc>
          <w:tcPr>
            <w:tcW w:w="0" w:type="dxa"/>
            <w:vAlign w:val="bottom"/>
          </w:tcPr>
          <w:p>
            <w:pPr>
              <w:spacing w:after="0"/>
              <w:rPr>
                <w:sz w:val="1"/>
                <w:szCs w:val="1"/>
                <w:color w:val="auto"/>
              </w:rPr>
            </w:pPr>
          </w:p>
        </w:tc>
      </w:tr>
      <w:tr>
        <w:trPr>
          <w:trHeight w:val="25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at end of period</w:t>
            </w:r>
          </w:p>
        </w:tc>
        <w:tc>
          <w:tcPr>
            <w:tcW w:w="3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14,180</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Noncash Transactions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Issuance of management incentive shares (see Note 6)</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low-down</w:t>
      </w:r>
    </w:p>
    <w:p>
      <w:pPr>
        <w:sectPr>
          <w:pgSz w:w="11900" w:h="16838" w:orient="portrait"/>
          <w:cols w:equalWidth="0" w:num="1">
            <w:col w:w="11420"/>
          </w:cols>
          <w:pgMar w:left="240" w:top="125" w:right="239" w:bottom="0" w:gutter="0" w:footer="0" w:header="0"/>
        </w:sectPr>
      </w:pPr>
    </w:p>
    <w:bookmarkStart w:id="6" w:name="page7"/>
    <w:bookmarkEnd w:id="6"/>
    <w:p>
      <w:pPr>
        <w:ind w:right="80"/>
        <w:spacing w:after="0" w:line="270" w:lineRule="auto"/>
        <w:rPr>
          <w:sz w:val="20"/>
          <w:szCs w:val="20"/>
          <w:color w:val="auto"/>
        </w:rPr>
      </w:pPr>
      <w:r>
        <w:rPr>
          <w:rFonts w:ascii="Arial" w:cs="Arial" w:eastAsia="Arial" w:hAnsi="Arial"/>
          <w:sz w:val="17"/>
          <w:szCs w:val="17"/>
          <w:color w:val="auto"/>
        </w:rPr>
        <w:t>payment (generally less than 20%) mortgage loans into the secondary mortgage market, primarily to the government sponsored enterprises (“GSEs”), Fannie Mae and Freddie Mac. Essent Group was incorporated in Bermuda in July 2008. In March 2014, Essent Group formed Essent Irish Intermediate Holdings Limited (“Essent Irish Intermediate”) as a wholly-owned subsidiary. In April 2014, Essent Group contributed the stock of Essent US Holdings, Inc. (“Essent Holdings”) to Essent Irish Intermediate. The primary mortgage insurance operations are conducted through Essent Holdings’ regulated and licensed wholly-owned subsidiaries, Essent Guaranty, Inc. (“Essent Guaranty”) and Essent Guaranty of PA, Inc. (“Essent PA”). Essent Group also has a wholly-owned Bermuda domiciled Class 3A Insurer pursuant to Section 4 of the Bermuda Insurance Act 1978, Essent Reinsurance, Ltd. (“Essent Re”), which issued its first insurance policy in July 2014. Essent Guaranty is approved as a qualified mortgage insurer by the GSEs and is licensed to write mortgage insurance in all 50 states and the District of Columbia. Essent Re expects to enter into a quota share reinsurance transaction with Essent Guaranty to reinsure 25% of Essent Guaranty’s GSE-eligible new insurance written effective July 1, 2014. Completion of this transaction is subject to approval by the Pennsylvania Insurance Department.</w:t>
      </w:r>
    </w:p>
    <w:p>
      <w:pPr>
        <w:spacing w:after="0" w:line="178"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2013,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2014 prior to the issuance of these condensed consolidated financial statements.</w:t>
      </w:r>
    </w:p>
    <w:p>
      <w:pPr>
        <w:spacing w:after="0" w:line="211"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As described more fully in our Annual Report on Form 10-K for the year ended December 31, 2013, Class B-2 common share and per share data in all periods presented has been restated for the 2 for 3 share split and the 1 for 1 conversion rate to Common Shares that was effective immediately prior to the closing of the Company’s initial public offering in November 2013. Class A common share and per share data has not been restated because the conversion to Common Shares in connection with the initial public offering was considered a value-for-value exchange of equity interests at the point of the transaction that resulted in a change in shareholder rights and rank before and after the transaction.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Available for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June 30, 2014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8,117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60,389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168,480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2,509</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170,795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239,204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54,451</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88,484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154,472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154,472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available for sale</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840,238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14,763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14,839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23,023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57,947</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57,650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126,311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125,593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19,219</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(638)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18,581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20,340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14,079</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14,079</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available for sale</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334,782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60" w:hanging="328"/>
        <w:spacing w:after="0" w:line="264"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June 30, 2014, approximately 57% of municipal debt securities were special revenue bonds, 40% were general obligation bonds, 2% were tax allocation bonds, and 1% were certification of participation bonds. At December 31, 2013, all municipal debt securities were general obligation bonds.</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amortized cost and fair value of available for sale securities at June 30, 2014, by contractual maturity, are shown below. Expected maturities will differ from contractual maturities because borrowers may have the right to call or prepay obligations with or without call or prepayment penalties. Because most mortgage-backed securities and asset-backed securities provide for periodic payments throughout their lives, they are listed below in separate categories.</w:t>
      </w:r>
    </w:p>
    <w:p>
      <w:pPr>
        <w:sectPr>
          <w:pgSz w:w="11900" w:h="16838" w:orient="portrait"/>
          <w:cols w:equalWidth="0" w:num="1">
            <w:col w:w="11460"/>
          </w:cols>
          <w:pgMar w:left="240" w:top="125" w:right="199" w:bottom="0" w:gutter="0" w:footer="0" w:header="0"/>
        </w:sectPr>
      </w:pPr>
    </w:p>
    <w:bookmarkStart w:id="7" w:name="page8"/>
    <w:bookmarkEnd w:id="7"/>
    <w:tbl>
      <w:tblPr>
        <w:tblLayout w:type="fixed"/>
        <w:tblInd w:w="98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Amortized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Fair</w:t>
            </w:r>
          </w:p>
        </w:tc>
      </w:tr>
      <w:tr>
        <w:trPr>
          <w:trHeight w:val="171"/>
        </w:trPr>
        <w:tc>
          <w:tcPr>
            <w:tcW w:w="18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1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0"/>
              </w:rPr>
              <w:t>U.S. Treasury securities:</w:t>
            </w:r>
          </w:p>
        </w:tc>
        <w:tc>
          <w:tcPr>
            <w:tcW w:w="4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rPr>
              <w:t>Due in 1 year</w:t>
            </w:r>
          </w:p>
        </w:tc>
        <w:tc>
          <w:tcPr>
            <w:tcW w:w="4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27,033</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27,089</w:t>
            </w:r>
          </w:p>
        </w:tc>
        <w:tc>
          <w:tcPr>
            <w:tcW w:w="80" w:type="dxa"/>
            <w:vAlign w:val="bottom"/>
          </w:tcPr>
          <w:p>
            <w:pPr>
              <w:spacing w:after="0"/>
              <w:rPr>
                <w:sz w:val="18"/>
                <w:szCs w:val="18"/>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Due after 1 but within</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years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9,113</w:t>
            </w:r>
          </w:p>
        </w:tc>
        <w:tc>
          <w:tcPr>
            <w:tcW w:w="80" w:type="dxa"/>
            <w:vAlign w:val="bottom"/>
            <w:shd w:val="clear" w:color="auto" w:fill="CCEEFF"/>
          </w:tcPr>
          <w:p>
            <w:pPr>
              <w:spacing w:after="0"/>
              <w:rPr>
                <w:sz w:val="18"/>
                <w:szCs w:val="18"/>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w w:val="94"/>
              </w:rPr>
              <w:t>Due after 5 but within</w:t>
            </w:r>
          </w:p>
        </w:tc>
        <w:tc>
          <w:tcPr>
            <w:tcW w:w="4220" w:type="dxa"/>
            <w:vAlign w:val="bottom"/>
          </w:tcPr>
          <w:p>
            <w:pPr>
              <w:ind w:left="20"/>
              <w:spacing w:after="0"/>
              <w:rPr>
                <w:sz w:val="20"/>
                <w:szCs w:val="20"/>
                <w:color w:val="auto"/>
              </w:rPr>
            </w:pPr>
            <w:r>
              <w:rPr>
                <w:rFonts w:ascii="Arial" w:cs="Arial" w:eastAsia="Arial" w:hAnsi="Arial"/>
                <w:sz w:val="18"/>
                <w:szCs w:val="18"/>
                <w:color w:val="auto"/>
              </w:rPr>
              <w:t>10 years</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30,560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30,517</w:t>
            </w:r>
          </w:p>
        </w:tc>
        <w:tc>
          <w:tcPr>
            <w:tcW w:w="80" w:type="dxa"/>
            <w:vAlign w:val="bottom"/>
          </w:tcPr>
          <w:p>
            <w:pPr>
              <w:spacing w:after="0"/>
              <w:rPr>
                <w:sz w:val="18"/>
                <w:szCs w:val="18"/>
                <w:color w:val="auto"/>
              </w:rPr>
            </w:pPr>
          </w:p>
        </w:tc>
      </w:tr>
      <w:tr>
        <w:trPr>
          <w:trHeight w:val="210"/>
        </w:trPr>
        <w:tc>
          <w:tcPr>
            <w:tcW w:w="1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4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1800" w:type="dxa"/>
            <w:vAlign w:val="bottom"/>
          </w:tcPr>
          <w:p>
            <w:pPr>
              <w:spacing w:after="0" w:line="196" w:lineRule="exact"/>
              <w:rPr>
                <w:sz w:val="20"/>
                <w:szCs w:val="20"/>
                <w:color w:val="auto"/>
              </w:rPr>
            </w:pPr>
            <w:r>
              <w:rPr>
                <w:rFonts w:ascii="Arial" w:cs="Arial" w:eastAsia="Arial" w:hAnsi="Arial"/>
                <w:sz w:val="18"/>
                <w:szCs w:val="18"/>
                <w:color w:val="auto"/>
                <w:w w:val="96"/>
              </w:rPr>
              <w:t>U.S. agency securities:</w:t>
            </w:r>
          </w:p>
        </w:tc>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in 1 year</w:t>
            </w:r>
          </w:p>
        </w:tc>
        <w:tc>
          <w:tcPr>
            <w:tcW w:w="4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4,927</w:t>
            </w:r>
          </w:p>
        </w:tc>
        <w:tc>
          <w:tcPr>
            <w:tcW w:w="80" w:type="dxa"/>
            <w:vAlign w:val="bottom"/>
            <w:shd w:val="clear" w:color="auto" w:fill="CCEEFF"/>
          </w:tcPr>
          <w:p>
            <w:pPr>
              <w:spacing w:after="0"/>
              <w:rPr>
                <w:sz w:val="18"/>
                <w:szCs w:val="18"/>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w w:val="94"/>
              </w:rPr>
              <w:t>Due after 1 but within</w:t>
            </w:r>
          </w:p>
        </w:tc>
        <w:tc>
          <w:tcPr>
            <w:tcW w:w="4220" w:type="dxa"/>
            <w:vAlign w:val="bottom"/>
          </w:tcPr>
          <w:p>
            <w:pPr>
              <w:ind w:left="20"/>
              <w:spacing w:after="0"/>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3,198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3,238</w:t>
            </w:r>
          </w:p>
        </w:tc>
        <w:tc>
          <w:tcPr>
            <w:tcW w:w="80" w:type="dxa"/>
            <w:vAlign w:val="bottom"/>
          </w:tcPr>
          <w:p>
            <w:pPr>
              <w:spacing w:after="0"/>
              <w:rPr>
                <w:sz w:val="18"/>
                <w:szCs w:val="18"/>
                <w:color w:val="auto"/>
              </w:rPr>
            </w:pPr>
          </w:p>
        </w:tc>
      </w:tr>
      <w:tr>
        <w:trPr>
          <w:trHeight w:val="210"/>
        </w:trPr>
        <w:tc>
          <w:tcPr>
            <w:tcW w:w="1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4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6020" w:type="dxa"/>
            <w:vAlign w:val="bottom"/>
            <w:gridSpan w:val="2"/>
          </w:tcPr>
          <w:p>
            <w:pPr>
              <w:spacing w:after="0" w:line="196" w:lineRule="exact"/>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in 1 year</w:t>
            </w:r>
          </w:p>
        </w:tc>
        <w:tc>
          <w:tcPr>
            <w:tcW w:w="4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w w:val="94"/>
              </w:rPr>
              <w:t>Due after 1 but within</w:t>
            </w:r>
          </w:p>
        </w:tc>
        <w:tc>
          <w:tcPr>
            <w:tcW w:w="4220" w:type="dxa"/>
            <w:vAlign w:val="bottom"/>
          </w:tcPr>
          <w:p>
            <w:pPr>
              <w:ind w:left="20"/>
              <w:spacing w:after="0"/>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67,633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67,786</w:t>
            </w:r>
          </w:p>
        </w:tc>
        <w:tc>
          <w:tcPr>
            <w:tcW w:w="80" w:type="dxa"/>
            <w:vAlign w:val="bottom"/>
          </w:tcPr>
          <w:p>
            <w:pPr>
              <w:spacing w:after="0"/>
              <w:rPr>
                <w:sz w:val="18"/>
                <w:szCs w:val="18"/>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Due after 5 but within</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54,895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56,188</w:t>
            </w:r>
          </w:p>
        </w:tc>
        <w:tc>
          <w:tcPr>
            <w:tcW w:w="80" w:type="dxa"/>
            <w:vAlign w:val="bottom"/>
            <w:shd w:val="clear" w:color="auto" w:fill="CCEEFF"/>
          </w:tcPr>
          <w:p>
            <w:pPr>
              <w:spacing w:after="0"/>
              <w:rPr>
                <w:sz w:val="18"/>
                <w:szCs w:val="18"/>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rPr>
              <w:t>Due after 10 years</w:t>
            </w: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45,484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46,352</w:t>
            </w:r>
          </w:p>
        </w:tc>
        <w:tc>
          <w:tcPr>
            <w:tcW w:w="80" w:type="dxa"/>
            <w:vAlign w:val="bottom"/>
          </w:tcPr>
          <w:p>
            <w:pPr>
              <w:spacing w:after="0"/>
              <w:rPr>
                <w:sz w:val="18"/>
                <w:szCs w:val="18"/>
                <w:color w:val="auto"/>
              </w:rPr>
            </w:pPr>
          </w:p>
        </w:tc>
      </w:tr>
      <w:tr>
        <w:trPr>
          <w:trHeight w:val="210"/>
        </w:trPr>
        <w:tc>
          <w:tcPr>
            <w:tcW w:w="1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4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168,480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6020" w:type="dxa"/>
            <w:vAlign w:val="bottom"/>
            <w:gridSpan w:val="2"/>
          </w:tcPr>
          <w:p>
            <w:pPr>
              <w:spacing w:after="0" w:line="196" w:lineRule="exact"/>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in 1 year</w:t>
            </w:r>
          </w:p>
        </w:tc>
        <w:tc>
          <w:tcPr>
            <w:tcW w:w="4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10,055</w:t>
            </w:r>
          </w:p>
        </w:tc>
        <w:tc>
          <w:tcPr>
            <w:tcW w:w="80" w:type="dxa"/>
            <w:vAlign w:val="bottom"/>
            <w:shd w:val="clear" w:color="auto" w:fill="CCEEFF"/>
          </w:tcPr>
          <w:p>
            <w:pPr>
              <w:spacing w:after="0"/>
              <w:rPr>
                <w:sz w:val="18"/>
                <w:szCs w:val="18"/>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w w:val="94"/>
              </w:rPr>
              <w:t>Due after 1 but within</w:t>
            </w:r>
          </w:p>
        </w:tc>
        <w:tc>
          <w:tcPr>
            <w:tcW w:w="4220" w:type="dxa"/>
            <w:vAlign w:val="bottom"/>
          </w:tcPr>
          <w:p>
            <w:pPr>
              <w:ind w:left="20"/>
              <w:spacing w:after="0"/>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159,680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160,757</w:t>
            </w:r>
          </w:p>
        </w:tc>
        <w:tc>
          <w:tcPr>
            <w:tcW w:w="80" w:type="dxa"/>
            <w:vAlign w:val="bottom"/>
          </w:tcPr>
          <w:p>
            <w:pPr>
              <w:spacing w:after="0"/>
              <w:rPr>
                <w:sz w:val="18"/>
                <w:szCs w:val="18"/>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Due after 5 but within</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67,996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69,520</w:t>
            </w:r>
          </w:p>
        </w:tc>
        <w:tc>
          <w:tcPr>
            <w:tcW w:w="80" w:type="dxa"/>
            <w:vAlign w:val="bottom"/>
            <w:shd w:val="clear" w:color="auto" w:fill="CCEEFF"/>
          </w:tcPr>
          <w:p>
            <w:pPr>
              <w:spacing w:after="0"/>
              <w:rPr>
                <w:sz w:val="18"/>
                <w:szCs w:val="18"/>
                <w:color w:val="auto"/>
              </w:rPr>
            </w:pPr>
          </w:p>
        </w:tc>
      </w:tr>
      <w:tr>
        <w:trPr>
          <w:trHeight w:val="216"/>
        </w:trPr>
        <w:tc>
          <w:tcPr>
            <w:tcW w:w="1800" w:type="dxa"/>
            <w:vAlign w:val="bottom"/>
          </w:tcPr>
          <w:p>
            <w:pPr>
              <w:ind w:left="180"/>
              <w:spacing w:after="0"/>
              <w:rPr>
                <w:sz w:val="20"/>
                <w:szCs w:val="20"/>
                <w:color w:val="auto"/>
              </w:rPr>
            </w:pPr>
            <w:r>
              <w:rPr>
                <w:rFonts w:ascii="Arial" w:cs="Arial" w:eastAsia="Arial" w:hAnsi="Arial"/>
                <w:sz w:val="18"/>
                <w:szCs w:val="18"/>
                <w:color w:val="auto"/>
              </w:rPr>
              <w:t>Due after 10 years</w:t>
            </w: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1,536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1,542</w:t>
            </w:r>
          </w:p>
        </w:tc>
        <w:tc>
          <w:tcPr>
            <w:tcW w:w="80" w:type="dxa"/>
            <w:vAlign w:val="bottom"/>
          </w:tcPr>
          <w:p>
            <w:pPr>
              <w:spacing w:after="0"/>
              <w:rPr>
                <w:sz w:val="18"/>
                <w:szCs w:val="18"/>
                <w:color w:val="auto"/>
              </w:rPr>
            </w:pPr>
          </w:p>
        </w:tc>
      </w:tr>
      <w:tr>
        <w:trPr>
          <w:trHeight w:val="210"/>
        </w:trPr>
        <w:tc>
          <w:tcPr>
            <w:tcW w:w="1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4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239,204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60,389</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1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Asset-backed securities</w:t>
            </w:r>
          </w:p>
        </w:tc>
        <w:tc>
          <w:tcPr>
            <w:tcW w:w="4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88,484</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154,472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6020" w:type="dxa"/>
            <w:vAlign w:val="bottom"/>
            <w:gridSpan w:val="2"/>
          </w:tcPr>
          <w:p>
            <w:pPr>
              <w:spacing w:after="0"/>
              <w:rPr>
                <w:sz w:val="20"/>
                <w:szCs w:val="20"/>
                <w:color w:val="auto"/>
              </w:rPr>
            </w:pPr>
            <w:r>
              <w:rPr>
                <w:rFonts w:ascii="Arial" w:cs="Arial" w:eastAsia="Arial" w:hAnsi="Arial"/>
                <w:sz w:val="18"/>
                <w:szCs w:val="18"/>
                <w:color w:val="auto"/>
              </w:rPr>
              <w:t>Total investments available for sale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840,238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845,870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Essent realized gross gains and losses on the sale of investments available for sale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8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800" w:type="dxa"/>
            <w:vAlign w:val="bottom"/>
          </w:tcPr>
          <w:p>
            <w:pPr>
              <w:spacing w:after="0"/>
              <w:rPr>
                <w:sz w:val="14"/>
                <w:szCs w:val="14"/>
                <w:color w:val="auto"/>
              </w:rPr>
            </w:pPr>
          </w:p>
        </w:tc>
      </w:tr>
      <w:tr>
        <w:trPr>
          <w:trHeight w:val="142"/>
        </w:trPr>
        <w:tc>
          <w:tcPr>
            <w:tcW w:w="2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Realized gross gains</w:t>
            </w:r>
          </w:p>
        </w:tc>
        <w:tc>
          <w:tcPr>
            <w:tcW w:w="13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83</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Realized gross losses</w:t>
            </w: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r>
      <w:tr>
        <w:trPr>
          <w:trHeight w:val="418"/>
        </w:trPr>
        <w:tc>
          <w:tcPr>
            <w:tcW w:w="2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8"/>
                <w:szCs w:val="18"/>
                <w:color w:val="auto"/>
                <w:w w:val="99"/>
              </w:rPr>
              <w:t>6</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2"/>
        </w:trPr>
        <w:tc>
          <w:tcPr>
            <w:tcW w:w="290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tcPr>
          <w:p>
            <w:pPr>
              <w:jc w:val="center"/>
              <w:ind w:left="597"/>
              <w:spacing w:after="0"/>
              <w:rPr>
                <w:sz w:val="20"/>
                <w:szCs w:val="20"/>
                <w:color w:val="auto"/>
              </w:rPr>
            </w:pPr>
            <w:r>
              <w:rPr>
                <w:rFonts w:ascii="Arial" w:cs="Arial" w:eastAsia="Arial" w:hAnsi="Arial"/>
                <w:sz w:val="14"/>
                <w:szCs w:val="14"/>
                <w:b w:val="1"/>
                <w:bCs w:val="1"/>
                <w:color w:val="auto"/>
                <w:w w:val="88"/>
              </w:rPr>
              <w:t>Less than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12 months or more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vMerge w:val="restart"/>
          </w:tcPr>
          <w:p>
            <w:pPr>
              <w:jc w:val="right"/>
              <w:ind w:right="25"/>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tcPr>
          <w:p>
            <w:pPr>
              <w:jc w:val="center"/>
              <w:ind w:left="617"/>
              <w:spacing w:after="0"/>
              <w:rPr>
                <w:sz w:val="20"/>
                <w:szCs w:val="20"/>
                <w:color w:val="auto"/>
              </w:rPr>
            </w:pPr>
            <w:r>
              <w:rPr>
                <w:rFonts w:ascii="Arial" w:cs="Arial" w:eastAsia="Arial" w:hAnsi="Arial"/>
                <w:sz w:val="14"/>
                <w:szCs w:val="14"/>
                <w:b w:val="1"/>
                <w:bCs w:val="1"/>
                <w:color w:val="auto"/>
                <w:w w:val="91"/>
              </w:rPr>
              <w:t>12 months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6"/>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56"/>
              <w:spacing w:after="0" w:line="119"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June 30, 2014</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5,230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12,368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24,562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9,440</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34,002</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15,270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30,920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18,158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12,201</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30,359</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26,719</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55,990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143,658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4"/>
          </w:tcPr>
          <w:p>
            <w:pPr>
              <w:jc w:val="center"/>
              <w:ind w:left="597"/>
              <w:spacing w:after="0"/>
              <w:rPr>
                <w:sz w:val="20"/>
                <w:szCs w:val="20"/>
                <w:color w:val="auto"/>
              </w:rPr>
            </w:pPr>
            <w:r>
              <w:rPr>
                <w:rFonts w:ascii="Arial" w:cs="Arial" w:eastAsia="Arial" w:hAnsi="Arial"/>
                <w:sz w:val="14"/>
                <w:szCs w:val="14"/>
                <w:b w:val="1"/>
                <w:bCs w:val="1"/>
                <w:color w:val="auto"/>
                <w:w w:val="88"/>
              </w:rPr>
              <w:t>Less than</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12 months or more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vMerge w:val="restart"/>
          </w:tcPr>
          <w:p>
            <w:pPr>
              <w:jc w:val="right"/>
              <w:ind w:right="25"/>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tcPr>
          <w:p>
            <w:pPr>
              <w:jc w:val="center"/>
              <w:ind w:left="617"/>
              <w:spacing w:after="0"/>
              <w:rPr>
                <w:sz w:val="20"/>
                <w:szCs w:val="20"/>
                <w:color w:val="auto"/>
              </w:rPr>
            </w:pPr>
            <w:r>
              <w:rPr>
                <w:rFonts w:ascii="Arial" w:cs="Arial" w:eastAsia="Arial" w:hAnsi="Arial"/>
                <w:sz w:val="14"/>
                <w:szCs w:val="14"/>
                <w:b w:val="1"/>
                <w:bCs w:val="1"/>
                <w:color w:val="auto"/>
                <w:w w:val="91"/>
              </w:rPr>
              <w:t>12 months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6"/>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56"/>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2013</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16,474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(890)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16,474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17,169</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21,573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13,074</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34,647</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78,512</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5,333</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18,582</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6,024</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146,168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25,240</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171,408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320" w:right="199" w:bottom="22" w:gutter="0" w:footer="0" w:header="0"/>
        </w:sectPr>
      </w:pPr>
    </w:p>
    <w:bookmarkStart w:id="8" w:name="page9"/>
    <w:bookmarkEnd w:id="8"/>
    <w:p>
      <w:pPr>
        <w:ind w:right="180" w:firstLine="648"/>
        <w:spacing w:after="0" w:line="302" w:lineRule="auto"/>
        <w:rPr>
          <w:sz w:val="20"/>
          <w:szCs w:val="20"/>
          <w:color w:val="auto"/>
        </w:rPr>
      </w:pPr>
      <w:r>
        <w:rPr>
          <w:rFonts w:ascii="Arial" w:cs="Arial" w:eastAsia="Arial" w:hAnsi="Arial"/>
          <w:sz w:val="16"/>
          <w:szCs w:val="16"/>
          <w:color w:val="auto"/>
        </w:rPr>
        <w:t>The gross unrealized losses on these investment securities are principally associated with the changes in the interest rate environment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of investments in the six months ended June 30, 2014 or year ended December 31, 2013.</w:t>
      </w:r>
    </w:p>
    <w:p>
      <w:pPr>
        <w:spacing w:after="0" w:line="15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$8,553 at June 30, 2014 and $8,573 at December 31,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6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800" w:type="dxa"/>
            <w:vAlign w:val="bottom"/>
          </w:tcPr>
          <w:p>
            <w:pPr>
              <w:spacing w:after="0"/>
              <w:rPr>
                <w:sz w:val="14"/>
                <w:szCs w:val="14"/>
                <w:color w:val="auto"/>
              </w:rPr>
            </w:pPr>
          </w:p>
        </w:tc>
      </w:tr>
      <w:tr>
        <w:trPr>
          <w:trHeight w:val="142"/>
        </w:trPr>
        <w:tc>
          <w:tcPr>
            <w:tcW w:w="3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3,322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1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3,341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Investment expenses</w:t>
            </w: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800" w:type="dxa"/>
            <w:vAlign w:val="bottom"/>
          </w:tcPr>
          <w:p>
            <w:pPr>
              <w:spacing w:after="0"/>
              <w:rPr>
                <w:sz w:val="18"/>
                <w:szCs w:val="18"/>
                <w:color w:val="auto"/>
              </w:rPr>
            </w:pPr>
          </w:p>
        </w:tc>
      </w:tr>
      <w:tr>
        <w:trPr>
          <w:trHeight w:val="210"/>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3"/>
        </w:trPr>
        <w:tc>
          <w:tcPr>
            <w:tcW w:w="3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2"/>
        </w:trPr>
        <w:tc>
          <w:tcPr>
            <w:tcW w:w="30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consist of the following:</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receivable</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Premiums receivable consist of premiums due on our mortgage insurance policies. If mortgage insurance premiums are unpaid for more than</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90 days, the receivable is written off against earned premium and the related insurance policy is cancelled. For all periods presented, Essent did not record a provision or an allowance for doubtful accounts.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Reserve for Losses and Loss Adjustment Expenses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six months ended June 30:</w:t>
      </w:r>
    </w:p>
    <w:p>
      <w:pPr>
        <w:spacing w:after="0" w:line="162"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8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Reserve for losses and LAE at beginning of period</w:t>
            </w:r>
          </w:p>
        </w:tc>
        <w:tc>
          <w:tcPr>
            <w:tcW w:w="7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reserve for losses and LAE at beginning of period</w:t>
            </w:r>
          </w:p>
        </w:tc>
        <w:tc>
          <w:tcPr>
            <w:tcW w:w="7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Pr>
          <w:p>
            <w:pPr>
              <w:spacing w:after="0" w:line="196" w:lineRule="exact"/>
              <w:rPr>
                <w:sz w:val="20"/>
                <w:szCs w:val="20"/>
                <w:color w:val="auto"/>
              </w:rPr>
            </w:pPr>
            <w:r>
              <w:rPr>
                <w:rFonts w:ascii="Arial" w:cs="Arial" w:eastAsia="Arial" w:hAnsi="Arial"/>
                <w:sz w:val="18"/>
                <w:szCs w:val="18"/>
                <w:color w:val="auto"/>
              </w:rPr>
              <w:t>Add provision for losses and LAE, net of reinsurance, occurring in:</w:t>
            </w: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period</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Prior years</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incurred losses during the current period</w:t>
            </w:r>
          </w:p>
        </w:tc>
        <w:tc>
          <w:tcPr>
            <w:tcW w:w="7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Pr>
          <w:p>
            <w:pPr>
              <w:spacing w:after="0" w:line="196" w:lineRule="exact"/>
              <w:rPr>
                <w:sz w:val="20"/>
                <w:szCs w:val="20"/>
                <w:color w:val="auto"/>
              </w:rPr>
            </w:pPr>
            <w:r>
              <w:rPr>
                <w:rFonts w:ascii="Arial" w:cs="Arial" w:eastAsia="Arial" w:hAnsi="Arial"/>
                <w:sz w:val="18"/>
                <w:szCs w:val="18"/>
                <w:color w:val="auto"/>
              </w:rPr>
              <w:t>Deduct payments for losses and LAE, net of reinsurance, occurring in:</w:t>
            </w: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period</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Prior years</w:t>
            </w:r>
          </w:p>
        </w:tc>
        <w:tc>
          <w:tcPr>
            <w:tcW w:w="7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 and LAE payments during the current period</w:t>
            </w:r>
          </w:p>
        </w:tc>
        <w:tc>
          <w:tcPr>
            <w:tcW w:w="7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reserve for losses and LAE at end of period</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4,506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Plus: Reinsurance recoverables</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Reserve for losses and LAE at end of period</w:t>
            </w:r>
          </w:p>
        </w:tc>
        <w:tc>
          <w:tcPr>
            <w:tcW w:w="78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4,506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Loans in default at end of period</w:t>
            </w: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For the six months ended June 30, 2014, $432 was paid for incurred claims and claim adjustment expenses attributable to insured events of prior years. There has been a $584 favorable prior-year development during the six months ended June 30, 2014. Reserves remaining as of June 30, 2014 for prior years are $2,054 as a result of re-estimation of unpaid losses and loss adjustment expenses. For the six months ended June 30, 2013, $257 was paid for incurred claims and claim adjustment expenses attributable to insured events of prior years. There has been a $125 favorable prior-year development during the six months ended June 30, 2013. Reserves remaining as of June 30, 2013 for prior years were $1,117 as a result of re-estimation of unpaid losses and loss adjustment expenses. The decreases in both periods are generally the result of ongoing analysis of recent loss development trends. Original estimates are increased or decreased as additional information becomes known regarding individual claims.</w:t>
      </w:r>
    </w:p>
    <w:p>
      <w:pPr>
        <w:sectPr>
          <w:pgSz w:w="11900" w:h="16838" w:orient="portrait"/>
          <w:cols w:equalWidth="0" w:num="1">
            <w:col w:w="11460"/>
          </w:cols>
          <w:pgMar w:left="240" w:top="125" w:right="19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Under the terms of CUW Solutions LLC’s contract underwriting agreements with lenders and subject to contractual limitations on liability, we agreed to indemnify the lender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$4 and less than $1 related to remedies for the six months ended June 30, 2014 and 2013, respectively. As of June 30, 2014, management believes any potential claims for indemnification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related to contract underwriting services through June 30, 2014 are not material to our condensed consolidated financial position or results of operations.</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 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2014,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indemnifications.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We lease office space for use in our operations under leases accounted for as operating leases. In May 2014, we amended our existing lease agreement for our office space in North Carolina and extended the lease term to 2025. The future minimum lease payments of all of our non-cancelable operating leases are as follows at June 30, 2014:</w:t>
      </w:r>
    </w:p>
    <w:p>
      <w:pPr>
        <w:spacing w:after="0" w:line="173"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1,476</w:t>
            </w: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2,114</w:t>
            </w: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14,282</w:t>
            </w:r>
          </w:p>
        </w:tc>
        <w:tc>
          <w:tcPr>
            <w:tcW w:w="80" w:type="dxa"/>
            <w:vAlign w:val="bottom"/>
            <w:shd w:val="clear" w:color="auto" w:fill="CCEEFF"/>
          </w:tcPr>
          <w:p>
            <w:pPr>
              <w:spacing w:after="0"/>
              <w:rPr>
                <w:sz w:val="18"/>
                <w:szCs w:val="18"/>
                <w:color w:val="auto"/>
              </w:rPr>
            </w:pPr>
          </w:p>
        </w:tc>
      </w:tr>
      <w:tr>
        <w:trPr>
          <w:trHeight w:val="210"/>
        </w:trPr>
        <w:tc>
          <w:tcPr>
            <w:tcW w:w="6520" w:type="dxa"/>
            <w:vAlign w:val="bottom"/>
            <w:gridSpan w:val="2"/>
          </w:tcPr>
          <w:p>
            <w:pPr>
              <w:spacing w:after="0"/>
              <w:rPr>
                <w:sz w:val="20"/>
                <w:szCs w:val="20"/>
                <w:color w:val="auto"/>
              </w:rPr>
            </w:pPr>
            <w:r>
              <w:rPr>
                <w:rFonts w:ascii="Arial" w:cs="Arial" w:eastAsia="Arial" w:hAnsi="Arial"/>
                <w:sz w:val="18"/>
                <w:szCs w:val="18"/>
                <w:color w:val="auto"/>
              </w:rPr>
              <w:t>Total minimum payments required</w:t>
            </w: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Minimum lease payments shown above have not been reduced by minimum sublease rental income of $151 due in 2014 under a non-cancelable sublease.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Stock-Based Compensation</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February 6, 2009, Essent Group adopted the 2009 Restricted Share Plan. In connection with the initial public offering that was completed in November 2013, Essent Group’s Board of Directors amended and restated the 2009 Restricted Share Plan, effective immediately prior to the initial public offering. In addition,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As of June 30, 2014, there were 13,521 Common Shares available for future grant under the 2013 Plan.</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September 2013 and February 2014, certain members of senior management were granted nonvested Common Shares under the 2013 Plan that were subject to time-based and performance-based vesting. The time-based share awards vest in three equal installments on January 1, 2015, 2016 and 2017. The performance share awards vest based upon our compounded annual book value per share growth percentage during a three-year performance period commencing January 1, 2014. The September 2013 grants vest on the one-year anniversary of the completion of the performance period, and the 2014 grants vest on March 1, 2017. The portion of the nonvested Common Shares that will be earned based upon the achievement of compounded annual book value per share growth is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10" w:name="page11"/>
    <w:bookmarkEnd w:id="10"/>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Performance level</w:t>
            </w:r>
          </w:p>
        </w:tc>
        <w:tc>
          <w:tcPr>
            <w:tcW w:w="300" w:type="dxa"/>
            <w:vAlign w:val="bottom"/>
            <w:vMerge w:val="restart"/>
          </w:tcPr>
          <w:p>
            <w:pPr>
              <w:spacing w:after="0"/>
              <w:rPr>
                <w:sz w:val="14"/>
                <w:szCs w:val="14"/>
                <w:color w:val="auto"/>
              </w:rPr>
            </w:pPr>
          </w:p>
        </w:tc>
        <w:tc>
          <w:tcPr>
            <w:tcW w:w="2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Compounded Annual Book Value</w:t>
            </w: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Nonvested Common</w:t>
            </w:r>
          </w:p>
        </w:tc>
        <w:tc>
          <w:tcPr>
            <w:tcW w:w="0" w:type="dxa"/>
            <w:vAlign w:val="bottom"/>
          </w:tcPr>
          <w:p>
            <w:pPr>
              <w:spacing w:after="0"/>
              <w:rPr>
                <w:sz w:val="1"/>
                <w:szCs w:val="1"/>
                <w:color w:val="auto"/>
              </w:rPr>
            </w:pPr>
          </w:p>
        </w:tc>
      </w:tr>
      <w:tr>
        <w:trPr>
          <w:trHeight w:val="171"/>
        </w:trPr>
        <w:tc>
          <w:tcPr>
            <w:tcW w:w="62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Per Share Growth</w:t>
            </w:r>
          </w:p>
        </w:tc>
        <w:tc>
          <w:tcPr>
            <w:tcW w:w="2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Shares Earned</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&lt; 11%</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Threshold</w:t>
            </w:r>
          </w:p>
        </w:tc>
        <w:tc>
          <w:tcPr>
            <w:tcW w:w="2920" w:type="dxa"/>
            <w:vAlign w:val="bottom"/>
            <w:gridSpan w:val="4"/>
          </w:tcPr>
          <w:p>
            <w:pPr>
              <w:jc w:val="right"/>
              <w:ind w:right="140"/>
              <w:spacing w:after="0"/>
              <w:rPr>
                <w:sz w:val="20"/>
                <w:szCs w:val="20"/>
                <w:color w:val="auto"/>
              </w:rPr>
            </w:pPr>
            <w:r>
              <w:rPr>
                <w:rFonts w:ascii="Arial" w:cs="Arial" w:eastAsia="Arial" w:hAnsi="Arial"/>
                <w:sz w:val="18"/>
                <w:szCs w:val="18"/>
                <w:color w:val="auto"/>
              </w:rPr>
              <w:t>11%</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4"/>
          </w:tcPr>
          <w:p>
            <w:pPr>
              <w:jc w:val="right"/>
              <w:ind w:right="140"/>
              <w:spacing w:after="0"/>
              <w:rPr>
                <w:sz w:val="20"/>
                <w:szCs w:val="20"/>
                <w:color w:val="auto"/>
              </w:rPr>
            </w:pPr>
            <w:r>
              <w:rPr>
                <w:rFonts w:ascii="Arial" w:cs="Arial" w:eastAsia="Arial" w:hAnsi="Arial"/>
                <w:sz w:val="18"/>
                <w:szCs w:val="18"/>
                <w:color w:val="auto"/>
              </w:rPr>
              <w:t>13%</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76"/>
        </w:trPr>
        <w:tc>
          <w:tcPr>
            <w:tcW w:w="65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Maximum</w:t>
            </w:r>
          </w:p>
        </w:tc>
        <w:tc>
          <w:tcPr>
            <w:tcW w:w="2920" w:type="dxa"/>
            <w:vAlign w:val="bottom"/>
            <w:gridSpan w:val="4"/>
          </w:tcPr>
          <w:p>
            <w:pPr>
              <w:jc w:val="right"/>
              <w:ind w:right="140"/>
              <w:spacing w:after="0" w:line="176" w:lineRule="exact"/>
              <w:rPr>
                <w:sz w:val="20"/>
                <w:szCs w:val="20"/>
                <w:color w:val="auto"/>
              </w:rPr>
            </w:pPr>
            <w:r>
              <w:rPr>
                <w:rFonts w:ascii="Arial" w:cs="Arial" w:eastAsia="Arial" w:hAnsi="Arial"/>
                <w:sz w:val="18"/>
                <w:szCs w:val="18"/>
                <w:color w:val="auto"/>
              </w:rPr>
              <w:t>&gt; 15%</w:t>
            </w:r>
          </w:p>
        </w:tc>
        <w:tc>
          <w:tcPr>
            <w:tcW w:w="19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 line basis between the respective levels shown.</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2013, in February 2014, the Compensation Committee of the Board of Directors approved the issuance of time-based share awards and share units to employees that will vest in three equal installments on January 1, 2015, 2016 and 2017.</w:t>
      </w:r>
    </w:p>
    <w:p>
      <w:pPr>
        <w:spacing w:after="0" w:line="181"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In May 2014, the Compensation Committee of the Board of Directors approved the issuance of time-based share units to non-employee directors. The portion of the grant that relates to director compensation for the period from our initial public offering through April 2014 vests on November 1, 2014 and the portion of the grant that relates to director compensation from May 2014 through April 2015 vests one year from the date of grant.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and nonvested Common Share unit activity for the six months ended June 30, 2014: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Time and Performance-</w:t>
            </w:r>
          </w:p>
        </w:tc>
        <w:tc>
          <w:tcPr>
            <w:tcW w:w="2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Time-Based Share</w:t>
            </w:r>
          </w:p>
        </w:tc>
        <w:tc>
          <w:tcPr>
            <w:tcW w:w="1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Share Units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Based Share Awards</w:t>
            </w:r>
          </w:p>
        </w:tc>
        <w:tc>
          <w:tcPr>
            <w:tcW w:w="1560" w:type="dxa"/>
            <w:vAlign w:val="bottom"/>
            <w:gridSpan w:val="4"/>
          </w:tcPr>
          <w:p>
            <w:pPr>
              <w:jc w:val="center"/>
              <w:ind w:left="858"/>
              <w:spacing w:after="0"/>
              <w:rPr>
                <w:sz w:val="20"/>
                <w:szCs w:val="20"/>
                <w:color w:val="auto"/>
              </w:rPr>
            </w:pPr>
            <w:r>
              <w:rPr>
                <w:rFonts w:ascii="Arial" w:cs="Arial" w:eastAsia="Arial" w:hAnsi="Arial"/>
                <w:sz w:val="14"/>
                <w:szCs w:val="14"/>
                <w:b w:val="1"/>
                <w:bCs w:val="1"/>
                <w:color w:val="auto"/>
                <w:w w:val="90"/>
              </w:rPr>
              <w:t>Awards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3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80"/>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Grant</w:t>
            </w: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Grant</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Date Fair</w:t>
            </w: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Date Fair</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w:t>
            </w:r>
          </w:p>
        </w:tc>
        <w:tc>
          <w:tcPr>
            <w:tcW w:w="2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Units</w:t>
            </w:r>
          </w:p>
        </w:tc>
        <w:tc>
          <w:tcPr>
            <w:tcW w:w="2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23.47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total fair value of nonvested shares that vested was $28,021 and $2,044 for the six months ended June 30, 2014 and 2013, respectively. As of June 30, 2014, there was $34,597 of total unrecognized compensation expense related to nonvested shares outstanding at June 30, 2014 and we expect to recognize the expense over a weighted average period of 3.1 years.</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addition to the nonvested share activity listed above, in February 2014, the Compensation Committee of the Board of Directors approved the issuance to employees of 17 Common Shares which vested upon issuance.</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Employees have the option to tender shares to Essent Group to pay the minimum employee statutory withholding taxes associated with shares upon vesting. Common Shares tendered by employees to pay employee withholding taxes totaled 101 in the six months ended June 30, 2014. The tendered shares were recorded at cost, included in treasury stock and have been cancelled as of June 30, 2014.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1560" w:type="dxa"/>
            <w:vAlign w:val="bottom"/>
          </w:tcPr>
          <w:p>
            <w:pPr>
              <w:spacing w:after="0"/>
              <w:rPr>
                <w:sz w:val="14"/>
                <w:szCs w:val="14"/>
                <w:color w:val="auto"/>
              </w:rPr>
            </w:pPr>
          </w:p>
        </w:tc>
      </w:tr>
      <w:tr>
        <w:trPr>
          <w:trHeight w:val="142"/>
        </w:trPr>
        <w:tc>
          <w:tcPr>
            <w:tcW w:w="2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10"/>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9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3,365</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Income tax benefit</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1,178</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2,152</w:t>
            </w:r>
          </w:p>
        </w:tc>
        <w:tc>
          <w:tcPr>
            <w:tcW w:w="3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560" w:type="dxa"/>
            <w:vAlign w:val="bottom"/>
          </w:tcPr>
          <w:p>
            <w:pPr>
              <w:spacing w:after="0"/>
              <w:rPr>
                <w:sz w:val="20"/>
                <w:szCs w:val="20"/>
                <w:color w:val="auto"/>
              </w:rPr>
            </w:pPr>
          </w:p>
        </w:tc>
      </w:tr>
      <w:tr>
        <w:trPr>
          <w:trHeight w:val="418"/>
        </w:trPr>
        <w:tc>
          <w:tcPr>
            <w:tcW w:w="2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2"/>
          </w:tcPr>
          <w:p>
            <w:pPr>
              <w:jc w:val="right"/>
              <w:ind w:right="205"/>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2"/>
        </w:trPr>
        <w:tc>
          <w:tcPr>
            <w:tcW w:w="25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As of June 30, 2014, the statutory income tax rates of the countries where the Company does business are 35.0% in the United States and 0.0% in Bermuda. The statutory income tax rate of each country is applied against the taxable income from each country to calculate the income tax expense.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expense (benefit) consists of the following components:</w:t>
      </w:r>
    </w:p>
    <w:p>
      <w:pPr>
        <w:sectPr>
          <w:pgSz w:w="11900" w:h="16900" w:orient="portrait"/>
          <w:cols w:equalWidth="0" w:num="1">
            <w:col w:w="11460"/>
          </w:cols>
          <w:pgMar w:left="240" w:top="121" w:right="199" w:bottom="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300" w:type="dxa"/>
            <w:vAlign w:val="bottom"/>
            <w:gridSpan w:val="4"/>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3100" w:type="dxa"/>
            <w:vAlign w:val="bottom"/>
            <w:gridSpan w:val="4"/>
          </w:tcPr>
          <w:p>
            <w:pPr>
              <w:ind w:left="6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5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45"/>
        </w:trPr>
        <w:tc>
          <w:tcPr>
            <w:tcW w:w="35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bl>
    <w:p>
      <w:pPr>
        <w:sectPr>
          <w:pgSz w:w="11900" w:h="16900" w:orient="portrait"/>
          <w:cols w:equalWidth="0" w:num="1">
            <w:col w:w="11460"/>
          </w:cols>
          <w:pgMar w:left="240" w:top="121" w:right="19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1,256</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Deferred</w:t>
            </w:r>
          </w:p>
        </w:tc>
        <w:tc>
          <w:tcPr>
            <w:tcW w:w="4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10,205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(10,150)</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17,312</w:t>
            </w:r>
          </w:p>
        </w:tc>
        <w:tc>
          <w:tcPr>
            <w:tcW w:w="4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(10,011)</w:t>
            </w: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Income tax expense (benefit) is different from that which would be obtained by applying the applicable statutory income tax rates to income before taxes by jurisdiction (i.e. U.S. 35.0%; Bermuda 0.0%). The reconciliation of the difference between income tax expense (benefit) and the expected tax provision at the weighted average tax rate is as follows: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center"/>
              <w:ind w:left="230"/>
              <w:spacing w:after="0" w:line="119" w:lineRule="exact"/>
              <w:rPr>
                <w:sz w:val="20"/>
                <w:szCs w:val="20"/>
                <w:color w:val="auto"/>
              </w:rPr>
            </w:pPr>
            <w:r>
              <w:rPr>
                <w:rFonts w:ascii="Arial" w:cs="Arial" w:eastAsia="Arial" w:hAnsi="Arial"/>
                <w:sz w:val="13"/>
                <w:szCs w:val="13"/>
                <w:b w:val="1"/>
                <w:bCs w:val="1"/>
                <w:color w:val="auto"/>
              </w:rPr>
              <w:t>% of pretax</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 of pretax</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ind w:left="250"/>
              <w:spacing w:after="0"/>
              <w:rPr>
                <w:sz w:val="20"/>
                <w:szCs w:val="20"/>
                <w:color w:val="auto"/>
              </w:rPr>
            </w:pPr>
            <w:r>
              <w:rPr>
                <w:rFonts w:ascii="Arial" w:cs="Arial" w:eastAsia="Arial" w:hAnsi="Arial"/>
                <w:sz w:val="14"/>
                <w:szCs w:val="14"/>
                <w:b w:val="1"/>
                <w:bCs w:val="1"/>
                <w:color w:val="auto"/>
                <w:w w:val="89"/>
              </w:rPr>
              <w:t>income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Tax provision at weighted average</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rates</w:t>
            </w:r>
          </w:p>
        </w:tc>
        <w:tc>
          <w:tcPr>
            <w:tcW w:w="1020" w:type="dxa"/>
            <w:vAlign w:val="bottom"/>
            <w:gridSpan w:val="3"/>
            <w:shd w:val="clear" w:color="auto" w:fill="CCEEFF"/>
          </w:tcPr>
          <w:p>
            <w:pPr>
              <w:jc w:val="right"/>
              <w:ind w:right="665"/>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10,788</w:t>
            </w:r>
          </w:p>
        </w:tc>
        <w:tc>
          <w:tcPr>
            <w:tcW w:w="10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6"/>
              </w:rPr>
              <w:t>36.4%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4,902</w:t>
            </w:r>
          </w:p>
        </w:tc>
        <w:tc>
          <w:tcPr>
            <w:tcW w:w="2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75</w:t>
            </w:r>
          </w:p>
        </w:tc>
        <w:tc>
          <w:tcPr>
            <w:tcW w:w="104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320" w:type="dxa"/>
            <w:vAlign w:val="bottom"/>
            <w:gridSpan w:val="3"/>
          </w:tcPr>
          <w:p>
            <w:pPr>
              <w:jc w:val="right"/>
              <w:ind w:right="19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1620" w:type="dxa"/>
            <w:vAlign w:val="bottom"/>
            <w:gridSpan w:val="3"/>
          </w:tcPr>
          <w:p>
            <w:pPr>
              <w:jc w:val="right"/>
              <w:ind w:right="1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Tax exempt interest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(248)</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7"/>
              </w:rPr>
              <w:t>(0.9)</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4"/>
          </w:tcPr>
          <w:p>
            <w:pPr>
              <w:jc w:val="right"/>
              <w:ind w:right="127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3"/>
          </w:tcPr>
          <w:p>
            <w:pPr>
              <w:jc w:val="right"/>
              <w:ind w:right="130"/>
              <w:spacing w:after="0"/>
              <w:rPr>
                <w:sz w:val="20"/>
                <w:szCs w:val="20"/>
                <w:color w:val="auto"/>
              </w:rPr>
            </w:pPr>
            <w:r>
              <w:rPr>
                <w:rFonts w:ascii="Arial" w:cs="Arial" w:eastAsia="Arial" w:hAnsi="Arial"/>
                <w:sz w:val="18"/>
                <w:szCs w:val="18"/>
                <w:color w:val="auto"/>
              </w:rPr>
              <w:t>(14,883)</w:t>
            </w:r>
          </w:p>
        </w:tc>
        <w:tc>
          <w:tcPr>
            <w:tcW w:w="20" w:type="dxa"/>
            <w:vAlign w:val="bottom"/>
          </w:tcPr>
          <w:p>
            <w:pPr>
              <w:spacing w:after="0"/>
              <w:rPr>
                <w:sz w:val="18"/>
                <w:szCs w:val="18"/>
                <w:color w:val="auto"/>
              </w:rPr>
            </w:pPr>
          </w:p>
        </w:tc>
        <w:tc>
          <w:tcPr>
            <w:tcW w:w="1620" w:type="dxa"/>
            <w:vAlign w:val="bottom"/>
            <w:gridSpan w:val="3"/>
          </w:tcPr>
          <w:p>
            <w:pPr>
              <w:jc w:val="right"/>
              <w:ind w:right="11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Difference in estimated full-year rate and</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year-to-date actual rate</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(501)</w:t>
            </w:r>
          </w:p>
        </w:tc>
        <w:tc>
          <w:tcPr>
            <w:tcW w:w="10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7"/>
              </w:rPr>
              <w:t>(1.7)</w:t>
            </w:r>
          </w:p>
        </w:tc>
        <w:tc>
          <w:tcPr>
            <w:tcW w:w="32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4"/>
          </w:tcPr>
          <w:p>
            <w:pPr>
              <w:jc w:val="right"/>
              <w:ind w:right="127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3"/>
          </w:tcPr>
          <w:p>
            <w:pPr>
              <w:jc w:val="right"/>
              <w:ind w:right="13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620" w:type="dxa"/>
            <w:vAlign w:val="bottom"/>
            <w:gridSpan w:val="3"/>
          </w:tcPr>
          <w:p>
            <w:pPr>
              <w:jc w:val="right"/>
              <w:ind w:right="1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10,114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34.1</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Six Months Ended June 30,</w:t>
            </w: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center"/>
              <w:ind w:left="230"/>
              <w:spacing w:after="0" w:line="119" w:lineRule="exact"/>
              <w:rPr>
                <w:sz w:val="20"/>
                <w:szCs w:val="20"/>
                <w:color w:val="auto"/>
              </w:rPr>
            </w:pPr>
            <w:r>
              <w:rPr>
                <w:rFonts w:ascii="Arial" w:cs="Arial" w:eastAsia="Arial" w:hAnsi="Arial"/>
                <w:sz w:val="13"/>
                <w:szCs w:val="13"/>
                <w:b w:val="1"/>
                <w:bCs w:val="1"/>
                <w:color w:val="auto"/>
              </w:rPr>
              <w:t>% of pretax</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pretax</w:t>
            </w:r>
          </w:p>
        </w:tc>
        <w:tc>
          <w:tcPr>
            <w:tcW w:w="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ind w:left="250"/>
              <w:spacing w:after="0"/>
              <w:rPr>
                <w:sz w:val="20"/>
                <w:szCs w:val="20"/>
                <w:color w:val="auto"/>
              </w:rPr>
            </w:pPr>
            <w:r>
              <w:rPr>
                <w:rFonts w:ascii="Arial" w:cs="Arial" w:eastAsia="Arial" w:hAnsi="Arial"/>
                <w:sz w:val="14"/>
                <w:szCs w:val="14"/>
                <w:b w:val="1"/>
                <w:bCs w:val="1"/>
                <w:color w:val="auto"/>
                <w:w w:val="89"/>
              </w:rPr>
              <w:t>income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Tax provision at weighted average</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rates</w:t>
            </w:r>
          </w:p>
        </w:tc>
        <w:tc>
          <w:tcPr>
            <w:tcW w:w="1020" w:type="dxa"/>
            <w:vAlign w:val="bottom"/>
            <w:gridSpan w:val="3"/>
            <w:shd w:val="clear" w:color="auto" w:fill="CCEEFF"/>
          </w:tcPr>
          <w:p>
            <w:pPr>
              <w:jc w:val="right"/>
              <w:ind w:right="70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19,540</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6"/>
              </w:rPr>
              <w:t>36.8%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Tax exempt interest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(383)</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7"/>
              </w:rPr>
              <w:t>(0.7)</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4"/>
          </w:tcPr>
          <w:p>
            <w:pPr>
              <w:jc w:val="right"/>
              <w:ind w:right="127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3"/>
          </w:tcPr>
          <w:p>
            <w:pPr>
              <w:jc w:val="right"/>
              <w:ind w:right="130"/>
              <w:spacing w:after="0"/>
              <w:rPr>
                <w:sz w:val="20"/>
                <w:szCs w:val="20"/>
                <w:color w:val="auto"/>
              </w:rPr>
            </w:pPr>
            <w:r>
              <w:rPr>
                <w:rFonts w:ascii="Arial" w:cs="Arial" w:eastAsia="Arial" w:hAnsi="Arial"/>
                <w:sz w:val="18"/>
                <w:szCs w:val="18"/>
                <w:color w:val="auto"/>
              </w:rPr>
              <w:t>(17,489)</w:t>
            </w:r>
          </w:p>
        </w:tc>
        <w:tc>
          <w:tcPr>
            <w:tcW w:w="20" w:type="dxa"/>
            <w:vAlign w:val="bottom"/>
          </w:tcPr>
          <w:p>
            <w:pPr>
              <w:spacing w:after="0"/>
              <w:rPr>
                <w:sz w:val="18"/>
                <w:szCs w:val="18"/>
                <w:color w:val="auto"/>
              </w:rPr>
            </w:pPr>
          </w:p>
        </w:tc>
        <w:tc>
          <w:tcPr>
            <w:tcW w:w="1620" w:type="dxa"/>
            <w:vAlign w:val="bottom"/>
            <w:gridSpan w:val="3"/>
          </w:tcPr>
          <w:p>
            <w:pPr>
              <w:jc w:val="right"/>
              <w:ind w:right="13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Difference in estimated full-year rate and</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year-to-date actual rate</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(769)</w:t>
            </w:r>
          </w:p>
        </w:tc>
        <w:tc>
          <w:tcPr>
            <w:tcW w:w="10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7"/>
              </w:rPr>
              <w:t>(1.5)</w:t>
            </w:r>
          </w:p>
        </w:tc>
        <w:tc>
          <w:tcPr>
            <w:tcW w:w="32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4"/>
          </w:tcPr>
          <w:p>
            <w:pPr>
              <w:jc w:val="right"/>
              <w:ind w:right="127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3"/>
          </w:tcPr>
          <w:p>
            <w:pPr>
              <w:jc w:val="right"/>
              <w:ind w:right="13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620" w:type="dxa"/>
            <w:vAlign w:val="bottom"/>
            <w:gridSpan w:val="3"/>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18,568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34.9</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provide deferred taxes to reflect the estimated future tax effects of the differences between the financial statement and tax bases of assets and liabilities using currently enacted tax laws. The net deferred tax (liability) asset is comprised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46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27,043</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(38,129)</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(16,697)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 asset</w:t>
            </w:r>
          </w:p>
        </w:tc>
        <w:tc>
          <w:tcPr>
            <w:tcW w:w="25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560" w:type="dxa"/>
            <w:vAlign w:val="bottom"/>
            <w:vMerge w:val="restart"/>
          </w:tcPr>
          <w:p>
            <w:pPr>
              <w:jc w:val="right"/>
              <w:ind w:right="111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net deferred tax (liability) asset were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Contingency reserves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(33,607)</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Unearned premium reserve</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13,550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Start-up expenditures, net</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4,838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Nonvested shares</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investments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Alternative minimum tax credit carryforward</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Loss reserves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Organizational expenditures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 asset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non-interest-bearing United States Mortgage Guaranty Tax and Loss Bonds (“T&amp;L Bonds”) issued by the Treasury Department in an amount equal to the tax benefit derived from deducting any portion of our statutory contingency reserves. During the six months ended June 30, 2014 and the year ended December 31,</w:t>
      </w:r>
    </w:p>
    <w:p>
      <w:pPr>
        <w:sectPr>
          <w:pgSz w:w="11900" w:h="16838" w:orient="portrait"/>
          <w:cols w:equalWidth="0" w:num="1">
            <w:col w:w="11460"/>
          </w:cols>
          <w:pgMar w:left="240" w:top="140" w:right="199" w:bottom="0" w:gutter="0" w:footer="0" w:header="0"/>
        </w:sectPr>
      </w:pPr>
    </w:p>
    <w:bookmarkStart w:id="12" w:name="page13"/>
    <w:bookmarkEnd w:id="12"/>
    <w:p>
      <w:pPr>
        <w:ind w:right="120"/>
        <w:spacing w:after="0" w:line="277" w:lineRule="auto"/>
        <w:rPr>
          <w:sz w:val="20"/>
          <w:szCs w:val="20"/>
          <w:color w:val="auto"/>
        </w:rPr>
      </w:pPr>
      <w:r>
        <w:rPr>
          <w:rFonts w:ascii="Arial" w:cs="Arial" w:eastAsia="Arial" w:hAnsi="Arial"/>
          <w:sz w:val="18"/>
          <w:szCs w:val="18"/>
          <w:color w:val="auto"/>
        </w:rPr>
        <w:t>2013, we purchased T&amp;L Bonds for $26,000 and $8,000, respectively, which are reflected on our condensed consolidated balance sheets as prepaid federal income tax. As of June 30, 2014, the total amount of T&amp;L Bonds purchased since inception was $34,000.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Alternative minimum tax carryforwards do not expire.</w:t>
      </w:r>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In evaluating our ability to realize the benefit of our deferred tax assets, we consider the relevant impact of all available positive and negative evidence including our past operating results and our forecasts of future taxable income. At June 30, 2014 and December 31, 2013, after weighing all the evidence, management concluded that it was more likely than not that our deferred tax assets would be realized.</w:t>
      </w:r>
    </w:p>
    <w:p>
      <w:pPr>
        <w:spacing w:after="0" w:line="16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Under current Bermuda law, the parent company, Essent Group Ltd., and its Bermuda subsidiary are not required to pay any taxes on income and capital gains. In the event that there is a change such that these taxes are imposed, these companies would be exempted from any such tax until March 2035 pursuant to the Bermuda Exempt Undertakings Tax Protection Act of 1966 and the Exempt Undertakings Tax Protection Amendment Act of 2011.</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Essent Holdings and its subsidiaries are subject to income taxes imposed by U.S. authorities and file a U.S. Consolidated Income Tax Return. Each subsidiary has executed a tax sharing agreement with its parent company, which provides that taxes are settled in cash between parent and subsidiary on a quarterly basis based on separate company pro-forma calculations.</w:t>
      </w:r>
    </w:p>
    <w:p>
      <w:pPr>
        <w:spacing w:after="0" w:line="18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At June 30, 2014 and 2013, we had no unrecognized tax benefits. As of June 30, 2014, our U.S. federal income tax returns for the tax years 2009 through 2012 remain subject to examination. The Company has not recorded any uncertain tax positions as of June 30, 2014 or December 31, 2013.</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(EPS)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19,555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34,561</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3"/>
              </w:rPr>
              <w:t>30,777</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w w:val="96"/>
              </w:rPr>
              <w:t>Less: Class A common shares dividends declared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Less: Class B-2 common shares dividends declared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Undistributed net income</w:t>
            </w:r>
          </w:p>
        </w:tc>
        <w:tc>
          <w:tcPr>
            <w:tcW w:w="1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19,555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34,561</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3"/>
              </w:rPr>
              <w:t>30,777</w:t>
            </w:r>
          </w:p>
        </w:tc>
        <w:tc>
          <w:tcPr>
            <w:tcW w:w="100" w:type="dxa"/>
            <w:vAlign w:val="bottom"/>
            <w:tcBorders>
              <w:bottom w:val="single" w:sz="8" w:color="CCEEFF"/>
            </w:tcBorders>
          </w:tcPr>
          <w:p>
            <w:pPr>
              <w:spacing w:after="0"/>
              <w:rPr>
                <w:sz w:val="21"/>
                <w:szCs w:val="21"/>
                <w:color w:val="auto"/>
              </w:rPr>
            </w:pPr>
          </w:p>
        </w:tc>
      </w:tr>
      <w:tr>
        <w:trPr>
          <w:trHeight w:val="197"/>
        </w:trPr>
        <w:tc>
          <w:tcPr>
            <w:tcW w:w="40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Net income allocable to Common Shares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74"/>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19,555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34,561</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w w:val="93"/>
              </w:rPr>
              <w:t>N/A</w:t>
            </w:r>
          </w:p>
        </w:tc>
        <w:tc>
          <w:tcPr>
            <w:tcW w:w="100" w:type="dxa"/>
            <w:vAlign w:val="bottom"/>
            <w:shd w:val="clear" w:color="auto" w:fill="CCEEFF"/>
          </w:tcPr>
          <w:p>
            <w:pPr>
              <w:spacing w:after="0"/>
              <w:rPr>
                <w:sz w:val="17"/>
                <w:szCs w:val="17"/>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income allocable to Class A common shares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23,037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30,237</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allocable to Class B-2 common shares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Shares</w:t>
            </w:r>
          </w:p>
        </w:tc>
        <w:tc>
          <w:tcPr>
            <w:tcW w:w="1040" w:type="dxa"/>
            <w:vAlign w:val="bottom"/>
            <w:gridSpan w:val="2"/>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Class A common shares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0.63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B-2 common shares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Shares</w:t>
            </w:r>
          </w:p>
        </w:tc>
        <w:tc>
          <w:tcPr>
            <w:tcW w:w="1040" w:type="dxa"/>
            <w:vAlign w:val="bottom"/>
            <w:gridSpan w:val="2"/>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Class A common shares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B-2 common shares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198"/>
        </w:trPr>
        <w:tc>
          <w:tcPr>
            <w:tcW w:w="4060" w:type="dxa"/>
            <w:vAlign w:val="bottom"/>
          </w:tcPr>
          <w:p>
            <w:pPr>
              <w:spacing w:after="0" w:line="198" w:lineRule="exact"/>
              <w:rPr>
                <w:sz w:val="20"/>
                <w:szCs w:val="20"/>
                <w:color w:val="auto"/>
              </w:rPr>
            </w:pPr>
            <w:r>
              <w:rPr>
                <w:rFonts w:ascii="Arial" w:cs="Arial" w:eastAsia="Arial" w:hAnsi="Arial"/>
                <w:sz w:val="18"/>
                <w:szCs w:val="18"/>
                <w:b w:val="1"/>
                <w:bCs w:val="1"/>
                <w:color w:val="auto"/>
              </w:rPr>
              <w:t>Basic weighted average common shares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6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Shares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83,276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83,071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Class A common shares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36,793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34,313</w:t>
            </w: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B-2 common shares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rPr>
              <w:t>Dilutive effect of nonvested shares: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Shares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Class A common shares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B-2 common shares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4,909</w:t>
            </w:r>
          </w:p>
        </w:tc>
      </w:tr>
      <w:tr>
        <w:trPr>
          <w:trHeight w:val="198"/>
        </w:trPr>
        <w:tc>
          <w:tcPr>
            <w:tcW w:w="4060" w:type="dxa"/>
            <w:vAlign w:val="bottom"/>
          </w:tcPr>
          <w:p>
            <w:pPr>
              <w:spacing w:after="0" w:line="198" w:lineRule="exact"/>
              <w:rPr>
                <w:sz w:val="20"/>
                <w:szCs w:val="20"/>
                <w:color w:val="auto"/>
              </w:rPr>
            </w:pPr>
            <w:r>
              <w:rPr>
                <w:rFonts w:ascii="Arial" w:cs="Arial" w:eastAsia="Arial" w:hAnsi="Arial"/>
                <w:sz w:val="18"/>
                <w:szCs w:val="18"/>
                <w:b w:val="1"/>
                <w:bCs w:val="1"/>
                <w:color w:val="auto"/>
              </w:rPr>
              <w:t>Diluted weighted average common shares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6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Shares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84,706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84,701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Class A common shares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36,901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34,408</w:t>
            </w: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B-2 common shares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w:t>
            </w: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were 152 and 0 antidilutive shares for the three months ended June 30, 2014 and 2013, respectively and 108 and 0 antidilutive shares for the six months ended June 30, 2014 and 2013, respectively.</w:t>
      </w:r>
    </w:p>
    <w:p>
      <w:pPr>
        <w:spacing w:after="0" w:line="170"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nonvested performance-based share awards are considered contingently issuable for purposes of the EPS calculation. There were no performance-based share awards that would be issuable under the terms of the arrangements if June 30, 2014 was the end of the contingency period. Therefore, no nonvested performance-based share awards were included in diluted shares outstanding for the three and six months ended June 30, 2014.</w:t>
      </w:r>
    </w:p>
    <w:p>
      <w:pPr>
        <w:sectPr>
          <w:pgSz w:w="11900" w:h="16838" w:orient="portrait"/>
          <w:cols w:equalWidth="0" w:num="1">
            <w:col w:w="11300"/>
          </w:cols>
          <w:pgMar w:left="240" w:top="125" w:right="359" w:bottom="0" w:gutter="0" w:footer="0" w:header="0"/>
        </w:sectPr>
      </w:pPr>
    </w:p>
    <w:bookmarkStart w:id="13" w:name="page14"/>
    <w:bookmarkEnd w:id="13"/>
    <w:p>
      <w:pPr>
        <w:ind w:right="120"/>
        <w:spacing w:after="0" w:line="277" w:lineRule="auto"/>
        <w:rPr>
          <w:sz w:val="20"/>
          <w:szCs w:val="20"/>
          <w:color w:val="auto"/>
        </w:rPr>
      </w:pPr>
      <w:r>
        <w:rPr>
          <w:rFonts w:ascii="Arial" w:cs="Arial" w:eastAsia="Arial" w:hAnsi="Arial"/>
          <w:sz w:val="18"/>
          <w:szCs w:val="18"/>
          <w:color w:val="auto"/>
        </w:rPr>
        <w:t>There were 1,290 and 1,271 weighted average nonvested performance-based share awards outstanding for the three and six months ended June 30, 2014, respectively.</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Class A common shares were entitled to receive cumulative compounding dividends prior and in preference to any declaration or payment of any dividend on the Class B-2 common shares. In periods of income, the undistributed net income was allocated to the Class A common shares to satisfy this requirement. During the fourth quarter of 2013, the Company corrected the allocation of undistributed earnings to the Class A and Class B-2 shares from amounts previously presented. As a result, undistributed earnings for the three and six months ended June 30, 2013 allocated to the Class B-2 shares was increased by $540 and the undistributed earnings allocated to the Class A shares was reduced by the same amounts. The Company has evaluated this correction and concluded that the impact on the previously reported amounts is not material to the consolidated financial statements for these periods.</w:t>
      </w:r>
    </w:p>
    <w:p>
      <w:pPr>
        <w:spacing w:after="0" w:line="16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Accumulated Other Comprehensive Income (Loss)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rollforward of accumulated other comprehensive income (loss) for the three and six months ended June 30, 2014 and 2013:</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11"/>
          </w:tcPr>
          <w:p>
            <w:pPr>
              <w:jc w:val="center"/>
              <w:ind w:left="814"/>
              <w:spacing w:after="0"/>
              <w:rPr>
                <w:sz w:val="20"/>
                <w:szCs w:val="20"/>
                <w:color w:val="auto"/>
              </w:rPr>
            </w:pPr>
            <w:r>
              <w:rPr>
                <w:rFonts w:ascii="Arial" w:cs="Arial" w:eastAsia="Arial" w:hAnsi="Arial"/>
                <w:sz w:val="14"/>
                <w:szCs w:val="14"/>
                <w:b w:val="1"/>
                <w:bCs w:val="1"/>
                <w:color w:val="auto"/>
                <w:w w:val="91"/>
              </w:rPr>
              <w:t>Three months ended June 30, 2014</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r>
      <w:tr>
        <w:trPr>
          <w:trHeight w:val="210"/>
        </w:trPr>
        <w:tc>
          <w:tcPr>
            <w:tcW w:w="5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(1,378)</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c>
          <w:tcPr>
            <w:tcW w:w="3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holding gains arising during the period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7,078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4,960</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Less: Reclassification adjustment for gains included in net income (1)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5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gains on investments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7,010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(2,095)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120" w:type="dxa"/>
            <w:vAlign w:val="bottom"/>
            <w:tcBorders>
              <w:bottom w:val="single" w:sz="8" w:color="CCEEFF"/>
            </w:tcBorders>
          </w:tcPr>
          <w:p>
            <w:pPr>
              <w:spacing w:after="0"/>
              <w:rPr>
                <w:sz w:val="18"/>
                <w:szCs w:val="18"/>
                <w:color w:val="auto"/>
              </w:rPr>
            </w:pPr>
          </w:p>
        </w:tc>
      </w:tr>
      <w:tr>
        <w:trPr>
          <w:trHeight w:val="223"/>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5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1"/>
          </w:tcPr>
          <w:p>
            <w:pPr>
              <w:jc w:val="center"/>
              <w:ind w:left="814"/>
              <w:spacing w:after="0"/>
              <w:rPr>
                <w:sz w:val="20"/>
                <w:szCs w:val="20"/>
                <w:color w:val="auto"/>
              </w:rPr>
            </w:pPr>
            <w:r>
              <w:rPr>
                <w:rFonts w:ascii="Arial" w:cs="Arial" w:eastAsia="Arial" w:hAnsi="Arial"/>
                <w:sz w:val="14"/>
                <w:szCs w:val="14"/>
                <w:b w:val="1"/>
                <w:bCs w:val="1"/>
                <w:color w:val="auto"/>
                <w:w w:val="90"/>
              </w:rPr>
              <w:t>Six months ended June 30, 2014</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Borders>
              <w:top w:val="single" w:sz="8" w:color="CCEEFF"/>
            </w:tcBorders>
            <w:shd w:val="clear" w:color="auto" w:fill="CCEEFF"/>
          </w:tcPr>
          <w:p>
            <w:pPr>
              <w:spacing w:after="0"/>
              <w:rPr>
                <w:sz w:val="18"/>
                <w:szCs w:val="18"/>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holding gains arising during the period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5,700</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Less: Reclassification adjustment for gains included in net income (1)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(306)</w:t>
            </w:r>
          </w:p>
        </w:tc>
      </w:tr>
      <w:tr>
        <w:trPr>
          <w:trHeight w:val="210"/>
        </w:trPr>
        <w:tc>
          <w:tcPr>
            <w:tcW w:w="5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gains on investments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8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Borders>
              <w:bottom w:val="single" w:sz="8" w:color="CCEEFF"/>
            </w:tcBorders>
          </w:tcPr>
          <w:p>
            <w:pPr>
              <w:spacing w:after="0"/>
              <w:rPr>
                <w:sz w:val="18"/>
                <w:szCs w:val="18"/>
                <w:color w:val="auto"/>
              </w:rPr>
            </w:pPr>
          </w:p>
        </w:tc>
      </w:tr>
      <w:tr>
        <w:trPr>
          <w:trHeight w:val="223"/>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5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1"/>
          </w:tcPr>
          <w:p>
            <w:pPr>
              <w:jc w:val="center"/>
              <w:ind w:left="814"/>
              <w:spacing w:after="0"/>
              <w:rPr>
                <w:sz w:val="20"/>
                <w:szCs w:val="20"/>
                <w:color w:val="auto"/>
              </w:rPr>
            </w:pPr>
            <w:r>
              <w:rPr>
                <w:rFonts w:ascii="Arial" w:cs="Arial" w:eastAsia="Arial" w:hAnsi="Arial"/>
                <w:sz w:val="14"/>
                <w:szCs w:val="14"/>
                <w:b w:val="1"/>
                <w:bCs w:val="1"/>
                <w:color w:val="auto"/>
                <w:w w:val="91"/>
              </w:rPr>
              <w:t>Three months ended June 30, 2013</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r>
      <w:tr>
        <w:trPr>
          <w:trHeight w:val="210"/>
        </w:trPr>
        <w:tc>
          <w:tcPr>
            <w:tcW w:w="58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(1,161)</w:t>
            </w:r>
          </w:p>
        </w:tc>
        <w:tc>
          <w:tcPr>
            <w:tcW w:w="3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2,156</w:t>
            </w: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Other comprehensive loss: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holding losses arising during the period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(5,755)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(3,741)</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Less: Reclassification adjustment for gains included in net income (1)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5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losses on investments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2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120" w:type="dxa"/>
            <w:vAlign w:val="bottom"/>
            <w:tcBorders>
              <w:bottom w:val="single" w:sz="8" w:color="CCEEFF"/>
            </w:tcBorders>
          </w:tcPr>
          <w:p>
            <w:pPr>
              <w:spacing w:after="0"/>
              <w:rPr>
                <w:sz w:val="18"/>
                <w:szCs w:val="18"/>
                <w:color w:val="auto"/>
              </w:rPr>
            </w:pPr>
          </w:p>
        </w:tc>
      </w:tr>
      <w:tr>
        <w:trPr>
          <w:trHeight w:val="223"/>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5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1"/>
          </w:tcPr>
          <w:p>
            <w:pPr>
              <w:jc w:val="center"/>
              <w:ind w:left="814"/>
              <w:spacing w:after="0"/>
              <w:rPr>
                <w:sz w:val="20"/>
                <w:szCs w:val="20"/>
                <w:color w:val="auto"/>
              </w:rPr>
            </w:pPr>
            <w:r>
              <w:rPr>
                <w:rFonts w:ascii="Arial" w:cs="Arial" w:eastAsia="Arial" w:hAnsi="Arial"/>
                <w:sz w:val="14"/>
                <w:szCs w:val="14"/>
                <w:b w:val="1"/>
                <w:bCs w:val="1"/>
                <w:color w:val="auto"/>
                <w:w w:val="90"/>
              </w:rPr>
              <w:t>Six months ended June 30, 2013</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r>
      <w:tr>
        <w:trPr>
          <w:trHeight w:val="210"/>
        </w:trPr>
        <w:tc>
          <w:tcPr>
            <w:tcW w:w="58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3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2,414</w:t>
            </w: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Other comprehensive loss: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holding losses arising during the period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(6,142)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Less: Reclassification adjustment for gains included in net income (1)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5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losses on investments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w:t>
            </w:r>
          </w:p>
        </w:tc>
        <w:tc>
          <w:tcPr>
            <w:tcW w:w="2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w:t>
            </w:r>
          </w:p>
        </w:tc>
        <w:tc>
          <w:tcPr>
            <w:tcW w:w="120" w:type="dxa"/>
            <w:vAlign w:val="bottom"/>
            <w:tcBorders>
              <w:bottom w:val="single" w:sz="8" w:color="CCEEFF"/>
            </w:tcBorders>
          </w:tcPr>
          <w:p>
            <w:pPr>
              <w:spacing w:after="0"/>
              <w:rPr>
                <w:sz w:val="18"/>
                <w:szCs w:val="18"/>
                <w:color w:val="auto"/>
              </w:rPr>
            </w:pPr>
          </w:p>
        </w:tc>
      </w:tr>
      <w:tr>
        <w:trPr>
          <w:trHeight w:val="223"/>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2580" w:hanging="5288"/>
        <w:spacing w:after="0" w:line="528" w:lineRule="auto"/>
        <w:tabs>
          <w:tab w:leader="none" w:pos="58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net realized investment gains on our condensed consolidated statements of comprehensive income.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125" w:right="519" w:bottom="0" w:gutter="0" w:footer="0" w:header="0"/>
        </w:sectPr>
      </w:pPr>
    </w:p>
    <w:p>
      <w:pPr>
        <w:spacing w:after="0" w:line="237"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140"/>
          </w:cols>
          <w:pgMar w:left="240" w:top="125" w:right="519" w:bottom="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and related carrying amounts of our financial instruments were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June 30, 2014</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4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66,719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66,719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securities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8,165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60,928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60,928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170,795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170,795</w:t>
            </w: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241,874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241,874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54,207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54,207</w:t>
            </w: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88,710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88,710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154,472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154,472</w:t>
            </w: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investments</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845,870</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845,870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4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Financial Liabilities:</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Amounts due under Asset Purchase Agreement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2,483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328"/>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4"/>
                <w:szCs w:val="2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4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59,187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59,187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securities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14,839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14,839</w:t>
            </w: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22,241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22,241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57,650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57,650</w:t>
            </w: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125,593</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125,593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18,581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18,581</w:t>
            </w: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20,385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20,385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14,079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14,079</w:t>
            </w: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investments</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332,555</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332,555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4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Financial Liabilities:</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Amounts due under Asset Purchase Agreement</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4,949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fair-value hierarchy are as follows:</w:t>
      </w:r>
    </w:p>
    <w:p>
      <w:pPr>
        <w:spacing w:after="0" w:line="187"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 No financial instruments were classified as Level 3 at June 30, 2014 or December 31, 2013.</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ectPr>
          <w:pgSz w:w="11900" w:h="16838" w:orient="portrait"/>
          <w:cols w:equalWidth="0" w:num="1">
            <w:col w:w="11400"/>
          </w:cols>
          <w:pgMar w:left="240" w:top="337" w:right="259" w:bottom="0" w:gutter="0" w:footer="0" w:header="0"/>
        </w:sectPr>
      </w:pPr>
    </w:p>
    <w:bookmarkStart w:id="15" w:name="page16"/>
    <w:bookmarkEnd w:id="15"/>
    <w:p>
      <w:pPr>
        <w:spacing w:after="0" w:line="49" w:lineRule="exact"/>
        <w:rPr>
          <w:sz w:val="20"/>
          <w:szCs w:val="20"/>
          <w:color w:val="auto"/>
        </w:rPr>
      </w:pPr>
    </w:p>
    <w:p>
      <w:pPr>
        <w:ind w:left="980" w:right="100" w:hanging="324"/>
        <w:spacing w:after="0" w:line="293" w:lineRule="auto"/>
        <w:tabs>
          <w:tab w:leader="none" w:pos="94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U.S. agency securities, U.S. agency mortgage-backed securities, certain mortgage-backed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Municipal debt securities, corporate debt securities, certain mortgage-backed securities and asset-backed securities are classified as Level 2 investments.</w:t>
      </w:r>
    </w:p>
    <w:p>
      <w:pPr>
        <w:spacing w:after="0" w:line="165" w:lineRule="exact"/>
        <w:rPr>
          <w:sz w:val="20"/>
          <w:szCs w:val="20"/>
          <w:color w:val="auto"/>
        </w:rPr>
      </w:pPr>
    </w:p>
    <w:p>
      <w:pPr>
        <w:ind w:left="980" w:right="120"/>
        <w:spacing w:after="0" w:line="272" w:lineRule="auto"/>
        <w:rPr>
          <w:sz w:val="20"/>
          <w:szCs w:val="20"/>
          <w:color w:val="auto"/>
        </w:rPr>
      </w:pPr>
      <w:r>
        <w:rPr>
          <w:rFonts w:ascii="Arial" w:cs="Arial" w:eastAsia="Arial" w:hAnsi="Arial"/>
          <w:sz w:val="17"/>
          <w:szCs w:val="17"/>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We review the reasonableness of prices received from our primary pricing service by comparison to prices obtained from additional pricing sources. We have not made any adjustments to the prices obtained from our primary pricing service.</w:t>
      </w:r>
    </w:p>
    <w:p>
      <w:pPr>
        <w:spacing w:after="0" w:line="178" w:lineRule="exact"/>
        <w:rPr>
          <w:sz w:val="20"/>
          <w:szCs w:val="20"/>
          <w:color w:val="auto"/>
        </w:rPr>
      </w:pPr>
    </w:p>
    <w:p>
      <w:pPr>
        <w:ind w:left="980" w:right="80" w:hanging="324"/>
        <w:spacing w:after="0" w:line="312" w:lineRule="auto"/>
        <w:tabs>
          <w:tab w:leader="none" w:pos="9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due under Asset Purchase Agreement — The fair value of amounts due under Asset Purchase Agreement is estimated using discounted cash flow analyses based on current risk-free interest rates of securities with similar maturities. The fair value estimates of amounts due under Asset Purchase Agreement are classified as Level 2 since quoted market prices are not available, but observable inputs are used in the valuation.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assets measured at fair value at June 30, 2014 are categorized in the table below based upon the lowest level of significant input to the valuations.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fair value measurements at the reporting date were on a recurring basis. We had no liabilities measured at fair value at June 30,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 Prices in</w:t>
            </w:r>
          </w:p>
        </w:tc>
        <w:tc>
          <w:tcPr>
            <w:tcW w:w="22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for</w:t>
            </w:r>
          </w:p>
        </w:tc>
        <w:tc>
          <w:tcPr>
            <w:tcW w:w="2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Identical</w:t>
            </w: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2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Recurring fair value measurements</w:t>
            </w:r>
          </w:p>
        </w:tc>
        <w:tc>
          <w:tcPr>
            <w:tcW w:w="1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66,719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66,719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U.S. agency mortgage-backed securities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60,928</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Municipal debt securities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170,795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241,874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241,874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88,710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Total recurring fair value measurements</w:t>
            </w:r>
          </w:p>
        </w:tc>
        <w:tc>
          <w:tcPr>
            <w:tcW w:w="10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295,379</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550,491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845,870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477"/>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Statutory Accounting</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six months ended June 30: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Essent Guaranty</w:t>
            </w: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Statutory net income</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47,536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Statutory surplus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422,944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Contingency reserve liability</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123,142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45,797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Essent PA</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Statutory net income</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5,341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Statutory surplus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40,565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Contingency reserve liability</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11,183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Net income determined in accordance with statutory accounting practices differs from GAAP. In 2014,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7, we are eligible for a tax deduction, subject to certain limitations for amounts required by state law or regulation to be set aside in statutory contingency reserves when we purchase T&amp;L Bonds. Under statutory accounting practices, this deduction reduces the</w:t>
      </w:r>
    </w:p>
    <w:p>
      <w:pPr>
        <w:sectPr>
          <w:pgSz w:w="11900" w:h="16887" w:orient="portrait"/>
          <w:cols w:equalWidth="0" w:num="1">
            <w:col w:w="11460"/>
          </w:cols>
          <w:pgMar w:left="240" w:top="341" w:right="199" w:bottom="0" w:gutter="0" w:footer="0" w:header="0"/>
        </w:sectPr>
      </w:pPr>
    </w:p>
    <w:bookmarkStart w:id="16" w:name="page17"/>
    <w:bookmarkEnd w:id="16"/>
    <w:p>
      <w:pPr>
        <w:ind w:right="220"/>
        <w:spacing w:after="0" w:line="277" w:lineRule="auto"/>
        <w:rPr>
          <w:sz w:val="20"/>
          <w:szCs w:val="20"/>
          <w:color w:val="auto"/>
        </w:rPr>
      </w:pPr>
      <w:r>
        <w:rPr>
          <w:rFonts w:ascii="Arial" w:cs="Arial" w:eastAsia="Arial" w:hAnsi="Arial"/>
          <w:sz w:val="18"/>
          <w:szCs w:val="18"/>
          <w:color w:val="auto"/>
        </w:rPr>
        <w:t>tax provision recorded by Essent Guaranty and Essent PA and, as a result, increases statutory net income and surplus as compared to net income and equity determined in accordance with GAAP.</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At June 30, 2014 and 2013, the statutory capital of our insurance subsidiaries, which is defined as the total of statutory surplus and contingency reserves, was in excess of the statutory capital necessary to satisfy the insurance subsidiaries’ regulatory requirements.</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July 10, 2014, the Federal Housing Finance Agency (“FHFA”) released for public input draft Private Mortgage Insurer Eligibility Requirements (“PMIERs”). If implemented, the PMIERs represent revised standards by which private mortgage insurers would be eligible to provide mortgage insurance on loans owned or guaranteed by Fannie Mae and Freddie Mac. The public input period with respect to the PMIERs is expected to close on September 8, 2014. See additional discussion in “Item 2. Management’s Discussion and Analysis of Financial Condition and Results of Operations — Legislative and Regulatory Developments” and “— Liquidity and Capital Resources — Draft Private Mortgage Insurer Eligibility Requirements.”</w:t>
      </w:r>
    </w:p>
    <w:p>
      <w:pPr>
        <w:spacing w:after="0" w:line="15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six months ended June 30, 2014, Essent Guaranty increased its contingency reserve by $43,221 and Essent PA increased its contingency reserve by $4,326.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six months ended June 30, 2014 or 2013.</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July 2014, Essent Re issued an insurance policy in connection with Freddie Mac’s Agency Credit Insurance Structure. The policy issued by Essent Re covers up to $28.5 million of potential losses from a pool of single-family loans acquired by Freddie Mac in the second quarter of 2013. Also in July, through a competitive bidding process, Essent Guaranty was selected by Fannie Mae to be the sole insurer on a pool of loans of approximately $1.5 billion.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2013 as filed with the Securities and Exchange Commission and referred to herein as the “Annual Report,” and our condensed consolidated financial statements and related notes as of and for the three and six months ended June 30, 2014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Since writing our first policy in May 2010, we have grown to an estimated 14% market share based on new insurance written, or NIW, excluding NIW under the Home Affordable Refinance Program, for the six months ended June 30, 2014, up from 12.1%, 8.6% and 4.5% for the years ended December 31, 2013, 2012 and 2011, respectively. We believe that our growth has been driven largely by the unique opportunity we offer lenders to partner with a well-capitalized mortgage insurer, unencumbered by legacy business, that provides fair and transparent claims payment practices, and consistency and speed of service.</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2010, Essent Guaranty, Inc., our wholly-owned insurance subsidiary, became the first private mortgage insurer to be approved by the GSEs since 1995, and is licensed to write coverage in all 50 states and the District of Columbia. We completed our initial public offering in November 2013. The financial strength of Essent Guaranty is rated Baa2 with a stable outlook by Moody’s Investors Service and BBB+ with a stable outlook by Standard &amp; Poor’s Rating Services.</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had master policy relationships with approximately 1,073 customers as of June 30, 2014. We have a fully functioning, scalable and flexible mortgage insurance platform, which we acquired from Triad Guaranty Inc. and its wholly-owned subsidiary, Triad Guaranty Insurance Corporation, which we refer to collectively as “Triad”, in exchange for up to $30 million in cash and the assumption of certain contractual obligations. Our holding company is domiciled in Bermuda and our U.S. insurance business is headquartered in Radnor, Pennsylvania. We operate additional underwriting and service centers in Winston-Salem, North Carolina and Irvine, California. We have a highly experienced, talented team with 323 employees as of June 30, 2014. We generated new insurance written of approximately $5.9 billion and $9.5 billion for the three and six months ended June 30, 2014, respectively, compared to</w:t>
      </w:r>
    </w:p>
    <w:p>
      <w:pPr>
        <w:sectPr>
          <w:pgSz w:w="11900" w:h="16838" w:orient="portrait"/>
          <w:cols w:equalWidth="0" w:num="1">
            <w:col w:w="11400"/>
          </w:cols>
          <w:pgMar w:left="240" w:top="125" w:right="259" w:bottom="0" w:gutter="0" w:footer="0" w:header="0"/>
        </w:sectPr>
      </w:pPr>
    </w:p>
    <w:bookmarkStart w:id="17" w:name="page18"/>
    <w:bookmarkEnd w:id="17"/>
    <w:p>
      <w:pPr>
        <w:ind w:right="40"/>
        <w:spacing w:after="0" w:line="277" w:lineRule="auto"/>
        <w:rPr>
          <w:sz w:val="20"/>
          <w:szCs w:val="20"/>
          <w:color w:val="auto"/>
        </w:rPr>
      </w:pPr>
      <w:r>
        <w:rPr>
          <w:rFonts w:ascii="Arial" w:cs="Arial" w:eastAsia="Arial" w:hAnsi="Arial"/>
          <w:sz w:val="18"/>
          <w:szCs w:val="18"/>
          <w:color w:val="auto"/>
        </w:rPr>
        <w:t>approximately $5.9 and $10.2 billion the three and six months ended June 30, 2013, respectively. As of June 30, 2014, we had approximately $39.4 billion of insurance in force.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Through June 30, 2014, all of our insurance business has been conducted through Essent Guaranty. In July 2014, Essent Re issued its first insurance policy (see Note 12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On July 10, 2014, the Federal Housing Finance Agency (“FHFA”) released for public input draft Private Mortgage Insurer Eligibility Requirements, (“PMIERs”). If implemented, the PMIERs represent revised standards by which private mortgage insurers would be eligible to provide mortgage insurance on loans owned or guaranteed by Fannie Mae and Freddie Mac. The public input period with respect to the PMIERs is expected to close on September 8, 2014. See additional discussion in “— Liquidity and Capital Resources — Draft Private Mortgage Insurer Eligibility Requirements.”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Premiums are based on insurance in force, or IIF, during all or a portion of a period. A change in the average IIF during a period causes premiums to increase or decrease as compared to prior periods. Average premiums rates in effect during a given period will also cause premiums to differ when compared to earlier periods. IIF at the end of a reporting period is a function of the IIF at the beginning of such reporting period plus new insurance written, or NIW, less policy cancellations (including claims paid) during the period. As a result, premiums are generally influenced by:</w:t>
      </w:r>
    </w:p>
    <w:p>
      <w:pPr>
        <w:spacing w:after="0" w:line="171" w:lineRule="exact"/>
        <w:rPr>
          <w:sz w:val="20"/>
          <w:szCs w:val="20"/>
          <w:color w:val="auto"/>
        </w:rPr>
      </w:pPr>
    </w:p>
    <w:p>
      <w:pPr>
        <w:ind w:left="980" w:right="20" w:hanging="324"/>
        <w:spacing w:after="0" w:line="342" w:lineRule="auto"/>
        <w:tabs>
          <w:tab w:leader="none" w:pos="9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980" w:right="140" w:hanging="324"/>
        <w:spacing w:after="0" w:line="308" w:lineRule="auto"/>
        <w:tabs>
          <w:tab w:leader="none" w:pos="944"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rescissions and claim payments;</w:t>
      </w:r>
    </w:p>
    <w:p>
      <w:pPr>
        <w:spacing w:after="0" w:line="146" w:lineRule="exact"/>
        <w:rPr>
          <w:rFonts w:ascii="Arial" w:cs="Arial" w:eastAsia="Arial" w:hAnsi="Arial"/>
          <w:sz w:val="17"/>
          <w:szCs w:val="17"/>
          <w:color w:val="auto"/>
        </w:rPr>
      </w:pPr>
    </w:p>
    <w:p>
      <w:pPr>
        <w:ind w:left="980" w:right="100" w:hanging="324"/>
        <w:spacing w:after="0" w:line="342" w:lineRule="auto"/>
        <w:tabs>
          <w:tab w:leader="none" w:pos="9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980" w:right="34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with unaffiliated third parties. To date, we have not entered into any third party reinsurance contracts.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2014 were non-refundable. Premiums collected on annual policies are recognized as net premiums earned on a straight line basis over the year of coverage. For the six months ended June 30, 2014, monthly and single premium policies comprised 81.5% and 18.5% of our NIW, respectively.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89.1% at June 30, 2014. Generally, higher prepayment speeds lead to lower persistency.</w:t>
      </w:r>
    </w:p>
    <w:p>
      <w:pPr>
        <w:spacing w:after="0" w:line="18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investment portfolio was comprised entirely of investment grade fixed income securities and money market investments as of June 30, 2014. The principal factors that influence investment income are the size of the investment portfolio and the yield.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w:t>
      </w:r>
    </w:p>
    <w:p>
      <w:pPr>
        <w:sectPr>
          <w:pgSz w:w="11900" w:h="16838" w:orient="portrait"/>
          <w:cols w:equalWidth="0" w:num="1">
            <w:col w:w="11420"/>
          </w:cols>
          <w:pgMar w:left="240" w:top="125"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temporary” impairments recognized in earnings. The amount received on the sale of fixed income securities is affected by the coupon rate of the security compared to the yield of comparable securities at the time of sale.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connection with the acquisition of our mortgage insurance platform, we entered into a services agreement with Triad to provide certain information technology maintenance and development and customer support-related services. In return for these services, we receive a fee which is recorded in other income. From the period from December 1, 2009 to November 30, 2010, this fee was based on a fixed amount. Effective December 1, 2010, the fee is adjusted monthly based on the number of Triad’s mortgage insurance policies in force and, accordingly, will decrease over time as Triad’s existing policies are cancelled. The services agreement provides for a minimum monthly fee of $150,000 for the duration of the services agreement. The services agreement expires on November 30, 2014 and provides for two subsequent five-year renewals at Triad’s option.</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Other income also includes revenues associated with contract underwriting services. The level of contract underwriting revenue is dependent upon the number of customers who have engaged us for this service and the number of loans underwritten for these customers.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980" w:right="10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980" w:right="120" w:hanging="324"/>
        <w:spacing w:after="0" w:line="342" w:lineRule="auto"/>
        <w:tabs>
          <w:tab w:leader="none" w:pos="9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jc w:val="both"/>
        <w:ind w:left="980" w:right="80" w:hanging="324"/>
        <w:spacing w:after="0" w:line="192"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Clarity of Coverage</w:t>
      </w:r>
      <w:r>
        <w:rPr>
          <w:rFonts w:ascii="Arial" w:cs="Arial" w:eastAsia="Arial" w:hAnsi="Arial"/>
          <w:sz w:val="36"/>
          <w:szCs w:val="36"/>
          <w:color w:val="auto"/>
          <w:vertAlign w:val="superscript"/>
        </w:rPr>
        <w:t>®</w:t>
      </w:r>
      <w:r>
        <w:rPr>
          <w:rFonts w:ascii="Arial" w:cs="Arial" w:eastAsia="Arial" w:hAnsi="Arial"/>
          <w:sz w:val="18"/>
          <w:szCs w:val="18"/>
          <w:color w:val="auto"/>
        </w:rPr>
        <w:t xml:space="preserve"> master policy endorsement, we expect that our level of rescission activity will be lower than recent rescission activity seen in the mortgage insurance industry; and</w:t>
      </w:r>
    </w:p>
    <w:p>
      <w:pPr>
        <w:spacing w:after="0" w:line="201" w:lineRule="exact"/>
        <w:rPr>
          <w:rFonts w:ascii="Arial" w:cs="Arial" w:eastAsia="Arial" w:hAnsi="Arial"/>
          <w:sz w:val="18"/>
          <w:szCs w:val="18"/>
          <w:color w:val="auto"/>
        </w:rPr>
      </w:pPr>
    </w:p>
    <w:p>
      <w:pPr>
        <w:ind w:left="980" w:right="180" w:hanging="324"/>
        <w:spacing w:after="0" w:line="259"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96% of our IIF as of June 30, 2014 having been originated since January 1, 2012. As a result, based on historical industry performance, we expect the number of defaults and claims we experience, as well as our provision for losses and loss adjustment expenses, to increase as our portfolio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0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believe, based upon our experience and industry data, that claims incidence for mortgage insurance is generally highest in the third through sixth years after loan origination. As of June 30, 2014, 96% of our IIF relates to business written since January 1, 2012 and substantially all of our policies in force are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 or premiums.</w:t>
      </w:r>
    </w:p>
    <w:p>
      <w:pPr>
        <w:sectPr>
          <w:pgSz w:w="11900" w:h="16838" w:orient="portrait"/>
          <w:cols w:equalWidth="0" w:num="1">
            <w:col w:w="11420"/>
          </w:cols>
          <w:pgMar w:left="240" w:top="517" w:right="239" w:bottom="0" w:gutter="0" w:footer="0" w:header="0"/>
        </w:sectPr>
      </w:pPr>
    </w:p>
    <w:bookmarkStart w:id="19" w:name="page20"/>
    <w:bookmarkEnd w:id="19"/>
    <w:p>
      <w:pPr>
        <w:spacing w:after="0" w:line="6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most significant expense is compensation and benefits for our employees, which represented 67% of other underwriting and operating expenses for each of the three and six months ended June 30, 2014, compared to 67% and 65% of other underwriting and operating expenses for the three and six months ended June 30, 2013, respectively. Compensation and benefits expense includes base and incentive cash compensation, stock compensation expense, benefits and payroll taxes. Compensation and benefits expense has increased as we have increased our staffing from 209 employees at January 1, 2013 to 323 at June 30, 2014,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6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Underwriting and other expenses also include legal, consulting, other professional fees, premium taxes, depreciation and amortization, travel, entertainment, marketing, licensing, supplies, hardware, software, rent, utilities and other expenses.</w:t>
      </w:r>
    </w:p>
    <w:p>
      <w:pPr>
        <w:spacing w:after="0" w:line="170"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Further, we expect to incur incremental costs related to being a public company, including certain operating and compensation expenses.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Income taxes are incurred based on the amount of earnings or losses generated in the jurisdictions in which we operate and the applicable tax rates and regulations in those jurisdictions. To date, substantially all of our business activity has been conducted in the United States where we are subject to corporate level Federal income taxes.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 The amount of income tax expense or benefit recorded in future periods will be dependent on the jurisdictions in which we operate and the tax laws and regulations in effect. In 2014, since substantially all of our earnings are expected to be generated in the United States, we anticipate that our effective tax rate will approach the federal statutory tax rate. Beginning in 2015, we expect an increasing portion of our consolidated earnings will be generated in Bermuda and accordingly expect that our effective tax rate will decline below the federal statutory tax rate.</w:t>
      </w:r>
    </w:p>
    <w:p>
      <w:pPr>
        <w:spacing w:after="0" w:line="166"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Essent Group Ltd. and its wholly owned subsidiary, Essent Re, are domiciled in Bermuda, which does not have a corporate income tax. Through June 30, 2014, these entities have incurred expenses and generated limited amounts of investment income. In July 2014, Essent Re entered into an insurance transaction with Freddie Mac and expects to enter into a quota share reinsurance transaction with Essent Guaranty, an affiliate, to reinsure 25% of Essent Guaranty’s GSE-eligible NIW effective July 1, 2014. Completion of this transaction is subject to approval by the Pennsylvania Insurance Department.</w:t>
      </w:r>
    </w:p>
    <w:p>
      <w:pPr>
        <w:spacing w:after="0" w:line="154"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Since inception and prior to June 30, 2013, we recorded a valuation allowance against deferred tax assets, and, as such, we generally did not record a benefit associated with the losses incurred in prior periods or other income tax benefits. The income tax provision or benefit recognized in prior periods related to changes in our valuation allowance associated with changes in deferred tax liabilities resulting from the increase or decrease in the unrealized gain on our investment portfolio. At June 30, 2013, after weighing all of the evidence, we concluded that it was more likely than not that our deferred tax assets would be realized. As a result, in 2013, we released the valuation allowance on our deferred tax assets.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As discussed above, premiums we collect and earn are generated based on our IIF, which is a function of our NIW and cancellations. The following table includes a summary of the change in our IIF for the three and six months ended June 30, 2014 and 2013. In addition, this table includes our risk in force, or RIF, at the end of each period and the number of customers that purchased new mortgage insurance policies during each respective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IIF, beginning of period</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34,778,057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17,430,810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32,028,196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13,628,980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NIW</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5,874,334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5,895,127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9,504,907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10,216,683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(1,272,512)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(749,637)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(2,153,224)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(1,269,363)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IIF, end of period</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39,379,879</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22,576,300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39,379,879</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22,576,300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Average IIF during the period</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36,973,455</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19,922,431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35,216,295</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17,753,344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RIF, end of period</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9,700,549</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5,348,917</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9,700,549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5,348,917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Number of customers generating NIW during the period</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cancellation activity is relatively low because the average age of our insurance portfolio is young. The following is a summary of our IIF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2014 by vintage:</w:t>
      </w:r>
    </w:p>
    <w:p>
      <w:pPr>
        <w:spacing w:after="0" w:line="20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2014 (through June 30)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9,380,046</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19,547,594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8,832,491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1,527,938</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r>
      <w:tr>
        <w:trPr>
          <w:trHeight w:val="178"/>
        </w:trPr>
        <w:tc>
          <w:tcPr>
            <w:tcW w:w="5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341" w:right="239" w:bottom="0" w:gutter="0" w:footer="0" w:header="0"/>
        </w:sectPr>
      </w:pPr>
    </w:p>
    <w:bookmarkStart w:id="20" w:name="page21"/>
    <w:bookmarkEnd w:id="20"/>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96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84"/>
              </w:rPr>
              <w:t>2010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r>
      <w:tr>
        <w:trPr>
          <w:trHeight w:val="223"/>
        </w:trPr>
        <w:tc>
          <w:tcPr>
            <w:tcW w:w="596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39,379,879</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average premium rate is dependent on a number of factors, including: (1) the risk characteristics and average coverage on the mortgages we insure; (2) the mix of monthly premiums compared to single premiums in our portfolio; (3) cancellations of non-refundable single premium policies during the period; and (4) changes to our pricing.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outlines our average premium rate, which reflects net premiums earned as a percentage of average IIF, for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4"/>
                <w:szCs w:val="14"/>
                <w:color w:val="auto"/>
              </w:rPr>
            </w:pPr>
          </w:p>
        </w:tc>
        <w:tc>
          <w:tcPr>
            <w:tcW w:w="29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95,092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48,745</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Average IIF during the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36,973,455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19,922,431</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35,216,295</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17,753,344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premium rate (annualized)</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to Capital</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risk to capital ratio is frequently used as a measure of capital adequacy in the mortgage insurance industry and is calculated as a ratio of net risk in force to statutory capital. Net risk in force represents total risk in force net of reinsurance ceded and net of exposures on policies for which loss reserves have been established. Statutory capital is computed based on accounting practices prescribed or permitted by the Pennsylvania Insurance Department. See additional discussion in “— Liquidity and Capital Resources — Risk to Capital.”</w:t>
      </w:r>
    </w:p>
    <w:p>
      <w:pPr>
        <w:spacing w:after="0" w:line="18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As of June 30, 2014, our combined net risk in force was $9.7 billion and our combined statutory capital was $599.9 million, resulting in a risk to capital ratio of 16.2 to 1. The amount of capital required varies in each jurisdiction in which we operate; however, generally, the maximum permitted risk to capital ratio is 25.0 to 1. State insurance regulators and, as discussed in “— Liquidity and Capital Resources — Private Mortgage Insurer Eligibility Requirements” below, the GSEs are currently examining their respective capital rules to determine whether, in light of the recent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6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During the three months and six month periods ended June 30, 2014, capital contributions of $40 million and $75 million, respectively, were made by Essent Group Ltd. to our U.S. insurance subsidiaries. During the three and six month periods ended June 30, 2013, capital contributions of $70 million and $120 million, respectively, were made to our U.S. insurance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Summary of Operations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premiums written</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63,505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44,923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115,697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unearned premiums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(13,163)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(20,605)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(29,551)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premiums earned</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left="492"/>
              <w:spacing w:after="0"/>
              <w:rPr>
                <w:sz w:val="20"/>
                <w:szCs w:val="20"/>
                <w:color w:val="auto"/>
              </w:rPr>
            </w:pPr>
            <w:r>
              <w:rPr>
                <w:rFonts w:ascii="Arial" w:cs="Arial" w:eastAsia="Arial" w:hAnsi="Arial"/>
                <w:sz w:val="18"/>
                <w:szCs w:val="18"/>
                <w:color w:val="auto"/>
                <w:w w:val="87"/>
              </w:rPr>
              <w:t>50,342</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95,092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Realized investment gains, net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468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left="492"/>
              <w:spacing w:after="0"/>
              <w:rPr>
                <w:sz w:val="20"/>
                <w:szCs w:val="20"/>
                <w:color w:val="auto"/>
              </w:rPr>
            </w:pPr>
            <w:r>
              <w:rPr>
                <w:rFonts w:ascii="Arial" w:cs="Arial" w:eastAsia="Arial" w:hAnsi="Arial"/>
                <w:sz w:val="18"/>
                <w:szCs w:val="18"/>
                <w:color w:val="auto"/>
                <w:w w:val="87"/>
              </w:rPr>
              <w:t>54,283</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102,104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52,595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Losses and expenses: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losses and LAE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underwriting and operating expenses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23,648</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15,557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47,107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30,519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losses and expenses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color w:val="auto"/>
                <w:w w:val="87"/>
              </w:rPr>
              <w:t>24,614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ind w:left="492"/>
              <w:spacing w:after="0"/>
              <w:rPr>
                <w:sz w:val="20"/>
                <w:szCs w:val="20"/>
                <w:color w:val="auto"/>
              </w:rPr>
            </w:pPr>
            <w:r>
              <w:rPr>
                <w:rFonts w:ascii="Arial" w:cs="Arial" w:eastAsia="Arial" w:hAnsi="Arial"/>
                <w:sz w:val="18"/>
                <w:szCs w:val="18"/>
                <w:color w:val="auto"/>
                <w:w w:val="87"/>
              </w:rPr>
              <w:t>29,669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53,129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7"/>
              </w:rPr>
              <w:t>10,114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18,568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center"/>
              <w:ind w:left="492"/>
              <w:spacing w:after="0"/>
              <w:rPr>
                <w:sz w:val="20"/>
                <w:szCs w:val="20"/>
                <w:color w:val="auto"/>
              </w:rPr>
            </w:pPr>
            <w:r>
              <w:rPr>
                <w:rFonts w:ascii="Arial" w:cs="Arial" w:eastAsia="Arial" w:hAnsi="Arial"/>
                <w:sz w:val="18"/>
                <w:szCs w:val="18"/>
                <w:b w:val="1"/>
                <w:bCs w:val="1"/>
                <w:color w:val="auto"/>
                <w:w w:val="87"/>
              </w:rPr>
              <w:t>19,555</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34,561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2014 Compared to the Three and Six Months Ended June 30, 2013</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reported net income of $19.6 million for the three months ended June 30, 2014 as compared to $23.6 million for the three months ended June 30, 2013. We reported net income of $34.6 million and $30.8 million for the six months ended June 30, 2014 and 2013, respectively. The decrease in our net income for the three months ended June 30, 2014 as compared to the same period of 2013 was primarily due to recording income tax expense in 2014 as compared to recording an income tax benefit in 2013. The income tax</w:t>
      </w:r>
    </w:p>
    <w:p>
      <w:pPr>
        <w:sectPr>
          <w:pgSz w:w="11900" w:h="16838" w:orient="portrait"/>
          <w:cols w:equalWidth="0" w:num="1">
            <w:col w:w="11460"/>
          </w:cols>
          <w:pgMar w:left="240" w:top="140" w:right="199" w:bottom="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benefit in both the three and six months ended June 30, 2013 resulted from the release of the valuation allowance on our deferred tax assets. Also affecting results for the three and six months ended June 30, 2014 as compared to the same periods of 2013 were increases in net premiums earned associated with the growth of our IIF and increases in net investment income, partially offset by increases in other underwriting and operating expenses and the provision for losses and loss adjustment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Net premiums earned increased in the three months ended June 30, 2014 by 83% over the same period of 2013 primarily due to the increase in our average IIF from $19.9 billion for the three months ended June 30, 2013 to $37.0 billion for the three months ended June 30, 2014. Net premiums earned increased 95% in the six months ended June 30, 2014 over the same period of 2013 primarily due to the increase in our average IIF from $17.8 billion for the six months ended June 30, 2013 to $35.2 billion for the six months ended June 30, 2014. Net premiums written increased in the three and six months ended June 30, 2014 by 41% and 48%, respectively, over the three and six months ended June 30, 2013.</w:t>
      </w:r>
    </w:p>
    <w:p>
      <w:pPr>
        <w:spacing w:after="0" w:line="17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the three months ended June 30, 2014 and 2013, unearned premiums increased by $13.2 million and $17.5 million, respectively. The change in unearned premiums was a result of net premiums written on single premium policies of $19.6 million and $21.6 million, respectively, which was partially offset by $6.4 million and $4.1 million, respectively, of unearned premium that was recognized in earnings during the periods. In the six months ended June 30, 2014 and 2013, unearned premiums increased by $20.6 million and $29.6 million, respectively. This was a result of net premiums written on single premium policies of $32.1 million and $36.5 million, respectively, which was partially offset by $11.5 million and $6.9 million, respectively, of unearned premium that was recognized in earnings during the periods.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60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3,322</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9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3,341</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9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(261)</w:t>
            </w:r>
          </w:p>
        </w:tc>
        <w:tc>
          <w:tcPr>
            <w:tcW w:w="9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increase in net investment income for the three and six months ended June 30, 2014 as compared to the same periods of 2013 was primarily due to an increase in the weighted average balance of our investment portfolio as a result of investing the proceeds from our initial public offering, capital contributions from our initial investors in June and March 2013, and cash flows generated from operations. The average cash and investment portfolio balance was $839.2 million for the three months ended June 30, 2014 compared to $363.8 million for the three months ended June 30, 2013. The average cash and investment portfolio balance was $829.9 million for the six months ended June 30, 2014 compared to $325.9 million for the same period of 2013. The pre-tax investment income yield was 1.6% and 1.3% in the three months ended June 30, 2014 and 2013, respectively, and 1.3% and 1.2% in the six months ended June 30, 2014 and 2013, respectively. The pre-tax investment income yields are calculated based on amortized cost. See “— Liquidity and Capital Resources” below for further details of our investment portfolio.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Other income includes fees earned for information technology and customer support services provided to Triad and contract underwriting revenues. The decrease in other income for the three and six months ended June 30, 2014 compared to the same periods in 2013 was primarily due to a reduction in the number of Triad’s mortgage insurance policies in force. The fees earned from Triad will continue to decrease over time as Triad’s existing policies are cancelled.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increase in the provision for losses and LAE in the six months ended June 30, 2014 as compared to the same period in 2013 was primarily due to an increase in the number of insured loans in default partially offset by previously identified defaults that cured.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6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840" w:type="dxa"/>
            <w:vAlign w:val="bottom"/>
          </w:tcPr>
          <w:p>
            <w:pPr>
              <w:spacing w:after="0"/>
              <w:rPr>
                <w:sz w:val="12"/>
                <w:szCs w:val="12"/>
                <w:color w:val="auto"/>
              </w:rPr>
            </w:pPr>
          </w:p>
        </w:tc>
        <w:tc>
          <w:tcPr>
            <w:tcW w:w="9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166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default inventory</w:t>
            </w: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Plus: new defaults</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151</w:t>
            </w: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318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cures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Less: claims paid</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0"/>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default inventory</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increase in the number of defaults at June 30, 2014 compared to June 30, 2013 was primarily due to an increase in our IIF and policies in force, as well as further seasoning of our insurance portfolio.</w:t>
      </w:r>
    </w:p>
    <w:p>
      <w:pPr>
        <w:sectPr>
          <w:pgSz w:w="11900" w:h="16838" w:orient="portrait"/>
          <w:cols w:equalWidth="0" w:num="1">
            <w:col w:w="11420"/>
          </w:cols>
          <w:pgMar w:left="240" w:top="341" w:right="239" w:bottom="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As of June 30,</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Case reserves (in thousands)</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Ending default inventory</w:t>
            </w:r>
          </w:p>
        </w:tc>
        <w:tc>
          <w:tcPr>
            <w:tcW w:w="8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 reserve per default</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19,173</w:t>
            </w:r>
          </w:p>
        </w:tc>
        <w:tc>
          <w:tcPr>
            <w:tcW w:w="4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Default rate</w:t>
            </w:r>
          </w:p>
        </w:tc>
        <w:tc>
          <w:tcPr>
            <w:tcW w:w="8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Claims received included in ending default inventory</w:t>
            </w: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decrease in the average reserve per default was primarily due to changes in the composition (such as mark-to-market loan-to-value ratios, risk in force, and number of months past due) of the underlying loans in default. In addition, historical cure ratios showed improvement in 2014.</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9"/>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94"/>
              </w:rPr>
              <w:t>Six Months 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gridSpan w:val="4"/>
            <w:vMerge w:val="continue"/>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Borders>
              <w:top w:val="single" w:sz="8" w:color="auto"/>
            </w:tcBorders>
            <w:gridSpan w:val="4"/>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rPr>
              <w:t>Reserve for losses and LAE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3,804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4"/>
          </w:tcPr>
          <w:p>
            <w:pPr>
              <w:spacing w:after="0"/>
              <w:rPr>
                <w:sz w:val="20"/>
                <w:szCs w:val="20"/>
                <w:color w:val="auto"/>
              </w:rPr>
            </w:pPr>
            <w:r>
              <w:rPr>
                <w:rFonts w:ascii="Arial" w:cs="Arial" w:eastAsia="Arial" w:hAnsi="Arial"/>
                <w:sz w:val="18"/>
                <w:szCs w:val="18"/>
                <w:color w:val="auto"/>
                <w:w w:val="94"/>
              </w:rPr>
              <w:t>Add provision for losses and LAE occurring in: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Current period</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1,166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4"/>
          </w:tcPr>
          <w:p>
            <w:pPr>
              <w:ind w:left="180"/>
              <w:spacing w:after="0"/>
              <w:rPr>
                <w:sz w:val="20"/>
                <w:szCs w:val="20"/>
                <w:color w:val="auto"/>
              </w:rPr>
            </w:pPr>
            <w:r>
              <w:rPr>
                <w:rFonts w:ascii="Arial" w:cs="Arial" w:eastAsia="Arial" w:hAnsi="Arial"/>
                <w:sz w:val="18"/>
                <w:szCs w:val="18"/>
                <w:color w:val="auto"/>
              </w:rPr>
              <w:t>Prior years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153"/>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Incurred losses during the current period</w:t>
            </w: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gridSpan w:val="6"/>
          </w:tcPr>
          <w:p>
            <w:pPr>
              <w:spacing w:after="0" w:line="196" w:lineRule="exact"/>
              <w:rPr>
                <w:sz w:val="20"/>
                <w:szCs w:val="20"/>
                <w:color w:val="auto"/>
              </w:rPr>
            </w:pPr>
            <w:r>
              <w:rPr>
                <w:rFonts w:ascii="Arial" w:cs="Arial" w:eastAsia="Arial" w:hAnsi="Arial"/>
                <w:sz w:val="18"/>
                <w:szCs w:val="18"/>
                <w:color w:val="auto"/>
              </w:rPr>
              <w:t>Deduct payments for losses and LAE occurring in:</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Current period</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4"/>
          </w:tcPr>
          <w:p>
            <w:pPr>
              <w:ind w:left="180"/>
              <w:spacing w:after="0"/>
              <w:rPr>
                <w:sz w:val="20"/>
                <w:szCs w:val="20"/>
                <w:color w:val="auto"/>
              </w:rPr>
            </w:pPr>
            <w:r>
              <w:rPr>
                <w:rFonts w:ascii="Arial" w:cs="Arial" w:eastAsia="Arial" w:hAnsi="Arial"/>
                <w:sz w:val="18"/>
                <w:szCs w:val="18"/>
                <w:color w:val="auto"/>
              </w:rPr>
              <w:t>Prior years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Loss and LAE payments during the current period</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gridSpan w:val="4"/>
          </w:tcPr>
          <w:p>
            <w:pPr>
              <w:spacing w:after="0"/>
              <w:rPr>
                <w:sz w:val="20"/>
                <w:szCs w:val="20"/>
                <w:color w:val="auto"/>
              </w:rPr>
            </w:pPr>
            <w:r>
              <w:rPr>
                <w:rFonts w:ascii="Arial" w:cs="Arial" w:eastAsia="Arial" w:hAnsi="Arial"/>
                <w:sz w:val="18"/>
                <w:szCs w:val="18"/>
                <w:color w:val="auto"/>
                <w:w w:val="98"/>
              </w:rPr>
              <w:t>Reserve for losses and LAE at end of period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4,506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5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2"/>
              </w:rPr>
              <w:t>As of June 30, 2014</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120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60" w:type="dxa"/>
            <w:vAlign w:val="bottom"/>
          </w:tcPr>
          <w:p>
            <w:pPr>
              <w:spacing w:after="0"/>
              <w:rPr>
                <w:sz w:val="10"/>
                <w:szCs w:val="10"/>
                <w:color w:val="auto"/>
              </w:rPr>
            </w:pPr>
          </w:p>
        </w:tc>
        <w:tc>
          <w:tcPr>
            <w:tcW w:w="1460" w:type="dxa"/>
            <w:vAlign w:val="bottom"/>
            <w:gridSpan w:val="6"/>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380" w:type="dxa"/>
            <w:vAlign w:val="bottom"/>
            <w:gridSpan w:val="6"/>
            <w:vMerge w:val="restart"/>
          </w:tcPr>
          <w:p>
            <w:pPr>
              <w:jc w:val="right"/>
              <w:ind w:right="410"/>
              <w:spacing w:after="0"/>
              <w:rPr>
                <w:sz w:val="20"/>
                <w:szCs w:val="20"/>
                <w:color w:val="auto"/>
              </w:rPr>
            </w:pPr>
            <w:r>
              <w:rPr>
                <w:rFonts w:ascii="Arial" w:cs="Arial" w:eastAsia="Arial" w:hAnsi="Arial"/>
                <w:sz w:val="14"/>
                <w:szCs w:val="14"/>
                <w:b w:val="1"/>
                <w:bCs w:val="1"/>
                <w:color w:val="auto"/>
                <w:w w:val="92"/>
              </w:rPr>
              <w:t>Percentage of</w:t>
            </w: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Defaulted</w:t>
            </w:r>
          </w:p>
        </w:tc>
        <w:tc>
          <w:tcPr>
            <w:tcW w:w="16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Reserves as a</w:t>
            </w:r>
          </w:p>
        </w:tc>
        <w:tc>
          <w:tcPr>
            <w:tcW w:w="1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20" w:type="dxa"/>
            <w:vAlign w:val="bottom"/>
          </w:tcPr>
          <w:p>
            <w:pPr>
              <w:spacing w:after="0"/>
              <w:rPr>
                <w:sz w:val="12"/>
                <w:szCs w:val="12"/>
                <w:color w:val="auto"/>
              </w:rPr>
            </w:pPr>
          </w:p>
        </w:tc>
        <w:tc>
          <w:tcPr>
            <w:tcW w:w="12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1380" w:type="dxa"/>
            <w:vAlign w:val="bottom"/>
            <w:gridSpan w:val="6"/>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4"/>
            <w:vMerge w:val="continue"/>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Default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Default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6"/>
              </w:rPr>
              <w:t>Reserves</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Reserves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RIF</w:t>
            </w:r>
          </w:p>
        </w:tc>
        <w:tc>
          <w:tcPr>
            <w:tcW w:w="160" w:type="dxa"/>
            <w:vAlign w:val="bottom"/>
          </w:tcPr>
          <w:p>
            <w:pPr>
              <w:spacing w:after="0"/>
              <w:rPr>
                <w:sz w:val="14"/>
                <w:szCs w:val="1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RIF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Missed payments: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4"/>
          </w:tcPr>
          <w:p>
            <w:pPr>
              <w:ind w:left="180"/>
              <w:spacing w:after="0"/>
              <w:rPr>
                <w:sz w:val="20"/>
                <w:szCs w:val="20"/>
                <w:color w:val="auto"/>
              </w:rPr>
            </w:pPr>
            <w:r>
              <w:rPr>
                <w:rFonts w:ascii="Arial" w:cs="Arial" w:eastAsia="Arial" w:hAnsi="Arial"/>
                <w:sz w:val="18"/>
                <w:szCs w:val="18"/>
                <w:color w:val="auto"/>
              </w:rPr>
              <w:t>Three payments or less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660" w:type="dxa"/>
            <w:vAlign w:val="bottom"/>
            <w:gridSpan w:val="6"/>
          </w:tcPr>
          <w:p>
            <w:pPr>
              <w:jc w:val="right"/>
              <w:ind w:right="97"/>
              <w:spacing w:after="0"/>
              <w:rPr>
                <w:sz w:val="20"/>
                <w:szCs w:val="20"/>
                <w:color w:val="auto"/>
              </w:rPr>
            </w:pPr>
            <w:r>
              <w:rPr>
                <w:rFonts w:ascii="Arial" w:cs="Arial" w:eastAsia="Arial" w:hAnsi="Arial"/>
                <w:sz w:val="18"/>
                <w:szCs w:val="18"/>
                <w:color w:val="auto"/>
              </w:rPr>
              <w:t>51% $</w:t>
            </w:r>
          </w:p>
        </w:tc>
        <w:tc>
          <w:tcPr>
            <w:tcW w:w="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31% $</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6,316</w:t>
            </w:r>
          </w:p>
        </w:tc>
        <w:tc>
          <w:tcPr>
            <w:tcW w:w="16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Four to eleven payments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4,083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4"/>
          </w:tcPr>
          <w:p>
            <w:pPr>
              <w:ind w:left="180"/>
              <w:spacing w:after="0"/>
              <w:rPr>
                <w:sz w:val="20"/>
                <w:szCs w:val="20"/>
                <w:color w:val="auto"/>
              </w:rPr>
            </w:pPr>
            <w:r>
              <w:rPr>
                <w:rFonts w:ascii="Arial" w:cs="Arial" w:eastAsia="Arial" w:hAnsi="Arial"/>
                <w:sz w:val="18"/>
                <w:szCs w:val="18"/>
                <w:color w:val="auto"/>
              </w:rPr>
              <w:t>Twelve or more payments</w:t>
            </w: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Pending claims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4,121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11,492</w:t>
            </w:r>
          </w:p>
        </w:tc>
        <w:tc>
          <w:tcPr>
            <w:tcW w:w="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34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IBNR</w:t>
            </w: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gridSpan w:val="3"/>
            <w:shd w:val="clear" w:color="auto" w:fill="CCEEFF"/>
          </w:tcPr>
          <w:p>
            <w:pPr>
              <w:jc w:val="right"/>
              <w:ind w:right="220"/>
              <w:spacing w:after="0" w:line="170" w:lineRule="exact"/>
              <w:rPr>
                <w:sz w:val="20"/>
                <w:szCs w:val="20"/>
                <w:color w:val="auto"/>
              </w:rPr>
            </w:pPr>
            <w:r>
              <w:rPr>
                <w:rFonts w:ascii="Arial" w:cs="Arial" w:eastAsia="Arial" w:hAnsi="Arial"/>
                <w:sz w:val="18"/>
                <w:szCs w:val="18"/>
                <w:color w:val="auto"/>
              </w:rPr>
              <w:t>309</w:t>
            </w: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LAE and other</w:t>
            </w:r>
          </w:p>
        </w:tc>
        <w:tc>
          <w:tcPr>
            <w:tcW w:w="9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reserves</w:t>
            </w: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2"/>
              </w:rPr>
              <w:t>As of June 30, 2013</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120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60" w:type="dxa"/>
            <w:vAlign w:val="bottom"/>
          </w:tcPr>
          <w:p>
            <w:pPr>
              <w:spacing w:after="0"/>
              <w:rPr>
                <w:sz w:val="10"/>
                <w:szCs w:val="10"/>
                <w:color w:val="auto"/>
              </w:rPr>
            </w:pPr>
          </w:p>
        </w:tc>
        <w:tc>
          <w:tcPr>
            <w:tcW w:w="1460" w:type="dxa"/>
            <w:vAlign w:val="bottom"/>
            <w:gridSpan w:val="6"/>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380" w:type="dxa"/>
            <w:vAlign w:val="bottom"/>
            <w:gridSpan w:val="6"/>
            <w:vMerge w:val="restart"/>
          </w:tcPr>
          <w:p>
            <w:pPr>
              <w:jc w:val="right"/>
              <w:ind w:right="410"/>
              <w:spacing w:after="0"/>
              <w:rPr>
                <w:sz w:val="20"/>
                <w:szCs w:val="20"/>
                <w:color w:val="auto"/>
              </w:rPr>
            </w:pPr>
            <w:r>
              <w:rPr>
                <w:rFonts w:ascii="Arial" w:cs="Arial" w:eastAsia="Arial" w:hAnsi="Arial"/>
                <w:sz w:val="14"/>
                <w:szCs w:val="14"/>
                <w:b w:val="1"/>
                <w:bCs w:val="1"/>
                <w:color w:val="auto"/>
                <w:w w:val="92"/>
              </w:rPr>
              <w:t>Percentage of</w:t>
            </w: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Defaulted</w:t>
            </w:r>
          </w:p>
        </w:tc>
        <w:tc>
          <w:tcPr>
            <w:tcW w:w="16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Reserves as a</w:t>
            </w:r>
          </w:p>
        </w:tc>
        <w:tc>
          <w:tcPr>
            <w:tcW w:w="1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20" w:type="dxa"/>
            <w:vAlign w:val="bottom"/>
          </w:tcPr>
          <w:p>
            <w:pPr>
              <w:spacing w:after="0"/>
              <w:rPr>
                <w:sz w:val="12"/>
                <w:szCs w:val="12"/>
                <w:color w:val="auto"/>
              </w:rPr>
            </w:pPr>
          </w:p>
        </w:tc>
        <w:tc>
          <w:tcPr>
            <w:tcW w:w="12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1380" w:type="dxa"/>
            <w:vAlign w:val="bottom"/>
            <w:gridSpan w:val="6"/>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4"/>
            <w:vMerge w:val="continue"/>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Default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Default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6"/>
              </w:rPr>
              <w:t>Reserves</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Reserves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RIF</w:t>
            </w:r>
          </w:p>
        </w:tc>
        <w:tc>
          <w:tcPr>
            <w:tcW w:w="160" w:type="dxa"/>
            <w:vAlign w:val="bottom"/>
          </w:tcPr>
          <w:p>
            <w:pPr>
              <w:spacing w:after="0"/>
              <w:rPr>
                <w:sz w:val="14"/>
                <w:szCs w:val="1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RIF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Missed payments: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4"/>
          </w:tcPr>
          <w:p>
            <w:pPr>
              <w:ind w:left="180"/>
              <w:spacing w:after="0"/>
              <w:rPr>
                <w:sz w:val="20"/>
                <w:szCs w:val="20"/>
                <w:color w:val="auto"/>
              </w:rPr>
            </w:pPr>
            <w:r>
              <w:rPr>
                <w:rFonts w:ascii="Arial" w:cs="Arial" w:eastAsia="Arial" w:hAnsi="Arial"/>
                <w:sz w:val="18"/>
                <w:szCs w:val="18"/>
                <w:color w:val="auto"/>
              </w:rPr>
              <w:t>Three payments or less</w:t>
            </w: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660" w:type="dxa"/>
            <w:vAlign w:val="bottom"/>
            <w:gridSpan w:val="6"/>
          </w:tcPr>
          <w:p>
            <w:pPr>
              <w:jc w:val="right"/>
              <w:ind w:right="97"/>
              <w:spacing w:after="0"/>
              <w:rPr>
                <w:sz w:val="20"/>
                <w:szCs w:val="20"/>
                <w:color w:val="auto"/>
              </w:rPr>
            </w:pPr>
            <w:r>
              <w:rPr>
                <w:rFonts w:ascii="Arial" w:cs="Arial" w:eastAsia="Arial" w:hAnsi="Arial"/>
                <w:sz w:val="18"/>
                <w:szCs w:val="18"/>
                <w:color w:val="auto"/>
              </w:rPr>
              <w:t>55% $</w:t>
            </w:r>
          </w:p>
        </w:tc>
        <w:tc>
          <w:tcPr>
            <w:tcW w:w="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32% $</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2,559</w:t>
            </w:r>
          </w:p>
        </w:tc>
        <w:tc>
          <w:tcPr>
            <w:tcW w:w="16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Four to eleven payments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4"/>
          </w:tcPr>
          <w:p>
            <w:pPr>
              <w:ind w:left="180"/>
              <w:spacing w:after="0"/>
              <w:rPr>
                <w:sz w:val="20"/>
                <w:szCs w:val="20"/>
                <w:color w:val="auto"/>
              </w:rPr>
            </w:pPr>
            <w:r>
              <w:rPr>
                <w:rFonts w:ascii="Arial" w:cs="Arial" w:eastAsia="Arial" w:hAnsi="Arial"/>
                <w:sz w:val="18"/>
                <w:szCs w:val="18"/>
                <w:color w:val="auto"/>
              </w:rPr>
              <w:t>Twelve or more payments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Pending claims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20" w:type="dxa"/>
            <w:vAlign w:val="bottom"/>
            <w:vMerge w:val="continue"/>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2,315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4,804</w:t>
            </w:r>
          </w:p>
        </w:tc>
        <w:tc>
          <w:tcPr>
            <w:tcW w:w="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34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IBNR</w:t>
            </w: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gridSpan w:val="3"/>
            <w:shd w:val="clear" w:color="auto" w:fill="CCEEFF"/>
          </w:tcPr>
          <w:p>
            <w:pPr>
              <w:jc w:val="right"/>
              <w:ind w:right="220"/>
              <w:spacing w:after="0" w:line="170" w:lineRule="exact"/>
              <w:rPr>
                <w:sz w:val="20"/>
                <w:szCs w:val="20"/>
                <w:color w:val="auto"/>
              </w:rPr>
            </w:pPr>
            <w:r>
              <w:rPr>
                <w:rFonts w:ascii="Arial" w:cs="Arial" w:eastAsia="Arial" w:hAnsi="Arial"/>
                <w:sz w:val="18"/>
                <w:szCs w:val="18"/>
                <w:color w:val="auto"/>
              </w:rPr>
              <w:t>174</w:t>
            </w: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LAE and other</w:t>
            </w:r>
          </w:p>
        </w:tc>
        <w:tc>
          <w:tcPr>
            <w:tcW w:w="9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reserves</w:t>
            </w: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-4023360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-4023360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During the three months ended June 30, 2014, the provision for losses and LAE was $1.0 million, comprised of $1.2 million of current year losses partially offset by $0.2 million of favorable prior years’ loss development. During the three months ended June 30, 2013, the provision for losses and LAE was $0.6 million, comprised of $0.5 million of current year losses and $0.1 million of unfavorable prior years’ loss development. In both periods, the prior years’ loss development is the result of a re-estimation of amounts ultimately to be paid on prior year defaults in the default inventory. During the three months ended June 30, 2014, we paid ten claims for a total amount of $0.3 million. During the three months ended June 30, 2013, we paid four claims for a total amount of $0.2 million. Claim severity, representing the total amount of claims paid divided by the related RIF of the defaulted mortgage loans, for the three months ended June 30, 2014 and 2013 was 54% and 81%, respectively.</w:t>
      </w:r>
    </w:p>
    <w:p>
      <w:pPr>
        <w:spacing w:after="0" w:line="17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During the six months ended June 30, 2014, the provision for losses and LAE was $1.9 million, comprised of $2.5 million of current year losses partially offset by $0.6 million of favorable prior years’ loss development. During the six months ended June 30, 2013, the provision for losses and LAE was $1.3 million, comprised of $1.4 million of current year losses partially offset by $0.1 million of favorable prior years’ loss development. In both periods, the favorable prior years’ loss development is the result of a re-estimation of amounts ultimately to be paid on prior year defaults in the default inventory. During the six months ended June 30, 2014, we paid sixteen claims for a total amount of $0.4 million. During the six months ended June 30, 2013, we paid six claims for a total amount of $0.2 million. Claim severity for the six months ended June 30, 2014 and 2013 was 62% and 86%, respectively.</w:t>
      </w:r>
    </w:p>
    <w:p>
      <w:pPr>
        <w:sectPr>
          <w:pgSz w:w="11900" w:h="16838" w:orient="portrait"/>
          <w:cols w:equalWidth="0" w:num="1">
            <w:col w:w="11460"/>
          </w:cols>
          <w:pgMar w:left="240" w:top="341" w:right="19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components of our other underwriting and operating expenses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Three Months Ended 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5"/>
              </w:rPr>
              <w:t>Six Months Ended June 30,</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0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2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Compensation and</w:t>
            </w: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15,840</w:t>
            </w: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10,465</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31,508</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19,990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7,808</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5,092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15,599</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10,529</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23,648</w:t>
            </w:r>
          </w:p>
        </w:tc>
        <w:tc>
          <w:tcPr>
            <w:tcW w:w="220" w:type="dxa"/>
            <w:vAlign w:val="bottom"/>
            <w:vMerge w:val="continue"/>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15,557</w:t>
            </w:r>
          </w:p>
        </w:tc>
        <w:tc>
          <w:tcPr>
            <w:tcW w:w="220" w:type="dxa"/>
            <w:vAlign w:val="bottom"/>
            <w:vMerge w:val="continue"/>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47,107</w:t>
            </w:r>
          </w:p>
        </w:tc>
        <w:tc>
          <w:tcPr>
            <w:tcW w:w="220" w:type="dxa"/>
            <w:vAlign w:val="bottom"/>
            <w:vMerge w:val="continue"/>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30,519</w:t>
            </w:r>
          </w:p>
        </w:tc>
        <w:tc>
          <w:tcPr>
            <w:tcW w:w="22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Number of employees at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end of period</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323</w:t>
            </w:r>
          </w:p>
        </w:tc>
        <w:tc>
          <w:tcPr>
            <w:tcW w:w="7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8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8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Other underwriting and operating expenses were $23.6 million in the three months ended June 30, 2014 as compared to $15.6 million in the three months ended June 30, 2013. Other underwriting and operating expenses were $47.1 million in the six months ended June 30, 2014 as compared to and $30.5 million for the same period of 2013. The significant factors contributing to the change in other underwriting and operating expenses were:</w:t>
      </w:r>
    </w:p>
    <w:p>
      <w:pPr>
        <w:spacing w:after="0" w:line="147" w:lineRule="exact"/>
        <w:rPr>
          <w:sz w:val="20"/>
          <w:szCs w:val="20"/>
          <w:color w:val="auto"/>
        </w:rPr>
      </w:pPr>
    </w:p>
    <w:p>
      <w:pPr>
        <w:ind w:left="980" w:hanging="324"/>
        <w:spacing w:after="0" w:line="255"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the increase in our work force to 323 at June 30, 2014 from 209 at January 1, 2013. Additional employees were hired to support the growth in our business, particularly in our sales organization, as well as our underwriting and customer service teams. Compensation and benefits also increased as a result of an increase in stock-based compensation, which is primarily due to the nonvested shares and nonvested stock units issued to all of employees in connection with our initial public offering completed in November 2013 for which expenses are being recognized over the applicable vesting periods. Compensation and benefits includes salaries, wages and bonus, stock compensation expense, benefits and payroll taxes.</w:t>
      </w:r>
    </w:p>
    <w:p>
      <w:pPr>
        <w:spacing w:after="0" w:line="193" w:lineRule="exact"/>
        <w:rPr>
          <w:rFonts w:ascii="Arial" w:cs="Arial" w:eastAsia="Arial" w:hAnsi="Arial"/>
          <w:sz w:val="18"/>
          <w:szCs w:val="18"/>
          <w:color w:val="auto"/>
        </w:rPr>
      </w:pPr>
    </w:p>
    <w:p>
      <w:pPr>
        <w:ind w:left="980" w:right="20" w:hanging="324"/>
        <w:spacing w:after="0" w:line="286" w:lineRule="auto"/>
        <w:tabs>
          <w:tab w:leader="none" w:pos="944"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expenses, including premium taxes, travel, marketing, depreciation and amortization, hardware, software, rent and other facilities expenses, increased as a result of the expansion of our business. In addition, effective with the completion of our initial public offering, we have incurred certain incremental public company expenses, including increased insurance expenses and board of directors costs.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subsidiaries in the United States file a consolidated U.S. Federal income tax return. Our income tax expense was $10.1 million for the three months ended June 30, 2014, compared to an income tax benefit of $10.2 million for the three months ended June 30, 2013. Our income tax expense was $18.6 million for the six months ended June 30, 2014, compared to an income tax benefit of $10.0 million for the six months ended June 30, 2013. Our effective tax rate was 34.1% for the three months ended June 30, 2014 and 34.9% for the six months ended June 30, 2014. In the three months ended June 30, 2014, our effective tax rate reflects the impact of the change in our annual effective tax rate for 2014 due to our change in expectations for earnings in Bermuda. Our effective tax rate for the six months ended June 30, 2014 approximates the federal statutory tax rate as earnings in Bermuda are expected to be substantially offset by permanent differences.</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Since inception and prior to June 30, 2013, we had evaluated the realizability of our deferred tax assets on a quarterly basis and concluded that it was more likely than not that some portion or all of the deferred tax asset would not be realized and provided a valuation allowance against the deferred tax assets. Accordingly, we did not record a benefit associated with the losses incurred in prior periods or for other income tax benefits. The income tax provision or benefit recognized in prior periods related to changes in our valuation allowance associated with changes in deferred tax liabilities relating to the change in the unrealized gain on our investment portfolio. At June 30, 2013, after weighing all the evidence, we concluded that it is more likely than not that our deferred tax assets will be realized. As a result, we released the valuation allowance on our deferred tax assets as of June 30, 2013, except for amounts that were to be released against income before income taxes for the remainder of 2013 and recognized an income tax benefit in the three and six months ended June 30, 2013. At June 30, 2014 and December 31, 2013, we concluded that it is more likely than not that our deferred tax assets would be realized.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obligations consist primarily of:</w:t>
      </w:r>
    </w:p>
    <w:p>
      <w:pPr>
        <w:spacing w:after="0" w:line="225"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 payments under our policies;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ectPr>
          <w:pgSz w:w="11900" w:h="16838" w:orient="portrait"/>
          <w:cols w:equalWidth="0" w:num="1">
            <w:col w:w="11420"/>
          </w:cols>
          <w:pgMar w:left="240" w:top="125" w:right="239" w:bottom="0" w:gutter="0" w:footer="0" w:header="0"/>
        </w:sectPr>
      </w:pPr>
    </w:p>
    <w:bookmarkStart w:id="24" w:name="page25"/>
    <w:bookmarkEnd w:id="24"/>
    <w:p>
      <w:pPr>
        <w:ind w:right="80" w:firstLine="648"/>
        <w:spacing w:after="0" w:line="257" w:lineRule="auto"/>
        <w:rPr>
          <w:sz w:val="20"/>
          <w:szCs w:val="20"/>
          <w:color w:val="auto"/>
        </w:rPr>
      </w:pPr>
      <w:r>
        <w:rPr>
          <w:rFonts w:ascii="Arial" w:cs="Arial" w:eastAsia="Arial" w:hAnsi="Arial"/>
          <w:sz w:val="18"/>
          <w:szCs w:val="18"/>
          <w:color w:val="auto"/>
        </w:rPr>
        <w:t>As of June 30, 2014, we had substantial liquidity with $855.2 million of net cash and investments, which includes $171.0 million at the holding company. Our net cash and investment position increased in the six months ended June 30, 2014 primarily as a result of net cash flow from operating activities. Our net cash investments position increased during the year ended December 31, 2013 primarily as a result of net proceeds of $313.7 million from our initial public offering of Common Shares which was completed in November 2013, $123.9 million in net capital contributions received from our initial investors, plus cash flows from operations, net of amounts invested in our fixed income portfolio.</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Essent Group Ltd. expects to make capital contributions to Essent Re of $100 million in connection with the quota share reinsurance agreement expected to be finalized in the third quarter of 2014.</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insurance portfolio, or to fund new business initiatives. We continually evaluate opportunities based upon market conditions to finance our operations and/or increase our operating flexibility by accessing the capital markets or other types of indebtedness with institutional lenders. There can be no guarantee that any such financing opportunities will be available on acceptable terms or at all.</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ability of our insurance subsidiaries to declare dividends is restricted by certain provisions of the insurance laws of the Commonwealth of Pennsylvania, their state of domicile. The insurance laws of the Commonwealth of Pennsylvania establish a test limiting the maximum amount of dividends that may be paid out of unassigned surplus by an insurer without prior approval by the Pennsylvania Insurance Commissioner. Under such a test, we may pay dividends during any 12-month period in an amount equal to the greater of (i) 10 percent of the preceding year-end statutory policyholder’s surplus or (ii) the preceding year’s statutory net income. Pennsylvania statute also requires that dividends and other distributions be paid out of positive unassigned surplus without prior approval. At June 30, 2014, Essent Guaranty, Inc. had negative unassigned surplus and therefore would require prior approval by the Pennsylvania Insurance Commissioner to make any dividend payment or other distributions in 2014. At June 30, 2014, Essent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Guaranty of PA, Inc. had unassigned surplus of $1.6 million. In March 2014, Essent Guaranty of PA, Inc. paid a $200,000 dividend to Essent US Holdings, Inc. and in December 2013, Essent Guaranty of PA, Inc. paid a $5,000 dividend to Essent US Holdings, Inc. Essent Guaranty, Inc. has paid no dividends since its inception. At June 30, 2014, our insurance subsidiaries were in compliance with these rules and regulations.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(504,683)</w:t>
            </w:r>
          </w:p>
        </w:tc>
        <w:tc>
          <w:tcPr>
            <w:tcW w:w="5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(62,106)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(4,039)</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(decrease) increase in cash</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(463,475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Cash flow provided by operating activities totaled $45.2 million for the six months ended June 30, 2014 as compared to cash flow provided by operating activities of $47.8 million for the six months ended June 30, 2013. The decrease in cash flow from operations of $2.6 million in 2014 was a result of increases in prepaid taxes and expenses paid, partially offset by increases in premiums received and net investment income.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flow used in investing activities totaled $504.7 million for the six months ended June 30, 2014 as compared to cash used in investing activities of $62.1 million for the six months ended June 30, 2013. The increase in cash flow used in investing activities was primarily related to investing capital contributions from our initial investors received in 2013, proceeds from our initial public offering that was completed in November 2013, and cash flows from the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ectPr>
          <w:pgSz w:w="11900" w:h="16838" w:orient="portrait"/>
          <w:cols w:equalWidth="0" w:num="1">
            <w:col w:w="11420"/>
          </w:cols>
          <w:pgMar w:left="240" w:top="341" w:right="239" w:bottom="208" w:gutter="0" w:footer="0" w:header="0"/>
        </w:sectPr>
      </w:pPr>
    </w:p>
    <w:bookmarkStart w:id="25" w:name="page26"/>
    <w:bookmarkEnd w:id="25"/>
    <w:p>
      <w:pPr>
        <w:ind w:right="140" w:firstLine="648"/>
        <w:spacing w:after="0" w:line="255" w:lineRule="auto"/>
        <w:rPr>
          <w:sz w:val="20"/>
          <w:szCs w:val="20"/>
          <w:color w:val="auto"/>
        </w:rPr>
      </w:pPr>
      <w:r>
        <w:rPr>
          <w:rFonts w:ascii="Arial" w:cs="Arial" w:eastAsia="Arial" w:hAnsi="Arial"/>
          <w:sz w:val="18"/>
          <w:szCs w:val="18"/>
          <w:color w:val="auto"/>
        </w:rPr>
        <w:t>Cash flow used in financing activities totaled $4.0 million for the six months ended June 30, 2014 as compared to cash provided by financing activities of $121.2 million for the six months ended June 30, 2013. Cash used in financing activities for the six months ended June 30, 2014 was primarily related to the acquisition of treasury stock from employees to satisfy tax withholding obligations, a payment made to Triad under the asset purchase agreement, and payment of accrued offering costs, partially offset by excess tax benefits recognized as a result of stock-based compensation. Cash provided by financing activities in the six months ended June 30, 2013 was principally due to proceeds received from Class A common shares issued to our initial investors.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to Capital</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compute our risk to capital ratio on a separate company statutory basis, as well as for our combined insurance operations. The risk to 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9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the three and six month periods ended June 30, 2014, capital contributions of $40 million and $75 million, respectively, were made by Essent Group Ltd. to our U.S. insurance subsidiaries. During the three and six month periods ended June 30, 2013, capital contributions of $70 million and $120 million, respectively, were made to our U.S. insurance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 to capital calculation as of June 30, 2014 is as follows:</w:t>
      </w:r>
    </w:p>
    <w:p>
      <w:pPr>
        <w:spacing w:after="0" w:line="217"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Combined statutory capital:</w:t>
      </w:r>
    </w:p>
    <w:p>
      <w:pPr>
        <w:ind w:left="980"/>
        <w:spacing w:after="0" w:line="236" w:lineRule="auto"/>
        <w:rPr>
          <w:sz w:val="20"/>
          <w:szCs w:val="20"/>
          <w:color w:val="auto"/>
        </w:rPr>
      </w:pPr>
      <w:r>
        <w:rPr>
          <w:rFonts w:ascii="Arial" w:cs="Arial" w:eastAsia="Arial" w:hAnsi="Arial"/>
          <w:sz w:val="14"/>
          <w:szCs w:val="14"/>
          <w:b w:val="1"/>
          <w:bCs w:val="1"/>
          <w:color w:val="auto"/>
        </w:rPr>
        <w:t>($ in thousands)</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Policyholders’ surplus</w:t>
            </w:r>
          </w:p>
        </w:tc>
        <w:tc>
          <w:tcPr>
            <w:tcW w:w="660" w:type="dxa"/>
            <w:vAlign w:val="bottom"/>
            <w:tcBorders>
              <w:top w:val="single" w:sz="8" w:color="CCEEFF"/>
            </w:tcBorders>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465,603</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Contingency reserves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134,325</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Combined statutory capital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Combined net risk in force</w:t>
            </w:r>
          </w:p>
        </w:tc>
        <w:tc>
          <w:tcPr>
            <w:tcW w:w="3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9,696,119</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Combined risk to capital ratio</w:t>
            </w:r>
          </w:p>
        </w:tc>
        <w:tc>
          <w:tcPr>
            <w:tcW w:w="3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additional information regarding regulatory capital, see Note 11 to our condensed consolidated financial statements. Our combined statutory capital equals the sum of statutory capital of our U.S. insurance subsidiaries, Essent Guaranty, Inc. and Essent Guaranty of PA, Inc., after eliminating the impact of intercompany transactions. The combined risk to capital ratio equals the sum of the net risk in force of Essent Guaranty, Inc.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financial strength of Essent Guaranty, Inc., our principal mortgage insurance subsidiary, is rated Baa2 by Moody’s Investors Service (“Moody’s”) with a stable outlook. Standard &amp; Poor’s Rating Services’ (“S&amp;P”) insurer financial strength rating of Essent Guaranty, Inc. is BBB+ with a stable outlook.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Draft Private Mortgage Insurer Eligibility Requirements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July 10, 2014, the Federal Housing Finance Agency (“FHFA”) released for public input draft Private Mortgage Insurer Eligibility Requirements (“PMIERs”). If implemented, the PMIERs represent revised standards by which private mortgage insurers would be eligible to provide mortgage insurance on loans owned or guaranteed by Fannie Mae and Freddie Mac. The PMIERs include new financial strength requirements incorporating a risk-based framework that would require approved insurers to have a sufficient level of liquid assets from which to pay claims. These new requirements also would impact the amount of capital a mortgage insurer must hold. The draft requirements also include enhanced operational performance expectations and define remedial actions that would apply should an approved insurer fail to comply with the new requirements. The public input period with respect to the PMIERs is expected to close on September 8,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June 30, 2014, stockholders’ equity was $768.0 million compared to $722.1 million as of December 31, 2013. This increase was primarily due to net income generated in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June 30, 2014, the total fair value of our investment portfolio was $845.9 million, compared to $332.6 million as of December 31, 2013. This increase was primarily due to the investment of proceeds from our initial public offering and capital contributions in the form of cash that were received in 2013 which had not been fully invested as of December 31, 2013.</w:t>
      </w:r>
    </w:p>
    <w:p>
      <w:pPr>
        <w:sectPr>
          <w:pgSz w:w="11900" w:h="16838" w:orient="portrait"/>
          <w:cols w:equalWidth="0" w:num="1">
            <w:col w:w="11420"/>
          </w:cols>
          <w:pgMar w:left="240" w:top="125" w:right="239" w:bottom="136"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36" w:gutter="0" w:footer="0" w:header="0"/>
          <w:type w:val="continuous"/>
        </w:sectPr>
      </w:pPr>
    </w:p>
    <w:bookmarkStart w:id="26" w:name="page27"/>
    <w:bookmarkEnd w:id="26"/>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Investment Portfolio by Asset Class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4380" w:type="dxa"/>
            <w:vAlign w:val="bottom"/>
            <w:gridSpan w:val="4"/>
          </w:tcPr>
          <w:p>
            <w:pPr>
              <w:ind w:left="800"/>
              <w:spacing w:after="0"/>
              <w:rPr>
                <w:sz w:val="20"/>
                <w:szCs w:val="20"/>
                <w:color w:val="auto"/>
              </w:rPr>
            </w:pPr>
            <w:r>
              <w:rPr>
                <w:rFonts w:ascii="Arial" w:cs="Arial" w:eastAsia="Arial" w:hAnsi="Arial"/>
                <w:sz w:val="14"/>
                <w:szCs w:val="14"/>
                <w:b w:val="1"/>
                <w:bCs w:val="1"/>
                <w:color w:val="auto"/>
              </w:rPr>
              <w:t>Asset Class</w:t>
            </w:r>
          </w:p>
        </w:tc>
        <w:tc>
          <w:tcPr>
            <w:tcW w:w="160" w:type="dxa"/>
            <w:vAlign w:val="bottom"/>
          </w:tcPr>
          <w:p>
            <w:pPr>
              <w:spacing w:after="0"/>
              <w:rPr>
                <w:sz w:val="14"/>
                <w:szCs w:val="14"/>
                <w:color w:val="auto"/>
              </w:rPr>
            </w:pPr>
          </w:p>
        </w:tc>
        <w:tc>
          <w:tcPr>
            <w:tcW w:w="1560" w:type="dxa"/>
            <w:vAlign w:val="bottom"/>
            <w:gridSpan w:val="3"/>
          </w:tcPr>
          <w:p>
            <w:pPr>
              <w:ind w:left="700"/>
              <w:spacing w:after="0"/>
              <w:rPr>
                <w:sz w:val="20"/>
                <w:szCs w:val="20"/>
                <w:color w:val="auto"/>
              </w:rPr>
            </w:pPr>
            <w:r>
              <w:rPr>
                <w:rFonts w:ascii="Arial" w:cs="Arial" w:eastAsia="Arial" w:hAnsi="Arial"/>
                <w:sz w:val="14"/>
                <w:szCs w:val="14"/>
                <w:b w:val="1"/>
                <w:bCs w:val="1"/>
                <w:color w:val="auto"/>
                <w:w w:val="92"/>
              </w:rPr>
              <w:t>June 30, 2014</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December 31, 2013</w:t>
            </w:r>
          </w:p>
        </w:tc>
      </w:tr>
      <w:tr>
        <w:trPr>
          <w:trHeight w:val="142"/>
        </w:trPr>
        <w:tc>
          <w:tcPr>
            <w:tcW w:w="800" w:type="dxa"/>
            <w:vAlign w:val="bottom"/>
          </w:tcPr>
          <w:p>
            <w:pPr>
              <w:spacing w:after="0"/>
              <w:rPr>
                <w:sz w:val="12"/>
                <w:szCs w:val="12"/>
                <w:color w:val="auto"/>
              </w:rPr>
            </w:pPr>
          </w:p>
        </w:tc>
        <w:tc>
          <w:tcPr>
            <w:tcW w:w="33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w w:val="89"/>
              </w:rPr>
              <w:t>Percent</w:t>
            </w: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CEEFF"/>
            </w:tcBorders>
          </w:tcPr>
          <w:p>
            <w:pPr>
              <w:spacing w:after="0"/>
              <w:rPr>
                <w:sz w:val="12"/>
                <w:szCs w:val="12"/>
                <w:color w:val="auto"/>
              </w:rPr>
            </w:pPr>
          </w:p>
        </w:tc>
      </w:tr>
      <w:tr>
        <w:trPr>
          <w:trHeight w:val="210"/>
        </w:trPr>
        <w:tc>
          <w:tcPr>
            <w:tcW w:w="80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59,187</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80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U.S. agency securities</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8,165</w:t>
            </w:r>
          </w:p>
        </w:tc>
        <w:tc>
          <w:tcPr>
            <w:tcW w:w="32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14,839</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4.5</w:t>
            </w:r>
          </w:p>
        </w:tc>
      </w:tr>
      <w:tr>
        <w:trPr>
          <w:trHeight w:val="216"/>
        </w:trPr>
        <w:tc>
          <w:tcPr>
            <w:tcW w:w="80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60,928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22,241</w:t>
            </w:r>
          </w:p>
        </w:tc>
        <w:tc>
          <w:tcPr>
            <w:tcW w:w="1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r>
      <w:tr>
        <w:trPr>
          <w:trHeight w:val="216"/>
        </w:trPr>
        <w:tc>
          <w:tcPr>
            <w:tcW w:w="80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Municipal debt securities(1)</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170,795</w:t>
            </w:r>
          </w:p>
        </w:tc>
        <w:tc>
          <w:tcPr>
            <w:tcW w:w="32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57,650</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17.3</w:t>
            </w:r>
          </w:p>
        </w:tc>
      </w:tr>
      <w:tr>
        <w:trPr>
          <w:trHeight w:val="216"/>
        </w:trPr>
        <w:tc>
          <w:tcPr>
            <w:tcW w:w="80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241,874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125,593</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37.8</w:t>
            </w:r>
          </w:p>
        </w:tc>
      </w:tr>
      <w:tr>
        <w:trPr>
          <w:trHeight w:val="216"/>
        </w:trPr>
        <w:tc>
          <w:tcPr>
            <w:tcW w:w="80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54,207</w:t>
            </w:r>
          </w:p>
        </w:tc>
        <w:tc>
          <w:tcPr>
            <w:tcW w:w="32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18,581</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r>
      <w:tr>
        <w:trPr>
          <w:trHeight w:val="216"/>
        </w:trPr>
        <w:tc>
          <w:tcPr>
            <w:tcW w:w="80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88,710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20,385</w:t>
            </w:r>
          </w:p>
        </w:tc>
        <w:tc>
          <w:tcPr>
            <w:tcW w:w="1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r>
      <w:tr>
        <w:trPr>
          <w:trHeight w:val="216"/>
        </w:trPr>
        <w:tc>
          <w:tcPr>
            <w:tcW w:w="80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154,472</w:t>
            </w:r>
          </w:p>
        </w:tc>
        <w:tc>
          <w:tcPr>
            <w:tcW w:w="32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14,079</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r>
      <w:tr>
        <w:trPr>
          <w:trHeight w:val="223"/>
        </w:trPr>
        <w:tc>
          <w:tcPr>
            <w:tcW w:w="800" w:type="dxa"/>
            <w:vAlign w:val="bottom"/>
          </w:tcPr>
          <w:p>
            <w:pPr>
              <w:spacing w:after="0"/>
              <w:rPr>
                <w:sz w:val="19"/>
                <w:szCs w:val="19"/>
                <w:color w:val="auto"/>
              </w:rPr>
            </w:pPr>
          </w:p>
        </w:tc>
        <w:tc>
          <w:tcPr>
            <w:tcW w:w="3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845,870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332,555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8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r>
    </w:tbl>
    <w:p>
      <w:pPr>
        <w:spacing w:after="0" w:line="107" w:lineRule="exact"/>
        <w:rPr>
          <w:sz w:val="20"/>
          <w:szCs w:val="20"/>
          <w:color w:val="auto"/>
        </w:rPr>
      </w:pPr>
    </w:p>
    <w:p>
      <w:pPr>
        <w:ind w:right="300" w:firstLine="8"/>
        <w:spacing w:after="0" w:line="31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June 30, 2014, approximately 57% of municipal debt securities were special revenue bonds, 40% were general obligation bonds, 2% were tax allocation bonds, and 1% were certification of participation bonds. At December 31, 2013, all municipal debt securities were general obligation bonds. For information regarding the amortized cost and fair value of the municipal debt securities, see Note 2 to our condensed consolidated financial statements.</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Investment Portfolio by Rating</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Rating(1)</w:t>
            </w:r>
          </w:p>
        </w:tc>
        <w:tc>
          <w:tcPr>
            <w:tcW w:w="200" w:type="dxa"/>
            <w:vAlign w:val="bottom"/>
          </w:tcPr>
          <w:p>
            <w:pPr>
              <w:spacing w:after="0"/>
              <w:rPr>
                <w:sz w:val="14"/>
                <w:szCs w:val="14"/>
                <w:color w:val="auto"/>
              </w:rPr>
            </w:pPr>
          </w:p>
        </w:tc>
        <w:tc>
          <w:tcPr>
            <w:tcW w:w="1660" w:type="dxa"/>
            <w:vAlign w:val="bottom"/>
            <w:gridSpan w:val="3"/>
          </w:tcPr>
          <w:p>
            <w:pPr>
              <w:ind w:left="760"/>
              <w:spacing w:after="0"/>
              <w:rPr>
                <w:sz w:val="20"/>
                <w:szCs w:val="20"/>
                <w:color w:val="auto"/>
              </w:rPr>
            </w:pPr>
            <w:r>
              <w:rPr>
                <w:rFonts w:ascii="Arial" w:cs="Arial" w:eastAsia="Arial" w:hAnsi="Arial"/>
                <w:sz w:val="14"/>
                <w:szCs w:val="14"/>
                <w:b w:val="1"/>
                <w:bCs w:val="1"/>
                <w:color w:val="auto"/>
                <w:w w:val="96"/>
              </w:rPr>
              <w:t>June 30, 2014</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December 31, 2013</w:t>
            </w:r>
          </w:p>
        </w:tc>
      </w:tr>
      <w:tr>
        <w:trPr>
          <w:trHeight w:val="142"/>
        </w:trPr>
        <w:tc>
          <w:tcPr>
            <w:tcW w:w="1060" w:type="dxa"/>
            <w:vAlign w:val="bottom"/>
          </w:tcPr>
          <w:p>
            <w:pPr>
              <w:spacing w:after="0"/>
              <w:rPr>
                <w:sz w:val="12"/>
                <w:szCs w:val="12"/>
                <w:color w:val="auto"/>
              </w:rPr>
            </w:pPr>
          </w:p>
        </w:tc>
        <w:tc>
          <w:tcPr>
            <w:tcW w:w="22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97"/>
              </w:rPr>
              <w:t>Percent</w:t>
            </w:r>
          </w:p>
        </w:tc>
        <w:tc>
          <w:tcPr>
            <w:tcW w:w="2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CEEFF"/>
            </w:tcBorders>
            <w:gridSpan w:val="2"/>
          </w:tcPr>
          <w:p>
            <w:pPr>
              <w:spacing w:after="0"/>
              <w:rPr>
                <w:sz w:val="12"/>
                <w:szCs w:val="12"/>
                <w:color w:val="auto"/>
              </w:rPr>
            </w:pPr>
          </w:p>
        </w:tc>
      </w:tr>
      <w:tr>
        <w:trPr>
          <w:trHeight w:val="210"/>
        </w:trPr>
        <w:tc>
          <w:tcPr>
            <w:tcW w:w="106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Aaa</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436,451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147,862</w:t>
            </w:r>
          </w:p>
        </w:tc>
        <w:tc>
          <w:tcPr>
            <w:tcW w:w="2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r>
      <w:tr>
        <w:trPr>
          <w:trHeight w:val="216"/>
        </w:trPr>
        <w:tc>
          <w:tcPr>
            <w:tcW w:w="106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Aa1</w:t>
            </w: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34,913</w:t>
            </w:r>
          </w:p>
        </w:tc>
        <w:tc>
          <w:tcPr>
            <w:tcW w:w="34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21,570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Aa2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41,658</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Aa3</w:t>
            </w: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31,776</w:t>
            </w:r>
          </w:p>
        </w:tc>
        <w:tc>
          <w:tcPr>
            <w:tcW w:w="34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11,902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67,136</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26,541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A2</w:t>
            </w: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46,785</w:t>
            </w:r>
          </w:p>
        </w:tc>
        <w:tc>
          <w:tcPr>
            <w:tcW w:w="34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17,045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56,170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29,886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Baa1</w:t>
            </w: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52,043</w:t>
            </w:r>
          </w:p>
        </w:tc>
        <w:tc>
          <w:tcPr>
            <w:tcW w:w="34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24,441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Baa2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68,474</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Baa3</w:t>
            </w: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10,464</w:t>
            </w:r>
          </w:p>
        </w:tc>
        <w:tc>
          <w:tcPr>
            <w:tcW w:w="34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Below Baa3—</w:t>
            </w:r>
          </w:p>
        </w:tc>
        <w:tc>
          <w:tcPr>
            <w:tcW w:w="2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1060" w:type="dxa"/>
            <w:vAlign w:val="bottom"/>
          </w:tcPr>
          <w:p>
            <w:pPr>
              <w:spacing w:after="0"/>
              <w:rPr>
                <w:sz w:val="19"/>
                <w:szCs w:val="19"/>
                <w:color w:val="auto"/>
              </w:rPr>
            </w:pPr>
          </w:p>
        </w:tc>
        <w:tc>
          <w:tcPr>
            <w:tcW w:w="250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845,870</w:t>
            </w: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332,555</w:t>
            </w:r>
          </w:p>
        </w:tc>
        <w:tc>
          <w:tcPr>
            <w:tcW w:w="2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10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bl>
    <w:p>
      <w:pPr>
        <w:spacing w:after="0" w:line="10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Investment Portfolio by Effective Duration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Effective Duration</w:t>
            </w:r>
          </w:p>
        </w:tc>
        <w:tc>
          <w:tcPr>
            <w:tcW w:w="160" w:type="dxa"/>
            <w:vAlign w:val="bottom"/>
          </w:tcPr>
          <w:p>
            <w:pPr>
              <w:spacing w:after="0"/>
              <w:rPr>
                <w:sz w:val="14"/>
                <w:szCs w:val="14"/>
                <w:color w:val="auto"/>
              </w:rPr>
            </w:pPr>
          </w:p>
        </w:tc>
        <w:tc>
          <w:tcPr>
            <w:tcW w:w="2900" w:type="dxa"/>
            <w:vAlign w:val="bottom"/>
            <w:gridSpan w:val="6"/>
          </w:tcPr>
          <w:p>
            <w:pPr>
              <w:ind w:left="820"/>
              <w:spacing w:after="0"/>
              <w:rPr>
                <w:sz w:val="20"/>
                <w:szCs w:val="20"/>
                <w:color w:val="auto"/>
              </w:rPr>
            </w:pPr>
            <w:r>
              <w:rPr>
                <w:rFonts w:ascii="Arial" w:cs="Arial" w:eastAsia="Arial" w:hAnsi="Arial"/>
                <w:sz w:val="14"/>
                <w:szCs w:val="14"/>
                <w:b w:val="1"/>
                <w:bCs w:val="1"/>
                <w:color w:val="auto"/>
              </w:rPr>
              <w:t>June 30, 2014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December 31, 2013</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CCEEFF"/>
            </w:tcBorders>
            <w:gridSpan w:val="2"/>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gridSpan w:val="3"/>
          </w:tcPr>
          <w:p>
            <w:pPr>
              <w:jc w:val="right"/>
              <w:ind w:right="292"/>
              <w:spacing w:after="0" w:line="142" w:lineRule="exact"/>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CEEFF"/>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&lt; 1 Year</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6"/>
              </w:rPr>
              <w:t>261,123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65,092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Arial" w:cs="Arial" w:eastAsia="Arial" w:hAnsi="Arial"/>
                <w:sz w:val="18"/>
                <w:szCs w:val="18"/>
                <w:color w:val="auto"/>
              </w:rPr>
              <w:t>1 to &lt; 2 Years</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64,615</w:t>
            </w:r>
          </w:p>
        </w:tc>
        <w:tc>
          <w:tcPr>
            <w:tcW w:w="1640" w:type="dxa"/>
            <w:vAlign w:val="bottom"/>
            <w:gridSpan w:val="3"/>
          </w:tcPr>
          <w:p>
            <w:pPr>
              <w:jc w:val="right"/>
              <w:ind w:right="3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19,093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 to &lt; 3 Years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97,011</w:t>
            </w:r>
          </w:p>
        </w:tc>
        <w:tc>
          <w:tcPr>
            <w:tcW w:w="16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74,335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Arial" w:cs="Arial" w:eastAsia="Arial" w:hAnsi="Arial"/>
                <w:sz w:val="18"/>
                <w:szCs w:val="18"/>
                <w:color w:val="auto"/>
              </w:rPr>
              <w:t>3 to &lt; 4 Years</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109,829</w:t>
            </w:r>
          </w:p>
        </w:tc>
        <w:tc>
          <w:tcPr>
            <w:tcW w:w="1640" w:type="dxa"/>
            <w:vAlign w:val="bottom"/>
            <w:gridSpan w:val="3"/>
          </w:tcPr>
          <w:p>
            <w:pPr>
              <w:jc w:val="right"/>
              <w:ind w:right="3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63,214</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 to &lt; 5 Years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62,328</w:t>
            </w:r>
          </w:p>
        </w:tc>
        <w:tc>
          <w:tcPr>
            <w:tcW w:w="16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66,230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Arial" w:cs="Arial" w:eastAsia="Arial" w:hAnsi="Arial"/>
                <w:sz w:val="18"/>
                <w:szCs w:val="18"/>
                <w:color w:val="auto"/>
              </w:rPr>
              <w:t>5 or more Years</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250,964</w:t>
            </w:r>
          </w:p>
        </w:tc>
        <w:tc>
          <w:tcPr>
            <w:tcW w:w="1640" w:type="dxa"/>
            <w:vAlign w:val="bottom"/>
            <w:gridSpan w:val="3"/>
          </w:tcPr>
          <w:p>
            <w:pPr>
              <w:jc w:val="right"/>
              <w:ind w:right="3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44,591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13.4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845,870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332,555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100.0</w:t>
            </w:r>
          </w:p>
        </w:tc>
        <w:tc>
          <w:tcPr>
            <w:tcW w:w="2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tcPr>
          <w:p>
            <w:pPr>
              <w:jc w:val="right"/>
              <w:ind w:right="276"/>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gridSpan w:val="3"/>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10"/>
          </w:tcPr>
          <w:p>
            <w:pPr>
              <w:jc w:val="right"/>
              <w:ind w:right="980"/>
              <w:spacing w:after="0"/>
              <w:rPr>
                <w:sz w:val="20"/>
                <w:szCs w:val="20"/>
                <w:color w:val="auto"/>
              </w:rPr>
            </w:pPr>
            <w:r>
              <w:rPr>
                <w:rFonts w:ascii="Arial" w:cs="Arial" w:eastAsia="Arial" w:hAnsi="Arial"/>
                <w:sz w:val="18"/>
                <w:szCs w:val="18"/>
                <w:b w:val="1"/>
                <w:bCs w:val="1"/>
                <w:color w:val="auto"/>
                <w:w w:val="90"/>
              </w:rPr>
              <w:t>Top Ten Portfolio Holdings</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31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Rank</w:t>
            </w:r>
          </w:p>
        </w:tc>
        <w:tc>
          <w:tcPr>
            <w:tcW w:w="1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31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gridSpan w:val="4"/>
            <w:vMerge w:val="restart"/>
          </w:tcPr>
          <w:p>
            <w:pPr>
              <w:jc w:val="right"/>
              <w:ind w:right="1280"/>
              <w:spacing w:after="0"/>
              <w:rPr>
                <w:sz w:val="20"/>
                <w:szCs w:val="20"/>
                <w:color w:val="auto"/>
              </w:rPr>
            </w:pPr>
            <w:r>
              <w:rPr>
                <w:rFonts w:ascii="Arial" w:cs="Arial" w:eastAsia="Arial" w:hAnsi="Arial"/>
                <w:sz w:val="14"/>
                <w:szCs w:val="14"/>
                <w:b w:val="1"/>
                <w:bCs w:val="1"/>
                <w:color w:val="auto"/>
                <w:w w:val="90"/>
              </w:rPr>
              <w:t>Security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8"/>
              </w:rPr>
              <w:t>Fair Value</w:t>
            </w:r>
          </w:p>
        </w:tc>
        <w:tc>
          <w:tcPr>
            <w:tcW w:w="102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Amortized</w:t>
            </w:r>
          </w:p>
        </w:tc>
        <w:tc>
          <w:tcPr>
            <w:tcW w:w="136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rPr>
              <w:t>Unrealized</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Credit</w:t>
            </w:r>
          </w:p>
        </w:tc>
        <w:tc>
          <w:tcPr>
            <w:tcW w:w="4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3180" w:type="dxa"/>
            <w:vAlign w:val="bottom"/>
            <w:gridSpan w:val="5"/>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Cost</w:t>
            </w: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Gain (Loss)(1)</w:t>
            </w: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8"/>
              </w:rPr>
              <w:t>Rating(2)</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U.S. T-Note 2.125% 1/31/21</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$12,325</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8"/>
                <w:szCs w:val="18"/>
                <w:color w:val="auto"/>
              </w:rPr>
              <w:t>U.S. Treasury Bill 9/11/14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9,999</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Aaa</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U.S. Treasury Bill 9/18/14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8,699</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Aaa</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8"/>
                <w:szCs w:val="18"/>
                <w:color w:val="auto"/>
              </w:rPr>
              <w:t>Freddie Mac 4.0% 30 Yr MBS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7,038</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6,895</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143</w:t>
            </w: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Aaa</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US T-Note 2.625% 12/31/14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5,327</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Aaa</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1080" w:type="dxa"/>
            <w:vAlign w:val="bottom"/>
          </w:tcPr>
          <w:p>
            <w:pPr>
              <w:spacing w:after="0" w:line="201"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6"/>
          </w:tcPr>
          <w:p>
            <w:pPr>
              <w:spacing w:after="0" w:line="201" w:lineRule="exact"/>
              <w:rPr>
                <w:sz w:val="20"/>
                <w:szCs w:val="20"/>
                <w:color w:val="auto"/>
              </w:rPr>
            </w:pPr>
            <w:r>
              <w:rPr>
                <w:rFonts w:ascii="Arial" w:cs="Arial" w:eastAsia="Arial" w:hAnsi="Arial"/>
                <w:sz w:val="18"/>
                <w:szCs w:val="18"/>
                <w:color w:val="auto"/>
              </w:rPr>
              <w:t>Ally Master Owner Trust ABS 2014-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1 A1</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5,052</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5,062</w:t>
            </w: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(10)</w:t>
            </w:r>
          </w:p>
        </w:tc>
        <w:tc>
          <w:tcPr>
            <w:tcW w:w="1340" w:type="dxa"/>
            <w:vAlign w:val="bottom"/>
            <w:gridSpan w:val="3"/>
          </w:tcPr>
          <w:p>
            <w:pPr>
              <w:jc w:val="center"/>
              <w:ind w:right="46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90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Bear Stearns Commercial Mortgage</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9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Securities Trust CMBS 2007-T26 A4</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4,792</w:t>
            </w: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9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Aaa</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8"/>
                <w:szCs w:val="18"/>
                <w:color w:val="auto"/>
              </w:rPr>
              <w:t>Freddie Mac 3.0% 30 Yr MBS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4,409</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4,311</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98</w:t>
            </w: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Aaa</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90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Educational Services of America</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ABS 2014-2 A</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4,050</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Aaa</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8"/>
                <w:szCs w:val="18"/>
                <w:color w:val="auto"/>
              </w:rPr>
              <w:t>SLM Corp ABS 2004-5A A5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4,025</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4,022</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Aaa</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31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$65,482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Percent of Investment Portfolio</w:t>
            </w: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7"/>
              </w:rPr>
              <w:t>%</w:t>
            </w: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31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-3217545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-3217545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25" w:right="199" w:bottom="0" w:gutter="0" w:footer="0" w:header="0"/>
        </w:sectPr>
      </w:pPr>
    </w:p>
    <w:bookmarkStart w:id="27" w:name="page28"/>
    <w:bookmarkEnd w:id="27"/>
    <w:p>
      <w:pPr>
        <w:ind w:left="660" w:right="100" w:hanging="328"/>
        <w:spacing w:after="0" w:line="259" w:lineRule="auto"/>
        <w:tabs>
          <w:tab w:leader="none" w:pos="667"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t>As of June 30, 2014, for securities in unrealized loss positions, management believes decline in fair values is principally associated with the changes in the interest rate environment subsequent to their purchase and there are no other-than-temporary impairments. Also, see Note 2 to our condensed consolidated financial statements, which summarizes the aggregate amount of gross unrealized losses by asset class in which the fair value of investments has been less than cost for more than 12 months and less than 12 months.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Rank</w:t>
            </w:r>
          </w:p>
        </w:tc>
        <w:tc>
          <w:tcPr>
            <w:tcW w:w="3120" w:type="dxa"/>
            <w:vAlign w:val="bottom"/>
            <w:tcBorders>
              <w:bottom w:val="single" w:sz="8" w:color="auto"/>
            </w:tcBorders>
            <w:gridSpan w:val="2"/>
          </w:tcPr>
          <w:p>
            <w:pPr>
              <w:ind w:left="1660"/>
              <w:spacing w:after="0"/>
              <w:rPr>
                <w:sz w:val="20"/>
                <w:szCs w:val="20"/>
                <w:color w:val="auto"/>
              </w:rPr>
            </w:pPr>
            <w:r>
              <w:rPr>
                <w:rFonts w:ascii="Arial" w:cs="Arial" w:eastAsia="Arial" w:hAnsi="Arial"/>
                <w:sz w:val="14"/>
                <w:szCs w:val="14"/>
                <w:b w:val="1"/>
                <w:bCs w:val="1"/>
                <w:color w:val="auto"/>
              </w:rPr>
              <w:t>December 31, 2013</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3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3120" w:type="dxa"/>
            <w:vAlign w:val="bottom"/>
            <w:gridSpan w:val="2"/>
          </w:tcPr>
          <w:p>
            <w:pPr>
              <w:ind w:left="1160"/>
              <w:spacing w:after="0" w:line="142" w:lineRule="exact"/>
              <w:rPr>
                <w:sz w:val="20"/>
                <w:szCs w:val="20"/>
                <w:color w:val="auto"/>
              </w:rPr>
            </w:pPr>
            <w:r>
              <w:rPr>
                <w:rFonts w:ascii="Arial" w:cs="Arial" w:eastAsia="Arial" w:hAnsi="Arial"/>
                <w:sz w:val="14"/>
                <w:szCs w:val="14"/>
                <w:b w:val="1"/>
                <w:bCs w:val="1"/>
                <w:color w:val="auto"/>
              </w:rPr>
              <w:t>Security</w:t>
            </w:r>
          </w:p>
        </w:tc>
        <w:tc>
          <w:tcPr>
            <w:tcW w:w="220" w:type="dxa"/>
            <w:vAlign w:val="bottom"/>
          </w:tcPr>
          <w:p>
            <w:pPr>
              <w:spacing w:after="0"/>
              <w:rPr>
                <w:sz w:val="12"/>
                <w:szCs w:val="12"/>
                <w:color w:val="auto"/>
              </w:rPr>
            </w:pPr>
          </w:p>
        </w:tc>
        <w:tc>
          <w:tcPr>
            <w:tcW w:w="114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T-Note 2% 4/30/2016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8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U.S. T-Note 2.125% 2/29/2016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6,442</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T-Note 2.625% 12/31/2014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1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U.S. T-Note 2.375% 6/30/2018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4,874</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T-Note 1.625% 8/15/2022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Goldman Sachs CMBS 2007-1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4,392</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T-Note 1.375% 9/30/2018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U.S. T-Note 3.625% 2/15/2021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3,885</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Freddie Mac 3.0% 30 Yr MBS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Scholar Funding ABS 2013-A</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80" w:type="dxa"/>
            <w:vAlign w:val="bottom"/>
            <w:tcBorders>
              <w:bottom w:val="single" w:sz="8" w:color="CCEEFF"/>
            </w:tcBorders>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47,462</w:t>
            </w:r>
          </w:p>
        </w:tc>
        <w:tc>
          <w:tcPr>
            <w:tcW w:w="180" w:type="dxa"/>
            <w:vAlign w:val="bottom"/>
            <w:tcBorders>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 of Investment Portfolio</w:t>
            </w:r>
          </w:p>
        </w:tc>
        <w:tc>
          <w:tcPr>
            <w:tcW w:w="2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00" w:type="dxa"/>
            <w:vAlign w:val="bottom"/>
          </w:tcPr>
          <w:p>
            <w:pPr>
              <w:spacing w:after="0"/>
              <w:rPr>
                <w:sz w:val="17"/>
                <w:szCs w:val="17"/>
                <w:color w:val="auto"/>
              </w:rPr>
            </w:pPr>
          </w:p>
        </w:tc>
        <w:tc>
          <w:tcPr>
            <w:tcW w:w="3700" w:type="dxa"/>
            <w:vAlign w:val="bottom"/>
            <w:gridSpan w:val="2"/>
            <w:vMerge w:val="continue"/>
          </w:tcPr>
          <w:p>
            <w:pPr>
              <w:spacing w:after="0"/>
              <w:rPr>
                <w:sz w:val="17"/>
                <w:szCs w:val="17"/>
                <w:color w:val="auto"/>
              </w:rPr>
            </w:pPr>
          </w:p>
        </w:tc>
        <w:tc>
          <w:tcPr>
            <w:tcW w:w="2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14.3</w:t>
            </w:r>
          </w:p>
        </w:tc>
        <w:tc>
          <w:tcPr>
            <w:tcW w:w="18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vMerge w:val="restart"/>
          </w:tcPr>
          <w:p>
            <w:pPr>
              <w:ind w:left="62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municipal debt securities for states that represent more than 10% of the total municipal bond position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9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Texas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City of Houston TX</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4,131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4,040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Dallas/Fort Worth International Airport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The University of Texas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Cypress-Fairbanks Independent School District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Harris County Cultural Education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1,999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Alamo Community College District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Alvin Independent School District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Texas Transportation Commission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County of Dallas TX</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1,142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Pasadena Independent School District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Tarrant County Cultural Education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1,106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of Texas Public Finance Authority</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County of Rockwall TX</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823</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2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City of El Paso TX</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North Texas Tollway Authority</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New York City Transitional Finance Authority</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3,860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3,794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York State Urban Development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Metropolitan Transportation Authority</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2,381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Port Authority of New York &amp; New Jersey</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City of New York NY</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2,338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County of Albany NY</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New York City Water and Sewer System</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1,687</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York State Dormitory Authority</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Town of Oyster Bay NY</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1,166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Triborough Bridge &amp; Tunnel Authority</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20,484</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80" w:hanging="652"/>
        <w:spacing w:after="0" w:line="277" w:lineRule="auto"/>
        <w:tabs>
          <w:tab w:leader="none" w:pos="6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is not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We lease office space for use in our operations under leases accounted for as operating leases. In May 2014, we amended our existing lease</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agreement for our office space in North Carolina and extended the lease term to 2025. As a result, our operating lease obligations increased in total by $10.7</w:t>
      </w:r>
    </w:p>
    <w:p>
      <w:pPr>
        <w:sectPr>
          <w:pgSz w:w="11900" w:h="16838" w:orient="portrait"/>
          <w:cols w:equalWidth="0" w:num="1">
            <w:col w:w="11460"/>
          </w:cols>
          <w:pgMar w:left="240" w:top="571" w:right="199" w:bottom="0" w:gutter="0" w:footer="0" w:header="0"/>
        </w:sectPr>
      </w:pPr>
    </w:p>
    <w:bookmarkStart w:id="28" w:name="page29"/>
    <w:bookmarkEnd w:id="28"/>
    <w:p>
      <w:pPr>
        <w:ind w:right="400"/>
        <w:spacing w:after="0" w:line="277" w:lineRule="auto"/>
        <w:rPr>
          <w:sz w:val="20"/>
          <w:szCs w:val="20"/>
          <w:color w:val="auto"/>
        </w:rPr>
      </w:pPr>
      <w:r>
        <w:rPr>
          <w:rFonts w:ascii="Arial" w:cs="Arial" w:eastAsia="Arial" w:hAnsi="Arial"/>
          <w:sz w:val="18"/>
          <w:szCs w:val="18"/>
          <w:color w:val="auto"/>
        </w:rPr>
        <w:t>million. As of June 30, 2014, the increased payments are expected to be due as follows: $0 due in less than 1 year, $1.8 million due in 1 to 3 years, $2.0 million due in 3 to 5 years, and $6.9 million due in 5 years and later.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jc w:val="both"/>
        <w:ind w:left="980" w:right="80" w:hanging="324"/>
        <w:spacing w:after="0" w:line="302" w:lineRule="auto"/>
        <w:tabs>
          <w:tab w:leader="none" w:pos="944"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color w:val="auto"/>
        </w:rPr>
      </w:pPr>
    </w:p>
    <w:p>
      <w:pPr>
        <w:ind w:left="980" w:right="580" w:hanging="324"/>
        <w:spacing w:after="0" w:line="27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may have unforeseen impacts on the value of certain assets.</w:t>
      </w:r>
    </w:p>
    <w:p>
      <w:pPr>
        <w:spacing w:after="0" w:line="170" w:lineRule="exact"/>
        <w:rPr>
          <w:rFonts w:ascii="Arial" w:cs="Arial" w:eastAsia="Arial" w:hAnsi="Arial"/>
          <w:sz w:val="18"/>
          <w:szCs w:val="18"/>
          <w:color w:val="auto"/>
        </w:rPr>
      </w:pPr>
    </w:p>
    <w:p>
      <w:pPr>
        <w:ind w:left="980" w:right="220" w:hanging="324"/>
        <w:spacing w:after="0" w:line="342" w:lineRule="auto"/>
        <w:tabs>
          <w:tab w:leader="none" w:pos="944"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 party (e.g., rating agency) assessments, will reduce the value and potentially the liquidity of investments.</w:t>
      </w:r>
    </w:p>
    <w:p>
      <w:pPr>
        <w:spacing w:after="0" w:line="123" w:lineRule="exact"/>
        <w:rPr>
          <w:rFonts w:ascii="Arial" w:cs="Arial" w:eastAsia="Arial" w:hAnsi="Arial"/>
          <w:sz w:val="16"/>
          <w:szCs w:val="16"/>
          <w:color w:val="auto"/>
        </w:rPr>
      </w:pPr>
    </w:p>
    <w:p>
      <w:pPr>
        <w:ind w:left="980" w:right="100" w:hanging="324"/>
        <w:spacing w:after="0" w:line="342" w:lineRule="auto"/>
        <w:tabs>
          <w:tab w:leader="none" w:pos="944"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color w:val="auto"/>
        </w:rPr>
      </w:pPr>
    </w:p>
    <w:p>
      <w:pPr>
        <w:ind w:left="980" w:right="340" w:hanging="324"/>
        <w:spacing w:after="0" w:line="27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At June 30, 2014, the effective duration of our investment portfolio, including cash, was 3.3 years, which means that an instantaneous parallel shift (movement up or down) in the yield curve of 100 basis points would result in a change of 3.3% in fair value of our investment portfolio. Excluding cash, our investment portfolio effective duration was 4.1 years, which means that an instantaneous parallel shift (movement up or down) in the yield curve of 100 basis points would result in a change of 4.1% in fair value of our investment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ectPr>
          <w:pgSz w:w="11900" w:h="16838" w:orient="portrait"/>
          <w:cols w:equalWidth="0" w:num="1">
            <w:col w:w="11380"/>
          </w:cols>
          <w:pgMar w:left="240" w:top="125" w:right="279" w:bottom="0" w:gutter="0" w:footer="0" w:header="0"/>
        </w:sectPr>
      </w:pPr>
    </w:p>
    <w:bookmarkStart w:id="29" w:name="page30"/>
    <w:bookmarkEnd w:id="29"/>
    <w:p>
      <w:pPr>
        <w:ind w:right="60"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2013.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June 30, 2014.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8"/>
              </w:rPr>
              <w:t>Average Price</w:t>
            </w:r>
          </w:p>
        </w:tc>
        <w:tc>
          <w:tcPr>
            <w:tcW w:w="14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Paid Per Share</w:t>
            </w:r>
          </w:p>
        </w:tc>
        <w:tc>
          <w:tcPr>
            <w:tcW w:w="148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or Programs</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2014</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May 1 - May 31, 2014</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2,093</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19.13</w:t>
            </w:r>
          </w:p>
        </w:tc>
        <w:tc>
          <w:tcPr>
            <w:tcW w:w="148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 2014</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20.29</w:t>
            </w:r>
          </w:p>
        </w:tc>
        <w:tc>
          <w:tcPr>
            <w:tcW w:w="1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7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November 5, 2013, we completed an initial public offering of an aggregate of 22,666,635 Common Shares at a price of $17.00 per share for an aggregate offering price of $385,332,795. On that date, we issued and sold 19,956,517 shares, including 2,956,517 shares pursuant to the underwriters’ exercise of their option to purchase additional shares, and certain of our shareholders sold an additional 2,710,118 shares, and the offering terminated. Goldman, Sachs &amp; Co., J.P. Morgan Securities LLC, and Barclays Capital Inc. served as joint representatives of the several underwriters for the offering. As a result of the initial public offering, we raised approximately $313.7 million in net proceeds, after deducting underwriting discounts and commissions of approximately $21.5 million and estimated expenses in connection with the offering of approximately $4 million. We did not receive any proceeds from the sale of shares by the selling shareholders. No payments were made by us to our directors, officers or any of their associates, persons owning 10% or more of our Common Shares, or their associates, or our affiliates, except for approximately $11.7 million that was paid in the aggregate in underwriting discounts and commissions to Goldman, Sachs &amp; Co. and J.P. Morgan Securities LLC, affiliates of which owned more than 11% and 8%, respectively, of our outstanding capital immediately prior to our initial public offering. We believe that the services performed by Goldman, Sachs &amp; Co. and J.P. Morgan Securities LLC in connection with the above offering were provided on terms no more or less favorable than those with unrelated parties.</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June 30, 2014, we have contributed in the aggregate approximately $150 million (including approximately $40 million during the three months ended June 30, 2014) of our net proceeds from the offering to our U.S. insurance subsidiaries as capital investments. The remaining portion of the net proceeds has been utilized as temporary investments in cash and cash equivalents. There has been no material change in the planned use of proceeds from our initial public offering as described in our final prospectus filed with the SEC pursuant to Rule 424(b).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16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10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Certification of Chief Executive Officer required by Rule 13a-14(a) or Rule 15d-14(a) of the Securities Exchange Act of 1934, as adopted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Certification of Chief Financial Officer required by Rule 13a-14(a) or Rule 15d-14(a) of the Securities Exchange Act of 1934, as adopted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1350, as adopted pursuant to Section 906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1260" w:type="dxa"/>
            <w:vAlign w:val="bottom"/>
            <w:gridSpan w:val="3"/>
          </w:tcPr>
          <w:p>
            <w:pPr>
              <w:spacing w:after="0"/>
              <w:rPr>
                <w:sz w:val="20"/>
                <w:szCs w:val="20"/>
                <w:color w:val="auto"/>
              </w:rPr>
            </w:pPr>
            <w:r>
              <w:rPr>
                <w:rFonts w:ascii="Arial" w:cs="Arial" w:eastAsia="Arial" w:hAnsi="Arial"/>
                <w:sz w:val="18"/>
                <w:szCs w:val="18"/>
                <w:color w:val="auto"/>
              </w:rPr>
              <w:t>101†</w:t>
            </w:r>
          </w:p>
        </w:tc>
        <w:tc>
          <w:tcPr>
            <w:tcW w:w="10160" w:type="dxa"/>
            <w:vAlign w:val="bottom"/>
          </w:tcPr>
          <w:p>
            <w:pPr>
              <w:spacing w:after="0"/>
              <w:rPr>
                <w:sz w:val="20"/>
                <w:szCs w:val="20"/>
                <w:color w:val="auto"/>
              </w:rPr>
            </w:pPr>
            <w:r>
              <w:rPr>
                <w:rFonts w:ascii="Arial" w:cs="Arial" w:eastAsia="Arial" w:hAnsi="Arial"/>
                <w:sz w:val="18"/>
                <w:szCs w:val="18"/>
                <w:color w:val="auto"/>
                <w:w w:val="96"/>
              </w:rPr>
              <w:t>The following financial information from this Quarterly Report on Form 10-Q for the quarter ended June 30, 2014, formatted in XBRL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(Extensible Business Reporting Language) and filed electronically herewith: (i) the Condensed Consolidated Balance Sheets (Unaudited);</w:t>
            </w:r>
          </w:p>
        </w:tc>
        <w:tc>
          <w:tcPr>
            <w:tcW w:w="0" w:type="dxa"/>
            <w:vAlign w:val="bottom"/>
          </w:tcPr>
          <w:p>
            <w:pPr>
              <w:spacing w:after="0"/>
              <w:rPr>
                <w:sz w:val="1"/>
                <w:szCs w:val="1"/>
                <w:color w:val="auto"/>
              </w:rPr>
            </w:pPr>
          </w:p>
        </w:tc>
      </w:tr>
    </w:tbl>
    <w:p>
      <w:pPr>
        <w:ind w:left="1260" w:right="60"/>
        <w:spacing w:after="0" w:line="255" w:lineRule="auto"/>
        <w:rPr>
          <w:sz w:val="20"/>
          <w:szCs w:val="20"/>
          <w:color w:val="auto"/>
        </w:rPr>
      </w:pPr>
      <w:r>
        <w:rPr>
          <w:rFonts w:ascii="Arial" w:cs="Arial" w:eastAsia="Arial" w:hAnsi="Arial"/>
          <w:sz w:val="18"/>
          <w:szCs w:val="18"/>
          <w:color w:val="auto"/>
        </w:rPr>
        <w:t>(ii)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 tagged as blocks of text.</w:t>
      </w:r>
    </w:p>
    <w:p>
      <w:pPr>
        <w:spacing w:after="0" w:line="200" w:lineRule="exact"/>
        <w:rPr>
          <w:sz w:val="20"/>
          <w:szCs w:val="20"/>
          <w:color w:val="auto"/>
        </w:rPr>
      </w:pPr>
    </w:p>
    <w:p>
      <w:pPr>
        <w:spacing w:after="0" w:line="219" w:lineRule="exact"/>
        <w:rPr>
          <w:sz w:val="20"/>
          <w:szCs w:val="20"/>
          <w:color w:val="auto"/>
        </w:rPr>
      </w:pPr>
    </w:p>
    <w:p>
      <w:pPr>
        <w:ind w:left="1260" w:right="40" w:hanging="1252"/>
        <w:spacing w:after="0" w:line="286" w:lineRule="auto"/>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applicable securities laws and regulations, this interactive data file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30" w:name="page31"/>
    <w:bookmarkEnd w:id="30"/>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ESSENT GROUP LTD.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560" w:type="dxa"/>
            <w:vAlign w:val="bottom"/>
            <w:gridSpan w:val="5"/>
          </w:tcPr>
          <w:p>
            <w:pPr>
              <w:spacing w:after="0"/>
              <w:rPr>
                <w:sz w:val="20"/>
                <w:szCs w:val="20"/>
                <w:color w:val="auto"/>
              </w:rPr>
            </w:pPr>
            <w:r>
              <w:rPr>
                <w:rFonts w:ascii="Arial" w:cs="Arial" w:eastAsia="Arial" w:hAnsi="Arial"/>
                <w:sz w:val="18"/>
                <w:szCs w:val="18"/>
                <w:color w:val="auto"/>
              </w:rPr>
              <w:t>Date: August 14, 2014</w:t>
            </w:r>
          </w:p>
        </w:tc>
        <w:tc>
          <w:tcPr>
            <w:tcW w:w="28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CASALE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Mark A. Casale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President, Chief Executive Officer and Chairman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560" w:type="dxa"/>
            <w:vAlign w:val="bottom"/>
            <w:gridSpan w:val="5"/>
          </w:tcPr>
          <w:p>
            <w:pPr>
              <w:spacing w:after="0"/>
              <w:rPr>
                <w:sz w:val="20"/>
                <w:szCs w:val="20"/>
                <w:color w:val="auto"/>
              </w:rPr>
            </w:pPr>
            <w:r>
              <w:rPr>
                <w:rFonts w:ascii="Arial" w:cs="Arial" w:eastAsia="Arial" w:hAnsi="Arial"/>
                <w:sz w:val="18"/>
                <w:szCs w:val="18"/>
                <w:color w:val="auto"/>
              </w:rPr>
              <w:t>Date: August 14, 2014</w:t>
            </w:r>
          </w:p>
        </w:tc>
        <w:tc>
          <w:tcPr>
            <w:tcW w:w="28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E. MCALEE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Lawrence E. McAlee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560" w:type="dxa"/>
            <w:vAlign w:val="bottom"/>
            <w:gridSpan w:val="5"/>
          </w:tcPr>
          <w:p>
            <w:pPr>
              <w:spacing w:after="0"/>
              <w:rPr>
                <w:sz w:val="20"/>
                <w:szCs w:val="20"/>
                <w:color w:val="auto"/>
              </w:rPr>
            </w:pPr>
            <w:r>
              <w:rPr>
                <w:rFonts w:ascii="Arial" w:cs="Arial" w:eastAsia="Arial" w:hAnsi="Arial"/>
                <w:sz w:val="18"/>
                <w:szCs w:val="18"/>
                <w:color w:val="auto"/>
              </w:rPr>
              <w:t>Date: August 14, 2014</w:t>
            </w:r>
          </w:p>
        </w:tc>
        <w:tc>
          <w:tcPr>
            <w:tcW w:w="28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WEINSTOCK</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David B. Weinstock</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Vice President and Chief Accounting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gridSpan w:val="2"/>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5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56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140" w:type="dxa"/>
            <w:vAlign w:val="bottom"/>
            <w:gridSpan w:val="3"/>
          </w:tcPr>
          <w:p>
            <w:pPr>
              <w:jc w:val="center"/>
              <w:ind w:right="1171"/>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6"/>
                <w:szCs w:val="16"/>
                <w:color w:val="auto"/>
              </w:rPr>
            </w:pPr>
          </w:p>
        </w:tc>
        <w:tc>
          <w:tcPr>
            <w:tcW w:w="1016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3"/>
              </w:rPr>
              <w:t>Certification of Chief Executive Officer required by Rule 13a-14(a) or Rule 15d-14(a) of the Securities Exchange Act of 1934, as adopted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w w:val="91"/>
              </w:rPr>
              <w:t>pursuant to Section 302 of the Sarbanes-Oxley Act of 2002</w:t>
            </w:r>
          </w:p>
        </w:tc>
        <w:tc>
          <w:tcPr>
            <w:tcW w:w="2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4"/>
              </w:rPr>
              <w:t>Certification of Chief Financial Officer required by Rule 13a-14(a) or Rule 15d-14(a) of the Securities Exchange Act of 1934, as adopted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w w:val="91"/>
              </w:rPr>
              <w:t>pursuant to Section 302 of the Sarbanes-Oxley Act of 2002</w:t>
            </w:r>
          </w:p>
        </w:tc>
        <w:tc>
          <w:tcPr>
            <w:tcW w:w="2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1350, as adopted pursuant to Section 906 of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spacing w:after="0"/>
              <w:rPr>
                <w:sz w:val="20"/>
                <w:szCs w:val="20"/>
                <w:color w:val="auto"/>
              </w:rPr>
            </w:pPr>
            <w:r>
              <w:rPr>
                <w:rFonts w:ascii="Arial" w:cs="Arial" w:eastAsia="Arial" w:hAnsi="Arial"/>
                <w:sz w:val="18"/>
                <w:szCs w:val="18"/>
                <w:color w:val="auto"/>
              </w:rPr>
              <w:t>101†</w:t>
            </w:r>
          </w:p>
        </w:tc>
        <w:tc>
          <w:tcPr>
            <w:tcW w:w="10160" w:type="dxa"/>
            <w:vAlign w:val="bottom"/>
            <w:gridSpan w:val="4"/>
          </w:tcPr>
          <w:p>
            <w:pPr>
              <w:spacing w:after="0"/>
              <w:rPr>
                <w:sz w:val="20"/>
                <w:szCs w:val="20"/>
                <w:color w:val="auto"/>
              </w:rPr>
            </w:pPr>
            <w:r>
              <w:rPr>
                <w:rFonts w:ascii="Arial" w:cs="Arial" w:eastAsia="Arial" w:hAnsi="Arial"/>
                <w:sz w:val="18"/>
                <w:szCs w:val="18"/>
                <w:color w:val="auto"/>
                <w:w w:val="96"/>
              </w:rPr>
              <w:t>The following financial information from this Quarterly Report on Form 10-Q for the quarter ended June 30, 2014, formatted in XBRL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2"/>
              </w:rPr>
              <w:t>(Extensible Business Reporting Language) and filed electronically herewith: (i) the Condensed Consolidated Balance Sheets (Unaudited);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-2094230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-2094230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260" w:right="100"/>
        <w:spacing w:after="0" w:line="255" w:lineRule="auto"/>
        <w:rPr>
          <w:sz w:val="20"/>
          <w:szCs w:val="20"/>
          <w:color w:val="auto"/>
        </w:rPr>
      </w:pPr>
      <w:r>
        <w:rPr>
          <w:rFonts w:ascii="Arial" w:cs="Arial" w:eastAsia="Arial" w:hAnsi="Arial"/>
          <w:sz w:val="18"/>
          <w:szCs w:val="18"/>
          <w:color w:val="auto"/>
        </w:rPr>
        <w:t>(ii)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 tagged as blocks of text.</w:t>
      </w:r>
    </w:p>
    <w:p>
      <w:pPr>
        <w:spacing w:after="0" w:line="200" w:lineRule="exact"/>
        <w:rPr>
          <w:sz w:val="20"/>
          <w:szCs w:val="20"/>
          <w:color w:val="auto"/>
        </w:rPr>
      </w:pPr>
    </w:p>
    <w:p>
      <w:pPr>
        <w:spacing w:after="0" w:line="219" w:lineRule="exact"/>
        <w:rPr>
          <w:sz w:val="20"/>
          <w:szCs w:val="20"/>
          <w:color w:val="auto"/>
        </w:rPr>
      </w:pPr>
    </w:p>
    <w:p>
      <w:pPr>
        <w:ind w:left="1260" w:right="80" w:hanging="1252"/>
        <w:spacing w:after="0" w:line="286"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applicable securities laws and regulations, this interactive data file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25"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right="360" w:hanging="652"/>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660" w:right="30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1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80" w:hanging="644"/>
        <w:spacing w:after="0" w:line="342" w:lineRule="auto"/>
        <w:tabs>
          <w:tab w:leader="none" w:pos="129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644"/>
        <w:spacing w:after="0" w:line="277" w:lineRule="auto"/>
        <w:tabs>
          <w:tab w:leader="none" w:pos="13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A. CASALE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25"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right="360" w:hanging="652"/>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660" w:right="30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7"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1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80" w:hanging="644"/>
        <w:spacing w:after="0" w:line="342" w:lineRule="auto"/>
        <w:tabs>
          <w:tab w:leader="none" w:pos="129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644"/>
        <w:spacing w:after="0" w:line="277" w:lineRule="auto"/>
        <w:tabs>
          <w:tab w:leader="none" w:pos="130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MCALEE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left="660" w:right="420" w:hanging="652"/>
        <w:spacing w:after="0" w:line="277" w:lineRule="auto"/>
        <w:tabs>
          <w:tab w:leader="none" w:pos="6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2014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380" w:firstLine="8"/>
        <w:spacing w:after="0" w:line="50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14, 2014</w:t>
      </w:r>
    </w:p>
    <w:p>
      <w:pPr>
        <w:spacing w:after="0"/>
        <w:rPr>
          <w:sz w:val="20"/>
          <w:szCs w:val="20"/>
          <w:color w:val="auto"/>
        </w:rPr>
      </w:pPr>
      <w:r>
        <w:rPr>
          <w:rFonts w:ascii="Arial" w:cs="Arial" w:eastAsia="Arial" w:hAnsi="Arial"/>
          <w:sz w:val="18"/>
          <w:szCs w:val="18"/>
          <w:color w:val="auto"/>
        </w:rPr>
        <w:t>/s/ MARK A. CASALE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LAWRENCE E. MCALEE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2020-01-28T05:14:36Z</dcterms:created>
  <dcterms:modified xsi:type="dcterms:W3CDTF">2020-01-28T05:14:36Z</dcterms:modified>
</cp:coreProperties>
</file>