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6"/>
        </w:rPr>
        <w:t>FORM 8-K</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ESSENT GROUP LTD.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87" w:type="dxa"/>
        <w:jc w:val="center"/>
        <w:tblInd w:w="0" w:type="dxa"/>
        <w:tblLayout w:type="fixed"/>
        <w:tblCellMar>
          <w:top w:w="28" w:type="dxa"/>
          <w:left w:w="28" w:type="dxa"/>
          <w:bottom w:w="28" w:type="dxa"/>
          <w:right w:w="28" w:type="dxa"/>
        </w:tblCellMar>
      </w:tblPr>
      <w:tblGrid>
        <w:gridCol w:w="640"/>
        <w:gridCol w:w="561"/>
        <w:gridCol w:w="568"/>
        <w:gridCol w:w="109"/>
        <w:gridCol w:w="109"/>
        <w:gridCol w:w="109"/>
        <w:gridCol w:w="662"/>
        <w:gridCol w:w="662"/>
        <w:gridCol w:w="670"/>
        <w:gridCol w:w="109"/>
        <w:gridCol w:w="109"/>
        <w:gridCol w:w="109"/>
        <w:gridCol w:w="781"/>
        <w:gridCol w:w="781"/>
        <w:gridCol w:w="1108"/>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001-36157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 Church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Hamilton HM11, Bermuda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(441) 297</w:t>
        <w:noBreakHyphen/>
        <w:t xml:space="preserve">9901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p>
      <w:pPr>
        <w:pStyle w:val="TextBody"/>
        <w:bidi w:val="0"/>
        <w:spacing w:lineRule="auto" w:line="288" w:before="0" w:after="0"/>
        <w:ind w:left="0" w:right="0" w:firstLine="198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w:t>
      </w:r>
    </w:p>
    <w:p>
      <w:pPr>
        <w:pStyle w:val="TextBody"/>
        <w:bidi w:val="0"/>
        <w:spacing w:lineRule="auto" w:line="288" w:before="0" w:after="0"/>
        <w:jc w:val="left"/>
        <w:rPr/>
      </w:pPr>
      <w:r>
        <w:rPr>
          <w:rFonts w:ascii="Times New Roman;serif" w:hAnsi="Times New Roman;serif"/>
          <w:b w:val="false"/>
          <w:color w:val="000000"/>
          <w:sz w:val="20"/>
        </w:rPr>
        <w:t xml:space="preserve">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11" w:type="dxa"/>
        <w:jc w:val="center"/>
        <w:tblInd w:w="0" w:type="dxa"/>
        <w:tblLayout w:type="fixed"/>
        <w:tblCellMar>
          <w:top w:w="28" w:type="dxa"/>
          <w:left w:w="28" w:type="dxa"/>
          <w:bottom w:w="28" w:type="dxa"/>
          <w:right w:w="28" w:type="dxa"/>
        </w:tblCellMar>
      </w:tblPr>
      <w:tblGrid>
        <w:gridCol w:w="1046"/>
        <w:gridCol w:w="921"/>
        <w:gridCol w:w="927"/>
        <w:gridCol w:w="109"/>
        <w:gridCol w:w="109"/>
        <w:gridCol w:w="109"/>
        <w:gridCol w:w="294"/>
        <w:gridCol w:w="294"/>
        <w:gridCol w:w="296"/>
        <w:gridCol w:w="109"/>
        <w:gridCol w:w="109"/>
        <w:gridCol w:w="109"/>
        <w:gridCol w:w="1019"/>
        <w:gridCol w:w="1019"/>
        <w:gridCol w:w="144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7, 2026, Essent Group Ltd. (the “Company”) issued a press release announcing its financial results for the quarter ended June 30, 2026. A copy of this press release is furnished as Exhibit 99.1 to this report.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report, including Exhibit 99.1, has been “furnished” and shall not be deemed “filed” for purposes of Section 18 of the Securities Exchange Act of 1934, as amended (the “Exchange Act”), or otherwise subject to liability under that section. The information in this report shall not be incorporated by reference into any filing or other document under the Securities Act of 1933, as amended, or the Exchange Act, except as shall be expressly set forth by specific reference in such filing or document.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186" w:type="dxa"/>
        <w:jc w:val="center"/>
        <w:tblInd w:w="0" w:type="dxa"/>
        <w:tblLayout w:type="fixed"/>
        <w:tblCellMar>
          <w:top w:w="28" w:type="dxa"/>
          <w:left w:w="28" w:type="dxa"/>
          <w:bottom w:w="28" w:type="dxa"/>
          <w:right w:w="28" w:type="dxa"/>
        </w:tblCellMar>
      </w:tblPr>
      <w:tblGrid>
        <w:gridCol w:w="125"/>
        <w:gridCol w:w="110"/>
        <w:gridCol w:w="110"/>
        <w:gridCol w:w="246"/>
        <w:gridCol w:w="246"/>
        <w:gridCol w:w="34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152" w:type="dxa"/>
        <w:jc w:val="center"/>
        <w:tblInd w:w="0" w:type="dxa"/>
        <w:tblLayout w:type="fixed"/>
        <w:tblCellMar>
          <w:top w:w="28" w:type="dxa"/>
          <w:left w:w="28" w:type="dxa"/>
          <w:bottom w:w="28" w:type="dxa"/>
          <w:right w:w="28" w:type="dxa"/>
        </w:tblCellMar>
      </w:tblPr>
      <w:tblGrid>
        <w:gridCol w:w="266"/>
        <w:gridCol w:w="234"/>
        <w:gridCol w:w="236"/>
        <w:gridCol w:w="109"/>
        <w:gridCol w:w="109"/>
        <w:gridCol w:w="109"/>
        <w:gridCol w:w="1118"/>
        <w:gridCol w:w="1118"/>
        <w:gridCol w:w="1118"/>
        <w:gridCol w:w="1118"/>
        <w:gridCol w:w="1118"/>
        <w:gridCol w:w="1124"/>
        <w:gridCol w:w="696"/>
        <w:gridCol w:w="696"/>
        <w:gridCol w:w="98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2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63026financialsupplement.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issued by Essent Group Ltd. on August 7, 2026.</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64" w:after="283"/>
        <w:ind w:left="0" w:right="0" w:firstLine="94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Date: August 7, 2026</w:t>
      </w:r>
      <w:r>
        <w:rPr>
          <w:color w:val="000000"/>
        </w:rPr>
        <w:t xml:space="preserve"> </w:t>
      </w:r>
    </w:p>
    <w:p>
      <w:pPr>
        <w:pStyle w:val="TextBody"/>
        <w:bidi w:val="0"/>
        <w:spacing w:before="0" w:after="0"/>
        <w:ind w:left="0" w:right="0" w:firstLine="3960"/>
        <w:jc w:val="left"/>
        <w:rPr/>
      </w:pPr>
      <w:r>
        <w:rPr/>
      </w:r>
    </w:p>
    <w:p>
      <w:pPr>
        <w:pStyle w:val="TextBody"/>
        <w:bidi w:val="0"/>
        <w:spacing w:lineRule="auto" w:line="288" w:before="0" w:after="0"/>
        <w:ind w:left="0" w:right="0" w:firstLine="3960"/>
        <w:jc w:val="left"/>
        <w:rPr>
          <w:rFonts w:ascii="Times New Roman;serif" w:hAnsi="Times New Roman;serif"/>
          <w:b/>
          <w:color w:val="000000"/>
          <w:sz w:val="20"/>
        </w:rPr>
      </w:pPr>
      <w:r>
        <w:rPr>
          <w:rFonts w:ascii="Times New Roman;serif" w:hAnsi="Times New Roman;serif"/>
          <w:b/>
          <w:color w:val="000000"/>
          <w:sz w:val="20"/>
        </w:rPr>
        <w:t>ESSENT GROUP LTD.</w:t>
      </w:r>
    </w:p>
    <w:p>
      <w:pPr>
        <w:pStyle w:val="TextBody"/>
        <w:bidi w:val="0"/>
        <w:spacing w:before="0" w:after="0"/>
        <w:ind w:left="0" w:right="0" w:firstLine="39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David B. Weinstock</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Name: David B. Weinstock</w:t>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Exhibit 99.1</w:t>
      </w:r>
    </w:p>
    <w:p>
      <w:pPr>
        <w:pStyle w:val="TextBody"/>
        <w:bidi w:val="0"/>
        <w:spacing w:before="0" w:after="0"/>
        <w:jc w:val="right"/>
        <w:rPr/>
      </w:pPr>
      <w:r>
        <w:rPr/>
      </w:r>
    </w:p>
    <w:p>
      <w:pPr>
        <w:pStyle w:val="TextBody"/>
        <w:bidi w:val="0"/>
        <w:spacing w:lineRule="auto" w:line="288" w:before="240" w:after="240"/>
        <w:jc w:val="center"/>
        <w:rPr>
          <w:rFonts w:ascii="Times New Roman;serif" w:hAnsi="Times New Roman;serif"/>
          <w:b/>
          <w:color w:val="000000"/>
          <w:sz w:val="16"/>
        </w:rPr>
      </w:pPr>
      <w:r>
        <w:rPr>
          <w:rFonts w:ascii="Times New Roman;serif" w:hAnsi="Times New Roman;serif"/>
          <w:b/>
          <w:color w:val="000000"/>
          <w:sz w:val="16"/>
        </w:rPr>
        <w:t>Essent Group Ltd. Announces Second Quarter 2026 Results and Declares Quarterly Dividend</w:t>
      </w:r>
    </w:p>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HAMILTON, Bermuda, August 7, 2026--Essent Group Ltd. (NYSE: ESNT) today reported net income for the quarter ended June 30, 2026 of $189.7 million or $2.08 per diluted share, compared to $195.3 million or $1.93 per diluted share for the quarter ended June 30, 2025.</w:t>
      </w:r>
    </w:p>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Essent also announced today that its Board of Directors has declared a quarterly cash dividend of $0.35 per common share. The dividend is payable on September 10, 2026 to shareholders of record on August 31, 2026.</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16"/>
        </w:rPr>
        <w:t>We are pleased with our second quarter 2026 financial results, which reflect strong profitability, continued growth in book value per share and the resilience of our operating model,” said Mark A. Casale, Chairman and Chief Executive Officer. “The consistent cash flow generation of our mortgage insurance business, combined with our strong capital position, allows us to take a balanced approach to capital management and to continue creating long-term value for our shareholders.”</w:t>
      </w:r>
    </w:p>
    <w:p>
      <w:pPr>
        <w:pStyle w:val="TextBody"/>
        <w:bidi w:val="0"/>
        <w:spacing w:lineRule="auto" w:line="276" w:before="240" w:after="240"/>
        <w:jc w:val="both"/>
        <w:rPr>
          <w:rFonts w:ascii="Times New Roman;serif" w:hAnsi="Times New Roman;serif"/>
          <w:b/>
          <w:color w:val="000000"/>
          <w:sz w:val="16"/>
        </w:rPr>
      </w:pPr>
      <w:r>
        <w:rPr>
          <w:rFonts w:ascii="Times New Roman;serif" w:hAnsi="Times New Roman;serif"/>
          <w:b/>
          <w:color w:val="000000"/>
          <w:sz w:val="16"/>
        </w:rPr>
        <w:t xml:space="preserve">Financial Highlights: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6"/>
        </w:rPr>
        <w:t>Mortgage new insurance written for the second quarter of 2026 was $14.1 billion, compared to $11.1 billion in the first quarter of 2026 and $12.5 billion in the second quarter of 2025.</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6"/>
        </w:rPr>
        <w:t>Mortgage insurance in force as of June 30, 2026 was $249.7 billion, compared to $247.9 billion as of March 31, 2026 and $246.8 billion as of June 30, 2025.</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6"/>
        </w:rPr>
        <w:t>Reinsurance net premiums written for the first half of 2026 were $248.8 million, compared to $30.6 million in the first half of 2025.</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6"/>
        </w:rPr>
        <w:t>Net investment income for the first half of 2026 was $120.9 million, compared to $117.5 million in the first half of 2025.</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6"/>
        </w:rPr>
        <w:t>Year-to-date through July 31, 2026, Essent repurchased 5.8 million common shares for $348 million.</w:t>
      </w:r>
    </w:p>
    <w:p>
      <w:pPr>
        <w:pStyle w:val="TextBody"/>
        <w:bidi w:val="0"/>
        <w:spacing w:before="0" w:after="0"/>
        <w:ind w:left="0" w:right="0" w:hanging="360"/>
        <w:jc w:val="both"/>
        <w:rPr/>
      </w:pPr>
      <w:r>
        <w:rPr/>
      </w:r>
    </w:p>
    <w:p>
      <w:pPr>
        <w:pStyle w:val="TextBody"/>
        <w:bidi w:val="0"/>
        <w:spacing w:lineRule="auto" w:line="268" w:before="0" w:after="240"/>
        <w:ind w:left="0" w:right="0" w:hanging="360"/>
        <w:jc w:val="both"/>
        <w:rPr>
          <w:rFonts w:ascii="Times New Roman;serif" w:hAnsi="Times New Roman;serif"/>
          <w:b/>
          <w:color w:val="000000"/>
          <w:sz w:val="16"/>
        </w:rPr>
      </w:pPr>
      <w:r>
        <w:rPr>
          <w:rFonts w:ascii="Times New Roman;serif" w:hAnsi="Times New Roman;serif"/>
          <w:b/>
          <w:color w:val="000000"/>
          <w:sz w:val="16"/>
        </w:rPr>
        <w:t>Conference Call:</w:t>
      </w:r>
    </w:p>
    <w:p>
      <w:pPr>
        <w:pStyle w:val="TextBody"/>
        <w:bidi w:val="0"/>
        <w:spacing w:lineRule="auto" w:line="288" w:before="0" w:after="0"/>
        <w:jc w:val="both"/>
        <w:rPr/>
      </w:pPr>
      <w:r>
        <w:rPr>
          <w:rFonts w:ascii="Times New Roman;serif" w:hAnsi="Times New Roman;serif"/>
          <w:b w:val="false"/>
          <w:color w:val="000000"/>
          <w:sz w:val="16"/>
        </w:rPr>
        <w:t xml:space="preserve">Essent management will hold a conference call at 10:00 AM Eastern time today to discuss its results. The conference call will be broadcast live over the Internet at </w:t>
      </w:r>
      <w:r>
        <w:rPr>
          <w:rFonts w:ascii="Times New Roman;serif" w:hAnsi="Times New Roman;serif"/>
          <w:b w:val="false"/>
          <w:color w:val="0000FF"/>
          <w:sz w:val="16"/>
          <w:u w:val="single"/>
        </w:rPr>
        <w:t>http://ir.essentgroup.com/events-and-presentations/events/default.aspx</w:t>
      </w:r>
      <w:r>
        <w:rPr>
          <w:rFonts w:ascii="Times New Roman;serif" w:hAnsi="Times New Roman;serif"/>
          <w:b w:val="false"/>
          <w:color w:val="000000"/>
          <w:sz w:val="16"/>
        </w:rPr>
        <w:t>. The call may also be accessed by dialing 888-330-2384 inside the U.S., or 240-789-2701 for international callers, using passcode 9824537 or by referencing Essent.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A replay of the webcast will be available on the Essent website approximately two hours after the live broadcast ends for a period of one year. A replay of the conference call will be available approximately two hours after the call ends for a period of two weeks, using the following dial-in numbers and passcode: 800-770-2030 inside the U.S., or 647-362-9199 for international callers, passcode 9824537.</w:t>
      </w:r>
    </w:p>
    <w:p>
      <w:pPr>
        <w:pStyle w:val="TextBody"/>
        <w:bidi w:val="0"/>
        <w:spacing w:lineRule="auto" w:line="288" w:before="0" w:after="240"/>
        <w:jc w:val="both"/>
        <w:rPr/>
      </w:pPr>
      <w:r>
        <w:rPr>
          <w:rFonts w:ascii="Times New Roman;serif" w:hAnsi="Times New Roman;serif"/>
          <w:b w:val="false"/>
          <w:color w:val="000000"/>
          <w:sz w:val="16"/>
        </w:rPr>
        <w:t xml:space="preserve">In addition to the information provided in the Company's earnings news release, other statistical and financial information, which may be referred to during the conference call, will be available on Essent's website at </w:t>
      </w:r>
      <w:r>
        <w:rPr>
          <w:rFonts w:ascii="Times New Roman;serif" w:hAnsi="Times New Roman;serif"/>
          <w:b w:val="false"/>
          <w:color w:val="0000FF"/>
          <w:sz w:val="16"/>
          <w:u w:val="single"/>
        </w:rPr>
        <w:t>http://ir.essentgroup.com/financials/quarterly-results/default.aspx</w:t>
      </w:r>
      <w:r>
        <w:rPr>
          <w:rFonts w:ascii="Times New Roman;serif" w:hAnsi="Times New Roman;serif"/>
          <w:b w:val="false"/>
          <w:color w:val="000000"/>
          <w:sz w:val="16"/>
        </w:rPr>
        <w:t>.</w:t>
      </w:r>
    </w:p>
    <w:p>
      <w:pPr>
        <w:pStyle w:val="TextBody"/>
        <w:bidi w:val="0"/>
        <w:spacing w:lineRule="auto" w:line="288" w:before="120" w:after="240"/>
        <w:jc w:val="both"/>
        <w:rPr>
          <w:rFonts w:ascii="Times New Roman;serif" w:hAnsi="Times New Roman;serif"/>
          <w:b/>
          <w:color w:val="000000"/>
          <w:sz w:val="16"/>
        </w:rPr>
      </w:pPr>
      <w:r>
        <w:rPr>
          <w:rFonts w:ascii="Times New Roman;serif" w:hAnsi="Times New Roman;serif"/>
          <w:b/>
          <w:color w:val="000000"/>
          <w:sz w:val="16"/>
        </w:rPr>
        <w:t>Forward-Looking Statements:</w:t>
      </w:r>
    </w:p>
    <w:p>
      <w:pPr>
        <w:pStyle w:val="TextBody"/>
        <w:bidi w:val="0"/>
        <w:spacing w:lineRule="auto" w:line="288" w:before="0" w:after="240"/>
        <w:jc w:val="both"/>
        <w:rPr>
          <w:rFonts w:ascii="Times New Roman;serif" w:hAnsi="Times New Roman;serif"/>
          <w:b w:val="false"/>
          <w:color w:val="000000"/>
          <w:sz w:val="16"/>
        </w:rPr>
      </w:pPr>
      <w:r>
        <w:rPr>
          <w:rFonts w:ascii="Times New Roman;serif" w:hAnsi="Times New Roman;serif"/>
          <w:b w:val="false"/>
          <w:color w:val="000000"/>
          <w:sz w:val="16"/>
        </w:rPr>
        <w:t>This press release may include “forward-looking statements” which are subject to known and unknown risks and uncertainties, many of which may be beyond our control. Forward-looking statements generally can be identified by the use of forward-looking terminology such as "may," "will," “should,” “expect,” "plan," "anticipate," "believe," “estimate,” “predict,” or "potential" or the negative thereof or variations thereon or similar terminology. Actual events, results and outcomes may differ materially from our expectations due to a variety of known and unknown risks, uncertainties and other factors. Although it is not possible to identify all of these risks and factors, they include, among others, the following: changes in or to Fannie Mae and Freddie Mac (the “GSEs”), whether through Federal legislation, restructurings or a shift in business practices; failure to continue to meet the mortgage insurer eligibility requirements of the GSEs; competition for customers or the loss of a significant customer; lenders or investors seeking alternatives to private mortgage insurance; an increase in the number of loans insured through Federal government mortgage insurance programs; decline in the volume of low down payment mortgage originations; uncertainty of loss reserve estimates; decrease in the length of time our insurance policies are in force; deteriorating economic conditions; and other risks and factors described in Part I, Item 1A “Risk Factors” of our Annual Report on Form 10-K for the year ended December 31, 2025 filed with the Securities and Exchange Commission on February 18, 2026, as subsequently updated through other reports we file with the Securities and Exchange Commission. Any forward-looking information presented herein is made only as of the date of this press release, and we do not undertake any obligation to update or revise any forward-looking information to reflect changes in assumptions, the occurrence of unanticipated events, or otherwise.</w:t>
      </w:r>
    </w:p>
    <w:p>
      <w:pPr>
        <w:pStyle w:val="TextBody"/>
        <w:bidi w:val="0"/>
        <w:spacing w:before="120" w:after="240"/>
        <w:jc w:val="both"/>
        <w:rPr/>
      </w:pPr>
      <w:r>
        <w:rPr/>
      </w:r>
    </w:p>
    <w:p>
      <w:pPr>
        <w:pStyle w:val="TextBody"/>
        <w:bidi w:val="0"/>
        <w:spacing w:lineRule="auto" w:line="276" w:before="120" w:after="240"/>
        <w:jc w:val="both"/>
        <w:rPr>
          <w:rFonts w:ascii="Times New Roman;serif" w:hAnsi="Times New Roman;serif"/>
          <w:b/>
          <w:color w:val="000000"/>
          <w:sz w:val="16"/>
        </w:rPr>
      </w:pPr>
      <w:r>
        <w:rPr>
          <w:rFonts w:ascii="Times New Roman;serif" w:hAnsi="Times New Roman;serif"/>
          <w:b/>
          <w:color w:val="000000"/>
          <w:sz w:val="16"/>
        </w:rPr>
        <w:t>About the Company:</w:t>
      </w:r>
    </w:p>
    <w:p>
      <w:pPr>
        <w:pStyle w:val="TextBody"/>
        <w:bidi w:val="0"/>
        <w:spacing w:lineRule="auto" w:line="268" w:before="0" w:after="0"/>
        <w:jc w:val="both"/>
        <w:rPr/>
      </w:pPr>
      <w:r>
        <w:rPr>
          <w:rFonts w:ascii="Times New Roman;serif" w:hAnsi="Times New Roman;serif"/>
          <w:b w:val="false"/>
          <w:color w:val="000000"/>
          <w:sz w:val="16"/>
        </w:rPr>
        <w:t xml:space="preserve">Essent Group Ltd. (NYSE: ESNT) is a Bermuda-based holding company (collectively with its subsidiaries, “Essent”) offering private mortgage insurance, reinsurance, and title insurance and settlement services to serve the housing finance industry. Additional information regarding Essent may be found at </w:t>
      </w:r>
      <w:r>
        <w:rPr>
          <w:rFonts w:ascii="Times New Roman;serif" w:hAnsi="Times New Roman;serif"/>
          <w:b w:val="false"/>
          <w:color w:val="0000FF"/>
          <w:sz w:val="16"/>
          <w:u w:val="single"/>
        </w:rPr>
        <w:t>www.essentgroup.com</w:t>
      </w:r>
      <w:r>
        <w:rPr>
          <w:rFonts w:ascii="Times New Roman;serif" w:hAnsi="Times New Roman;serif"/>
          <w:b w:val="false"/>
          <w:color w:val="0000FF"/>
          <w:sz w:val="16"/>
        </w:rPr>
        <w:t>.</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color w:val="000000"/>
          <w:sz w:val="16"/>
        </w:rPr>
      </w:pPr>
      <w:r>
        <w:rPr>
          <w:rFonts w:ascii="Times New Roman;serif" w:hAnsi="Times New Roman;serif"/>
          <w:b w:val="false"/>
          <w:color w:val="000000"/>
          <w:sz w:val="16"/>
        </w:rPr>
        <w:t>Source: Essent Group Ltd.</w:t>
      </w:r>
    </w:p>
    <w:p>
      <w:pPr>
        <w:pStyle w:val="TextBody"/>
        <w:bidi w:val="0"/>
        <w:spacing w:lineRule="auto" w:line="268" w:before="0" w:after="200"/>
        <w:jc w:val="both"/>
        <w:rPr>
          <w:rFonts w:ascii="Times New Roman;serif" w:hAnsi="Times New Roman;serif"/>
          <w:b/>
          <w:color w:val="000000"/>
          <w:sz w:val="16"/>
        </w:rPr>
      </w:pPr>
      <w:r>
        <w:rPr>
          <w:rFonts w:ascii="Times New Roman;serif" w:hAnsi="Times New Roman;serif"/>
          <w:b/>
          <w:color w:val="000000"/>
          <w:sz w:val="16"/>
        </w:rPr>
        <w:t>Media Contact</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610.230.0556</w:t>
      </w:r>
    </w:p>
    <w:p>
      <w:pPr>
        <w:pStyle w:val="TextBody"/>
        <w:bidi w:val="0"/>
        <w:spacing w:lineRule="auto" w:line="268" w:before="0" w:after="0"/>
        <w:jc w:val="both"/>
        <w:rPr>
          <w:rFonts w:ascii="Times New Roman;serif" w:hAnsi="Times New Roman;serif"/>
          <w:b w:val="false"/>
          <w:color w:val="0E32E1"/>
          <w:sz w:val="16"/>
        </w:rPr>
      </w:pPr>
      <w:r>
        <w:rPr>
          <w:rFonts w:ascii="Times New Roman;serif" w:hAnsi="Times New Roman;serif"/>
          <w:b w:val="false"/>
          <w:color w:val="0E32E1"/>
          <w:sz w:val="16"/>
        </w:rPr>
        <w:t>media@essentgroup.com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6"/>
        </w:rPr>
      </w:pPr>
      <w:r>
        <w:rPr>
          <w:rFonts w:ascii="Times New Roman;serif" w:hAnsi="Times New Roman;serif"/>
          <w:b/>
          <w:color w:val="000000"/>
          <w:sz w:val="16"/>
        </w:rPr>
        <w:t>Investor Relations Contact</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Philip Stefano</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Vice President, Investor Relations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855-809-ESNT</w:t>
      </w:r>
    </w:p>
    <w:p>
      <w:pPr>
        <w:pStyle w:val="TextBody"/>
        <w:bidi w:val="0"/>
        <w:spacing w:lineRule="auto" w:line="268" w:before="0" w:after="0"/>
        <w:jc w:val="both"/>
        <w:rPr>
          <w:rFonts w:ascii="Times New Roman;serif" w:hAnsi="Times New Roman;serif"/>
          <w:b w:val="false"/>
          <w:color w:val="0000FF"/>
          <w:sz w:val="16"/>
        </w:rPr>
      </w:pPr>
      <w:r>
        <w:rPr>
          <w:rFonts w:ascii="Times New Roman;serif" w:hAnsi="Times New Roman;serif"/>
          <w:b w:val="false"/>
          <w:color w:val="0000FF"/>
          <w:sz w:val="16"/>
        </w:rPr>
        <w:t>ir@essentgroup.com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39"/>
        <w:gridCol w:w="463"/>
        <w:gridCol w:w="463"/>
        <w:gridCol w:w="463"/>
        <w:gridCol w:w="463"/>
        <w:gridCol w:w="463"/>
        <w:gridCol w:w="2160"/>
        <w:gridCol w:w="2156"/>
        <w:gridCol w:w="3035"/>
      </w:tblGrid>
      <w:tr>
        <w:trPr/>
        <w:tc>
          <w:tcPr>
            <w:tcW w:w="5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Results and Supplemental Information (Unaudited)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 2026</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A</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Condensed Consolidated Statements of Comprehensive Income (Unaudited)</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B</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Condensed Consolidated Balance Sheets (Unaudited)</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C</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 Historical Quarterly Data (Unaudited)</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D</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 to Date Segment Results (Unaudited)</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E</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Quarterly Segment Information (Unaudited)</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F</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Historical Quarterly Data</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G</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New Insurance Written</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H</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Insurance in Force and Risk in Force</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I</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Vintage Data</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J</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Outward Reinsurance Vintage Data</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K</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Geographic Data</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L</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Rollforward of Defaults and Reserve for Losses and LAE</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M</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Insurance - Detail of Reserves by Default Delinquency</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Mortgage Insurance Company Capital</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O</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Reinsurance</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P</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&amp; Investments</w:t>
            </w:r>
          </w:p>
        </w:tc>
      </w:tr>
      <w:tr>
        <w:trPr/>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Q</w:t>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 Per Share Inclusive of Common Dividends &amp; Reconciliation of Non-GAAP Financial Measures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092" w:type="dxa"/>
        <w:jc w:val="center"/>
        <w:tblInd w:w="0" w:type="dxa"/>
        <w:tblLayout w:type="fixed"/>
        <w:tblCellMar>
          <w:top w:w="28" w:type="dxa"/>
          <w:left w:w="28" w:type="dxa"/>
          <w:bottom w:w="28" w:type="dxa"/>
          <w:right w:w="28" w:type="dxa"/>
        </w:tblCellMar>
      </w:tblPr>
      <w:tblGrid>
        <w:gridCol w:w="1390"/>
        <w:gridCol w:w="1221"/>
        <w:gridCol w:w="1229"/>
        <w:gridCol w:w="198"/>
        <w:gridCol w:w="746"/>
        <w:gridCol w:w="110"/>
        <w:gridCol w:w="110"/>
        <w:gridCol w:w="110"/>
        <w:gridCol w:w="110"/>
        <w:gridCol w:w="198"/>
        <w:gridCol w:w="746"/>
        <w:gridCol w:w="110"/>
        <w:gridCol w:w="110"/>
        <w:gridCol w:w="110"/>
        <w:gridCol w:w="110"/>
        <w:gridCol w:w="198"/>
        <w:gridCol w:w="746"/>
        <w:gridCol w:w="110"/>
        <w:gridCol w:w="110"/>
        <w:gridCol w:w="110"/>
        <w:gridCol w:w="110"/>
        <w:gridCol w:w="198"/>
        <w:gridCol w:w="746"/>
        <w:gridCol w:w="156"/>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A</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909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Statements of Comprehensive Income (Unaudited)</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 except per share amounts)</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premiums written</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274,872 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773,630 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Ceded premiums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(35,113)</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(71,676)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written</w:t>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307,285 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241,488 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701,954 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479,759 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unearned premiums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(165,097)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276,764 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248,809 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536,857 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494,657 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invested assets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362,686 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319,143 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698,758 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636,701 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133,889 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losses and expenses</w:t>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132,367 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87,968 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261,714 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198,527 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437,044 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438,174 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35,836 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189,714 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195,339 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361,513 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370,772 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90,740 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92,271 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101,059 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195,339 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361,513 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comprehensive income:</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appreciation (depreciation) of investments</w:t>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(38,677)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income</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186,988 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211,919 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322,836 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459,090 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53"/>
        <w:gridCol w:w="1841"/>
        <w:gridCol w:w="1854"/>
        <w:gridCol w:w="279"/>
        <w:gridCol w:w="1241"/>
        <w:gridCol w:w="342"/>
        <w:gridCol w:w="154"/>
        <w:gridCol w:w="154"/>
        <w:gridCol w:w="154"/>
        <w:gridCol w:w="279"/>
        <w:gridCol w:w="1241"/>
        <w:gridCol w:w="413"/>
      </w:tblGrid>
      <w:tr>
        <w:trPr/>
        <w:tc>
          <w:tcPr>
            <w:tcW w:w="2253"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B</w:t>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Condensed Consolidated Balance Sheets (Unaudited)</w:t>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 thousands, except per share amounts)</w:t>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Assets</w:t>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maturities available for sale, at fair value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5,414,809 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5,455,593 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available for sale, at fair value</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623,886 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648,492 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 available for sale</w:t>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6,038,695 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6,104,085 </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invested assets</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441,852 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382,513 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6,480,547 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6,486,598 </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74,333 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123,049 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investment income</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48,306 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47,371 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169,772 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51,267 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policy acquisition costs</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68,857 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9,547 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software, net</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47,753 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49,189 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federal income tax</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496,325 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513,425 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acquired intangible assets, net</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77,451 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78,153 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128,538 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82,404 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7,591,882 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7,441,003 </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Liabilities and Stockholders' Equity</w:t>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Liabilities </w:t>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Reserve for losses and LAE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518,799 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446,822 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premium reserve</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256,827 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91,730 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deferred tax liability</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449,738 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465,351 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 due 2029, net</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495,972 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495,301 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207,145 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185,072 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1,928,481 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1,684,276 </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$0.015 par value:</w:t>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Authorized - 233,333; issued and outstanding - 89,876 shares in 2026 and 95,456 shares in 2025</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298,724 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649,895 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(190,662)</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(151,985)</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5,553,991 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5,257,385 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5,663,401 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5,756,727 </w:t>
            </w:r>
          </w:p>
        </w:tc>
        <w:tc>
          <w:tcPr>
            <w:tcW w:w="4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7,591,882 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7,441,003 </w:t>
            </w:r>
          </w:p>
        </w:tc>
        <w:tc>
          <w:tcPr>
            <w:tcW w:w="4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average equity (1)</w:t>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4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The 2026 return on average equity is calculated by dividing annualized year-to-date 2026 net income by average equity. The 2025 return on average equity is calculated by dividing full year 2025 net income by average equity.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49"/>
        <w:gridCol w:w="364"/>
        <w:gridCol w:w="365"/>
        <w:gridCol w:w="117"/>
        <w:gridCol w:w="117"/>
        <w:gridCol w:w="117"/>
        <w:gridCol w:w="117"/>
        <w:gridCol w:w="117"/>
        <w:gridCol w:w="117"/>
        <w:gridCol w:w="117"/>
        <w:gridCol w:w="195"/>
        <w:gridCol w:w="778"/>
        <w:gridCol w:w="227"/>
        <w:gridCol w:w="117"/>
        <w:gridCol w:w="117"/>
        <w:gridCol w:w="117"/>
        <w:gridCol w:w="195"/>
        <w:gridCol w:w="778"/>
        <w:gridCol w:w="227"/>
        <w:gridCol w:w="117"/>
        <w:gridCol w:w="117"/>
        <w:gridCol w:w="117"/>
        <w:gridCol w:w="195"/>
        <w:gridCol w:w="778"/>
        <w:gridCol w:w="227"/>
        <w:gridCol w:w="109"/>
        <w:gridCol w:w="109"/>
        <w:gridCol w:w="109"/>
        <w:gridCol w:w="181"/>
        <w:gridCol w:w="721"/>
        <w:gridCol w:w="211"/>
        <w:gridCol w:w="109"/>
        <w:gridCol w:w="109"/>
        <w:gridCol w:w="109"/>
        <w:gridCol w:w="181"/>
        <w:gridCol w:w="616"/>
        <w:gridCol w:w="211"/>
        <w:gridCol w:w="109"/>
        <w:gridCol w:w="109"/>
        <w:gridCol w:w="109"/>
        <w:gridCol w:w="109"/>
        <w:gridCol w:w="109"/>
        <w:gridCol w:w="109"/>
        <w:gridCol w:w="109"/>
        <w:gridCol w:w="168"/>
      </w:tblGrid>
      <w:tr>
        <w:trPr/>
        <w:tc>
          <w:tcPr>
            <w:tcW w:w="6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649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706" w:type="dxa"/>
            <w:gridSpan w:val="20"/>
            <w:tcBorders/>
          </w:tcPr>
          <w:p>
            <w:pPr>
              <w:pStyle w:val="TableContents"/>
              <w:bidi w:val="0"/>
              <w:spacing w:before="0" w:after="283"/>
              <w:jc w:val="left"/>
              <w:rPr>
                <w:sz w:val="4"/>
                <w:szCs w:val="4"/>
              </w:rPr>
            </w:pPr>
            <w:r>
              <w:rPr>
                <w:sz w:val="4"/>
                <w:szCs w:val="4"/>
              </w:rPr>
            </w:r>
          </w:p>
        </w:tc>
      </w:tr>
      <w:tr>
        <w:trPr/>
        <w:tc>
          <w:tcPr>
            <w:tcW w:w="649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706" w:type="dxa"/>
            <w:gridSpan w:val="20"/>
            <w:tcBorders/>
          </w:tcPr>
          <w:p>
            <w:pPr>
              <w:pStyle w:val="TableContents"/>
              <w:bidi w:val="0"/>
              <w:spacing w:before="0" w:after="283"/>
              <w:jc w:val="left"/>
              <w:rPr>
                <w:sz w:val="4"/>
                <w:szCs w:val="4"/>
              </w:rPr>
            </w:pPr>
            <w:r>
              <w:rPr>
                <w:sz w:val="4"/>
                <w:szCs w:val="4"/>
              </w:rPr>
            </w:r>
          </w:p>
        </w:tc>
      </w:tr>
      <w:tr>
        <w:trPr/>
        <w:tc>
          <w:tcPr>
            <w:tcW w:w="649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Historical Quarterly Data (Unaudited)</w:t>
            </w:r>
          </w:p>
        </w:tc>
        <w:tc>
          <w:tcPr>
            <w:tcW w:w="3706" w:type="dxa"/>
            <w:gridSpan w:val="20"/>
            <w:tcBorders/>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(In thousands, except per share amounts)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Revenues: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premiums earned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276,764 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260,093 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242,729 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246,332 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248,809 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investment income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61,612 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59,255 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59,223 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59,795 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59,289 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investment gains (losses),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other invested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10,179 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Other income </w:t>
            </w:r>
            <w:r>
              <w:rPr>
                <w:rFonts w:ascii="Times New Roman;serif" w:hAnsi="Times New Roman;serif"/>
                <w:b/>
                <w:color w:val="000000"/>
                <w:sz w:val="14"/>
              </w:rPr>
              <w:t>(1)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362,686 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336,072 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312,404 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311,830 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319,143 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Losses and expenses: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losses and LAE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48,961 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48,216 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56,073 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17,055 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underwriting and operating expenses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75,258 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72,983 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63,653 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62,765 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8,148 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8,148 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8,149 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8,148 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losses and expenses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132,367 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129,347 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127,875 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112,671 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87,968 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before income taxes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230,319 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206,725 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184,529 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199,159 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231,175 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Income tax expense </w:t>
            </w:r>
            <w:r>
              <w:rPr>
                <w:rFonts w:ascii="Times New Roman;serif" w:hAnsi="Times New Roman;serif"/>
                <w:b/>
                <w:color w:val="000000"/>
                <w:sz w:val="14"/>
              </w:rPr>
              <w:t>(2)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40,605 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34,926 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29,547 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34,944 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35,836 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income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189,714 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171,799 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154,982 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164,215 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195,339 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Earnings per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Basic</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Diluted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Weighted average shares outstanding:</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Basic</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90,740 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93,818 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95,772 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97,400 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Diluted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91,389 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94,572 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96,664 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98,519 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101,059 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Book value per share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Return on average equity (annualized)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Senior debt &amp; credit facility: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Borrowings outstanding</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Undrawn committed capacity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Weighted average interest rate (end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Debt-to-capital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8.07 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7.99 </w:t>
            </w:r>
          </w:p>
        </w:tc>
        <w:tc>
          <w:tcPr>
            <w:tcW w:w="2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8.10 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and investments available for sale at the holding companies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1,108,667 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1,144,112 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1,268,579 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1,038,747 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995,032 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499"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Other income includes net favorable (unfavorable) changes in the fair value of embedded derivatives associated with certain of our third-party reinsurance agreements, which for the quarters ended June 30, 2026, March 31, 2026, December 31, 2025, September 30, 2025, and June 30, 2025, were ($323), $37, ($526), ($858) and ($29), respectively.</w:t>
            </w:r>
          </w:p>
        </w:tc>
        <w:tc>
          <w:tcPr>
            <w:tcW w:w="3706" w:type="dxa"/>
            <w:gridSpan w:val="20"/>
            <w:tcBorders/>
          </w:tcPr>
          <w:p>
            <w:pPr>
              <w:pStyle w:val="TableContents"/>
              <w:bidi w:val="0"/>
              <w:spacing w:before="0" w:after="283"/>
              <w:jc w:val="left"/>
              <w:rPr>
                <w:sz w:val="4"/>
                <w:szCs w:val="4"/>
              </w:rPr>
            </w:pPr>
            <w:r>
              <w:rPr>
                <w:sz w:val="4"/>
                <w:szCs w:val="4"/>
              </w:rPr>
            </w:r>
          </w:p>
        </w:tc>
      </w:tr>
      <w:tr>
        <w:trPr/>
        <w:tc>
          <w:tcPr>
            <w:tcW w:w="6499" w:type="dxa"/>
            <w:gridSpan w:val="25"/>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14"/>
              </w:rPr>
              <w:t xml:space="preserve">(2) </w:t>
            </w:r>
            <w:r>
              <w:rPr>
                <w:rFonts w:ascii="Times New Roman;serif" w:hAnsi="Times New Roman;serif"/>
                <w:b w:val="false"/>
                <w:color w:val="000000"/>
                <w:sz w:val="14"/>
              </w:rPr>
              <w:t>Income tax expense for the quarters ended June 30, 2026, March 31, 2026, December 31, 2025,</w:t>
            </w:r>
            <w:r>
              <w:rPr>
                <w:color w:val="000000"/>
              </w:rPr>
              <w:t xml:space="preserve"> </w:t>
            </w:r>
            <w:r>
              <w:rPr>
                <w:rFonts w:ascii="Times New Roman;serif" w:hAnsi="Times New Roman;serif"/>
                <w:b w:val="false"/>
                <w:color w:val="000000"/>
                <w:sz w:val="14"/>
              </w:rPr>
              <w:t>September 30, 2025 and June 30, 2025 includes $3,954, $2,407, $366, $493, and $1,112, respectively, of discrete tax expense associated with realized and unrealized gains. Income tax expense for the quarters ended December 31, 2025 and September 30, 2025 also include ($396) and ($828), respectively, of discrete tax benefits associated with prior year tax returns. Income tax expense for the quarters ended March 31, 2026 and March 31, 2025 also include ($1,067) and ($742), respectively, of excess tax benefits associated with the vesting of common shares and common share units.</w:t>
            </w:r>
          </w:p>
        </w:tc>
        <w:tc>
          <w:tcPr>
            <w:tcW w:w="3706" w:type="dxa"/>
            <w:gridSpan w:val="2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993" w:type="dxa"/>
        <w:jc w:val="center"/>
        <w:tblInd w:w="0" w:type="dxa"/>
        <w:tblLayout w:type="fixed"/>
        <w:tblCellMar>
          <w:top w:w="28" w:type="dxa"/>
          <w:left w:w="28" w:type="dxa"/>
          <w:bottom w:w="28" w:type="dxa"/>
          <w:right w:w="28" w:type="dxa"/>
        </w:tblCellMar>
      </w:tblPr>
      <w:tblGrid>
        <w:gridCol w:w="695"/>
        <w:gridCol w:w="157"/>
        <w:gridCol w:w="109"/>
        <w:gridCol w:w="109"/>
        <w:gridCol w:w="109"/>
        <w:gridCol w:w="109"/>
        <w:gridCol w:w="181"/>
        <w:gridCol w:w="616"/>
        <w:gridCol w:w="211"/>
        <w:gridCol w:w="109"/>
        <w:gridCol w:w="109"/>
        <w:gridCol w:w="109"/>
        <w:gridCol w:w="181"/>
        <w:gridCol w:w="541"/>
        <w:gridCol w:w="211"/>
        <w:gridCol w:w="109"/>
        <w:gridCol w:w="109"/>
        <w:gridCol w:w="109"/>
        <w:gridCol w:w="181"/>
        <w:gridCol w:w="541"/>
        <w:gridCol w:w="109"/>
        <w:gridCol w:w="109"/>
        <w:gridCol w:w="109"/>
        <w:gridCol w:w="109"/>
        <w:gridCol w:w="181"/>
        <w:gridCol w:w="616"/>
        <w:gridCol w:w="109"/>
        <w:gridCol w:w="109"/>
        <w:gridCol w:w="109"/>
        <w:gridCol w:w="109"/>
        <w:gridCol w:w="181"/>
        <w:gridCol w:w="616"/>
        <w:gridCol w:w="211"/>
        <w:gridCol w:w="109"/>
        <w:gridCol w:w="109"/>
        <w:gridCol w:w="109"/>
        <w:gridCol w:w="181"/>
        <w:gridCol w:w="541"/>
        <w:gridCol w:w="211"/>
        <w:gridCol w:w="109"/>
        <w:gridCol w:w="109"/>
        <w:gridCol w:w="109"/>
        <w:gridCol w:w="181"/>
        <w:gridCol w:w="556"/>
        <w:gridCol w:w="109"/>
        <w:gridCol w:w="109"/>
        <w:gridCol w:w="109"/>
        <w:gridCol w:w="109"/>
        <w:gridCol w:w="181"/>
        <w:gridCol w:w="61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w:t>
            </w:r>
          </w:p>
        </w:tc>
      </w:tr>
      <w:tr>
        <w:trPr/>
        <w:tc>
          <w:tcPr>
            <w:tcW w:w="10993"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10993"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r>
      <w:tr>
        <w:trPr/>
        <w:tc>
          <w:tcPr>
            <w:tcW w:w="10993"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to Date Segment Results (Unaudited)</w:t>
            </w:r>
          </w:p>
        </w:tc>
      </w:tr>
      <w:tr>
        <w:trPr/>
        <w:tc>
          <w:tcPr>
            <w:tcW w:w="10993" w:type="dxa"/>
            <w:gridSpan w:val="51"/>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0993"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following tables set forth comparative financial information for our two reportable business segments, Mortgage Insurance and Reinsurance, our Corporate &amp; Other category and our consolidated results for the six months ended June 30, 2026 and 2025 (unaudited). Our Corporate &amp; Other category is used to reconcile our reportable business segments to consolidated results and includes business activities associated with our title insurance operations, income and losses from holding company treasury operations, and general corporate operating expenses not attributable to our operating segments.</w:t>
            </w:r>
          </w:p>
        </w:tc>
      </w:tr>
      <w:tr>
        <w:trPr/>
        <w:tc>
          <w:tcPr>
            <w:tcW w:w="10993" w:type="dxa"/>
            <w:gridSpan w:val="5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Mortgage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w:t>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431,325 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72,949 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536,857 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438,386 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29,609 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494,657 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86,322 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10,758 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10,056 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Realized investment gains (losses),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other invested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18,737 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539,241 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87,023 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72,494 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698,758 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534,617 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44,527 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636,701 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Losses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losses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67,011 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28,652 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97,177 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46,043 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48,342 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31,515 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34,277 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Premium and other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11,548 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Acquisition costs, net </w:t>
            </w:r>
            <w:r>
              <w:rPr>
                <w:rFonts w:ascii="Times New Roman;serif" w:hAnsi="Times New Roman;serif"/>
                <w:b/>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(15,148)</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18,591 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(13,200)</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underwriting and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21,529 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operating expenses before allocations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49,884 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24,556 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52,759 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76,287 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133,889 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 expense allocations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19,628 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21,783 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Operating expenses after allocations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69,512 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25,760 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74,542 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5,316 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133,889 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402,718 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32,611 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414,032 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39,172 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438,174 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Loss ratio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Expense ratio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2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(1) </w:t>
            </w:r>
            <w:r>
              <w:rPr>
                <w:rFonts w:ascii="Times New Roman;serif" w:hAnsi="Times New Roman;serif"/>
                <w:b w:val="false"/>
                <w:color w:val="000000"/>
                <w:sz w:val="14"/>
              </w:rPr>
              <w:t>Loss ratio is calculated by dividing the provision for losses and LAE by 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Expense ratio is calculated by dividing operating expenses after allocations by 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3" w:type="dxa"/>
            <w:gridSpan w:val="5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(3) </w:t>
            </w:r>
            <w:r>
              <w:rPr>
                <w:rFonts w:ascii="Times New Roman;serif" w:hAnsi="Times New Roman;serif"/>
                <w:b w:val="false"/>
                <w:color w:val="000000"/>
                <w:sz w:val="14"/>
              </w:rPr>
              <w:t>Acquisition costs are net of ceding commissions earned on outward reinsurance and include ceding commissions incurred on reinsurance assumed.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05"/>
        <w:gridCol w:w="531"/>
        <w:gridCol w:w="532"/>
        <w:gridCol w:w="112"/>
        <w:gridCol w:w="112"/>
        <w:gridCol w:w="112"/>
        <w:gridCol w:w="112"/>
        <w:gridCol w:w="112"/>
        <w:gridCol w:w="112"/>
        <w:gridCol w:w="112"/>
        <w:gridCol w:w="201"/>
        <w:gridCol w:w="756"/>
        <w:gridCol w:w="247"/>
        <w:gridCol w:w="112"/>
        <w:gridCol w:w="112"/>
        <w:gridCol w:w="112"/>
        <w:gridCol w:w="201"/>
        <w:gridCol w:w="756"/>
        <w:gridCol w:w="247"/>
        <w:gridCol w:w="112"/>
        <w:gridCol w:w="112"/>
        <w:gridCol w:w="112"/>
        <w:gridCol w:w="201"/>
        <w:gridCol w:w="756"/>
        <w:gridCol w:w="247"/>
        <w:gridCol w:w="109"/>
        <w:gridCol w:w="109"/>
        <w:gridCol w:w="109"/>
        <w:gridCol w:w="196"/>
        <w:gridCol w:w="736"/>
        <w:gridCol w:w="241"/>
        <w:gridCol w:w="109"/>
        <w:gridCol w:w="109"/>
        <w:gridCol w:w="109"/>
        <w:gridCol w:w="196"/>
        <w:gridCol w:w="736"/>
        <w:gridCol w:w="241"/>
        <w:gridCol w:w="109"/>
        <w:gridCol w:w="160"/>
      </w:tblGrid>
      <w:tr>
        <w:trPr/>
        <w:tc>
          <w:tcPr>
            <w:tcW w:w="8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269" w:type="dxa"/>
            <w:gridSpan w:val="14"/>
            <w:tcBorders/>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269" w:type="dxa"/>
            <w:gridSpan w:val="14"/>
            <w:tcBorders/>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Quarterly Segment Information</w:t>
            </w:r>
          </w:p>
        </w:tc>
        <w:tc>
          <w:tcPr>
            <w:tcW w:w="3269" w:type="dxa"/>
            <w:gridSpan w:val="14"/>
            <w:tcBorders/>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69" w:type="dxa"/>
            <w:gridSpan w:val="14"/>
            <w:tcBorders/>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28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269" w:type="dxa"/>
            <w:gridSpan w:val="2"/>
            <w:tcBorders/>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69" w:type="dxa"/>
            <w:gridSpan w:val="2"/>
            <w:tcBorders/>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212,674 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43,965 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43,627 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other invested assets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273,904 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265,337 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259,276 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259,716 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269,047 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55,160 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 costs, net </w:t>
            </w:r>
            <w:r>
              <w:rPr>
                <w:rFonts w:ascii="Times New Roman;serif" w:hAnsi="Times New Roman;serif"/>
                <w:b/>
                <w:color w:val="000000"/>
                <w:sz w:val="16"/>
              </w:rPr>
              <w:t>(3)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(7,770)</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(7,378)</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(7,234)</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23,819 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25,054 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31,905 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37,607 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34,267 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31,157 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212,608 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190,110 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169,849 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184,389 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220,120 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ratio (1)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ratio (2)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2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ratio</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Loss ratio is calculated by dividing the provision for losses and LAE by net premiums earned.</w:t>
            </w:r>
          </w:p>
        </w:tc>
        <w:tc>
          <w:tcPr>
            <w:tcW w:w="3269" w:type="dxa"/>
            <w:gridSpan w:val="14"/>
            <w:tcBorders/>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Expense ratio is calculated by dividing operating expenses after allocations by net premiums earned.</w:t>
            </w:r>
          </w:p>
        </w:tc>
        <w:tc>
          <w:tcPr>
            <w:tcW w:w="3269" w:type="dxa"/>
            <w:gridSpan w:val="14"/>
            <w:tcBorders/>
          </w:tcPr>
          <w:p>
            <w:pPr>
              <w:pStyle w:val="TableContents"/>
              <w:bidi w:val="0"/>
              <w:spacing w:before="0" w:after="283"/>
              <w:jc w:val="left"/>
              <w:rPr>
                <w:sz w:val="4"/>
                <w:szCs w:val="4"/>
              </w:rPr>
            </w:pPr>
            <w:r>
              <w:rPr>
                <w:sz w:val="4"/>
                <w:szCs w:val="4"/>
              </w:rPr>
            </w:r>
          </w:p>
        </w:tc>
      </w:tr>
      <w:tr>
        <w:trPr/>
        <w:tc>
          <w:tcPr>
            <w:tcW w:w="6936"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(3) </w:t>
            </w:r>
            <w:r>
              <w:rPr>
                <w:rFonts w:ascii="Times New Roman;serif" w:hAnsi="Times New Roman;serif"/>
                <w:b w:val="false"/>
                <w:color w:val="000000"/>
                <w:sz w:val="14"/>
              </w:rPr>
              <w:t>Acquisition costs are net of ceding commissions earned on outward reinsurance and include ceding commissions incurred on reinsurance assumed.</w:t>
            </w:r>
          </w:p>
        </w:tc>
        <w:tc>
          <w:tcPr>
            <w:tcW w:w="3269" w:type="dxa"/>
            <w:gridSpan w:val="14"/>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2"/>
        <w:gridCol w:w="688"/>
        <w:gridCol w:w="689"/>
        <w:gridCol w:w="117"/>
        <w:gridCol w:w="117"/>
        <w:gridCol w:w="117"/>
        <w:gridCol w:w="117"/>
        <w:gridCol w:w="211"/>
        <w:gridCol w:w="698"/>
        <w:gridCol w:w="260"/>
        <w:gridCol w:w="117"/>
        <w:gridCol w:w="117"/>
        <w:gridCol w:w="117"/>
        <w:gridCol w:w="211"/>
        <w:gridCol w:w="698"/>
        <w:gridCol w:w="260"/>
        <w:gridCol w:w="117"/>
        <w:gridCol w:w="117"/>
        <w:gridCol w:w="117"/>
        <w:gridCol w:w="211"/>
        <w:gridCol w:w="698"/>
        <w:gridCol w:w="260"/>
        <w:gridCol w:w="109"/>
        <w:gridCol w:w="109"/>
        <w:gridCol w:w="109"/>
        <w:gridCol w:w="196"/>
        <w:gridCol w:w="649"/>
        <w:gridCol w:w="241"/>
        <w:gridCol w:w="109"/>
        <w:gridCol w:w="109"/>
        <w:gridCol w:w="109"/>
        <w:gridCol w:w="196"/>
        <w:gridCol w:w="646"/>
        <w:gridCol w:w="241"/>
        <w:gridCol w:w="109"/>
        <w:gridCol w:w="109"/>
        <w:gridCol w:w="168"/>
      </w:tblGrid>
      <w:tr>
        <w:trPr/>
        <w:tc>
          <w:tcPr>
            <w:tcW w:w="9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E, continued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9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2" w:type="dxa"/>
            <w:gridSpan w:val="12"/>
            <w:tcBorders/>
          </w:tcPr>
          <w:p>
            <w:pPr>
              <w:pStyle w:val="TableContents"/>
              <w:bidi w:val="0"/>
              <w:spacing w:before="0" w:after="283"/>
              <w:jc w:val="left"/>
              <w:rPr>
                <w:sz w:val="4"/>
                <w:szCs w:val="4"/>
              </w:rPr>
            </w:pPr>
            <w:r>
              <w:rPr>
                <w:sz w:val="4"/>
                <w:szCs w:val="4"/>
              </w:rPr>
            </w:r>
          </w:p>
        </w:tc>
      </w:tr>
      <w:tr>
        <w:trPr/>
        <w:tc>
          <w:tcPr>
            <w:tcW w:w="699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2" w:type="dxa"/>
            <w:gridSpan w:val="12"/>
            <w:tcBorders/>
          </w:tcPr>
          <w:p>
            <w:pPr>
              <w:pStyle w:val="TableContents"/>
              <w:bidi w:val="0"/>
              <w:spacing w:before="0" w:after="283"/>
              <w:jc w:val="left"/>
              <w:rPr>
                <w:sz w:val="4"/>
                <w:szCs w:val="4"/>
              </w:rPr>
            </w:pPr>
            <w:r>
              <w:rPr>
                <w:sz w:val="4"/>
                <w:szCs w:val="4"/>
              </w:rPr>
            </w:r>
          </w:p>
        </w:tc>
      </w:tr>
      <w:tr>
        <w:trPr/>
        <w:tc>
          <w:tcPr>
            <w:tcW w:w="6996"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Quarterly Segment Information (Unaudited)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2" w:type="dxa"/>
            <w:gridSpan w:val="12"/>
            <w:tcBorders/>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03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net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51,072 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35,951 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21,870 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 costs, net </w:t>
            </w:r>
            <w:r>
              <w:rPr>
                <w:rFonts w:ascii="Times New Roman;serif" w:hAnsi="Times New Roman;serif"/>
                <w:b/>
                <w:color w:val="000000"/>
                <w:sz w:val="16"/>
              </w:rPr>
              <w:t>(3)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14,631 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9,925 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15,284 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3,253 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17,065 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18,411 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ratio (1)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 ratio (2)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ratio</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996" w:type="dxa"/>
            <w:gridSpan w:val="2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Loss ratio is calculated by dividing the provision for losses and LAE by net premiums earned.</w:t>
            </w:r>
          </w:p>
        </w:tc>
        <w:tc>
          <w:tcPr>
            <w:tcW w:w="3209" w:type="dxa"/>
            <w:gridSpan w:val="15"/>
            <w:tcBorders/>
          </w:tcPr>
          <w:p>
            <w:pPr>
              <w:pStyle w:val="TableContents"/>
              <w:bidi w:val="0"/>
              <w:spacing w:before="0" w:after="283"/>
              <w:jc w:val="left"/>
              <w:rPr>
                <w:sz w:val="4"/>
                <w:szCs w:val="4"/>
              </w:rPr>
            </w:pPr>
            <w:r>
              <w:rPr>
                <w:sz w:val="4"/>
                <w:szCs w:val="4"/>
              </w:rPr>
            </w:r>
          </w:p>
        </w:tc>
      </w:tr>
      <w:tr>
        <w:trPr/>
        <w:tc>
          <w:tcPr>
            <w:tcW w:w="6996" w:type="dxa"/>
            <w:gridSpan w:val="2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Expense ratio is calculated by dividing operating expenses after allocations by net premiums earned.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2" w:type="dxa"/>
            <w:gridSpan w:val="12"/>
            <w:tcBorders/>
          </w:tcPr>
          <w:p>
            <w:pPr>
              <w:pStyle w:val="TableContents"/>
              <w:bidi w:val="0"/>
              <w:spacing w:before="0" w:after="283"/>
              <w:jc w:val="left"/>
              <w:rPr>
                <w:sz w:val="4"/>
                <w:szCs w:val="4"/>
              </w:rPr>
            </w:pPr>
            <w:r>
              <w:rPr>
                <w:sz w:val="4"/>
                <w:szCs w:val="4"/>
              </w:rPr>
            </w:r>
          </w:p>
        </w:tc>
      </w:tr>
      <w:tr>
        <w:trPr/>
        <w:tc>
          <w:tcPr>
            <w:tcW w:w="6996" w:type="dxa"/>
            <w:gridSpan w:val="2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(3) </w:t>
            </w:r>
            <w:r>
              <w:rPr>
                <w:rFonts w:ascii="Times New Roman;serif" w:hAnsi="Times New Roman;serif"/>
                <w:b w:val="false"/>
                <w:color w:val="000000"/>
                <w:sz w:val="14"/>
              </w:rPr>
              <w:t>Acquisition costs are net of ceding commissions earned on outward reinsurance and include ceding commissions incurred on reinsurance assumed.</w:t>
            </w:r>
          </w:p>
        </w:tc>
        <w:tc>
          <w:tcPr>
            <w:tcW w:w="3209"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73"/>
        <w:gridCol w:w="912"/>
        <w:gridCol w:w="914"/>
        <w:gridCol w:w="109"/>
        <w:gridCol w:w="109"/>
        <w:gridCol w:w="109"/>
        <w:gridCol w:w="109"/>
        <w:gridCol w:w="109"/>
        <w:gridCol w:w="196"/>
        <w:gridCol w:w="646"/>
        <w:gridCol w:w="109"/>
        <w:gridCol w:w="109"/>
        <w:gridCol w:w="109"/>
        <w:gridCol w:w="109"/>
        <w:gridCol w:w="196"/>
        <w:gridCol w:w="646"/>
        <w:gridCol w:w="109"/>
        <w:gridCol w:w="109"/>
        <w:gridCol w:w="109"/>
        <w:gridCol w:w="109"/>
        <w:gridCol w:w="213"/>
        <w:gridCol w:w="705"/>
        <w:gridCol w:w="118"/>
        <w:gridCol w:w="109"/>
        <w:gridCol w:w="109"/>
        <w:gridCol w:w="109"/>
        <w:gridCol w:w="221"/>
        <w:gridCol w:w="733"/>
        <w:gridCol w:w="123"/>
        <w:gridCol w:w="109"/>
        <w:gridCol w:w="109"/>
        <w:gridCol w:w="109"/>
        <w:gridCol w:w="196"/>
        <w:gridCol w:w="646"/>
        <w:gridCol w:w="109"/>
        <w:gridCol w:w="109"/>
        <w:gridCol w:w="109"/>
        <w:gridCol w:w="109"/>
        <w:gridCol w:w="160"/>
      </w:tblGrid>
      <w:tr>
        <w:trPr/>
        <w:tc>
          <w:tcPr>
            <w:tcW w:w="107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E, continued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000"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4205" w:type="dxa"/>
            <w:gridSpan w:val="19"/>
            <w:tcBorders/>
          </w:tcPr>
          <w:p>
            <w:pPr>
              <w:pStyle w:val="TableContents"/>
              <w:bidi w:val="0"/>
              <w:spacing w:before="0" w:after="283"/>
              <w:jc w:val="left"/>
              <w:rPr>
                <w:sz w:val="4"/>
                <w:szCs w:val="4"/>
              </w:rPr>
            </w:pPr>
            <w:r>
              <w:rPr>
                <w:sz w:val="4"/>
                <w:szCs w:val="4"/>
              </w:rPr>
            </w:r>
          </w:p>
        </w:tc>
      </w:tr>
      <w:tr>
        <w:trPr/>
        <w:tc>
          <w:tcPr>
            <w:tcW w:w="6000"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4205" w:type="dxa"/>
            <w:gridSpan w:val="19"/>
            <w:tcBorders/>
          </w:tcPr>
          <w:p>
            <w:pPr>
              <w:pStyle w:val="TableContents"/>
              <w:bidi w:val="0"/>
              <w:spacing w:before="0" w:after="283"/>
              <w:jc w:val="left"/>
              <w:rPr>
                <w:sz w:val="4"/>
                <w:szCs w:val="4"/>
              </w:rPr>
            </w:pPr>
            <w:r>
              <w:rPr>
                <w:sz w:val="4"/>
                <w:szCs w:val="4"/>
              </w:rPr>
            </w:r>
          </w:p>
        </w:tc>
      </w:tr>
      <w:tr>
        <w:trPr/>
        <w:tc>
          <w:tcPr>
            <w:tcW w:w="6000"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Historical Quarterly Segment Information</w:t>
            </w:r>
          </w:p>
        </w:tc>
        <w:tc>
          <w:tcPr>
            <w:tcW w:w="4205" w:type="dxa"/>
            <w:gridSpan w:val="19"/>
            <w:tcBorders/>
          </w:tcPr>
          <w:p>
            <w:pPr>
              <w:pStyle w:val="TableContents"/>
              <w:bidi w:val="0"/>
              <w:spacing w:before="0" w:after="283"/>
              <w:jc w:val="left"/>
              <w:rPr>
                <w:sz w:val="4"/>
                <w:szCs w:val="4"/>
              </w:rPr>
            </w:pPr>
            <w:r>
              <w:rPr>
                <w:sz w:val="4"/>
                <w:szCs w:val="4"/>
              </w:rPr>
            </w:r>
          </w:p>
        </w:tc>
      </w:tr>
      <w:tr>
        <w:trPr/>
        <w:tc>
          <w:tcPr>
            <w:tcW w:w="6000" w:type="dxa"/>
            <w:gridSpan w:val="2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205" w:type="dxa"/>
            <w:gridSpan w:val="19"/>
            <w:tcBorders/>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&amp; Other</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31,258 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expenses before allocations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expense allocations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 after allocations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(5,295)</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8"/>
        <w:gridCol w:w="744"/>
        <w:gridCol w:w="746"/>
        <w:gridCol w:w="120"/>
        <w:gridCol w:w="120"/>
        <w:gridCol w:w="120"/>
        <w:gridCol w:w="120"/>
        <w:gridCol w:w="120"/>
        <w:gridCol w:w="216"/>
        <w:gridCol w:w="812"/>
        <w:gridCol w:w="120"/>
        <w:gridCol w:w="120"/>
        <w:gridCol w:w="120"/>
        <w:gridCol w:w="120"/>
        <w:gridCol w:w="216"/>
        <w:gridCol w:w="812"/>
        <w:gridCol w:w="120"/>
        <w:gridCol w:w="120"/>
        <w:gridCol w:w="120"/>
        <w:gridCol w:w="120"/>
        <w:gridCol w:w="196"/>
        <w:gridCol w:w="738"/>
        <w:gridCol w:w="109"/>
        <w:gridCol w:w="109"/>
        <w:gridCol w:w="109"/>
        <w:gridCol w:w="109"/>
        <w:gridCol w:w="200"/>
        <w:gridCol w:w="751"/>
        <w:gridCol w:w="111"/>
        <w:gridCol w:w="109"/>
        <w:gridCol w:w="109"/>
        <w:gridCol w:w="109"/>
        <w:gridCol w:w="196"/>
        <w:gridCol w:w="736"/>
        <w:gridCol w:w="109"/>
        <w:gridCol w:w="109"/>
        <w:gridCol w:w="162"/>
      </w:tblGrid>
      <w:tr>
        <w:trPr/>
        <w:tc>
          <w:tcPr>
            <w:tcW w:w="102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1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271" w:type="dxa"/>
            <w:gridSpan w:val="2"/>
            <w:tcBorders/>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71" w:type="dxa"/>
            <w:gridSpan w:val="2"/>
            <w:tcBorders/>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276,764 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260,093 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246,332 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61,612 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investment gains (losses), net</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other invested assets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362,686 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336,072 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311,830 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Losses and expenses: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and LAE</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 and other taxes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Acquisition costs, net </w:t>
            </w:r>
            <w:r>
              <w:rPr>
                <w:rFonts w:ascii="Times New Roman;serif" w:hAnsi="Times New Roman;serif"/>
                <w:b/>
                <w:color w:val="000000"/>
                <w:sz w:val="16"/>
              </w:rPr>
              <w:t>(1)</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and operating expenses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underwriting and operating expenses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72,983 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230,319 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206,725 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184,529 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199,159 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34" w:type="dxa"/>
            <w:gridSpan w:val="2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(1) </w:t>
            </w:r>
            <w:r>
              <w:rPr>
                <w:rFonts w:ascii="Times New Roman;serif" w:hAnsi="Times New Roman;serif"/>
                <w:b w:val="false"/>
                <w:color w:val="000000"/>
                <w:sz w:val="14"/>
              </w:rPr>
              <w:t>Acquisition costs are net of ceding commissions earned on outward reinsurance and include ceding commissions incurred on reinsurance assumed.</w:t>
            </w:r>
          </w:p>
        </w:tc>
        <w:tc>
          <w:tcPr>
            <w:tcW w:w="4071" w:type="dxa"/>
            <w:gridSpan w:val="1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84"/>
        <w:gridCol w:w="346"/>
        <w:gridCol w:w="349"/>
        <w:gridCol w:w="115"/>
        <w:gridCol w:w="115"/>
        <w:gridCol w:w="115"/>
        <w:gridCol w:w="192"/>
        <w:gridCol w:w="926"/>
        <w:gridCol w:w="233"/>
        <w:gridCol w:w="115"/>
        <w:gridCol w:w="115"/>
        <w:gridCol w:w="115"/>
        <w:gridCol w:w="115"/>
        <w:gridCol w:w="115"/>
        <w:gridCol w:w="115"/>
        <w:gridCol w:w="115"/>
        <w:gridCol w:w="192"/>
        <w:gridCol w:w="926"/>
        <w:gridCol w:w="233"/>
        <w:gridCol w:w="115"/>
        <w:gridCol w:w="115"/>
        <w:gridCol w:w="115"/>
        <w:gridCol w:w="192"/>
        <w:gridCol w:w="926"/>
        <w:gridCol w:w="233"/>
        <w:gridCol w:w="109"/>
        <w:gridCol w:w="109"/>
        <w:gridCol w:w="109"/>
        <w:gridCol w:w="181"/>
        <w:gridCol w:w="871"/>
        <w:gridCol w:w="217"/>
        <w:gridCol w:w="109"/>
        <w:gridCol w:w="109"/>
        <w:gridCol w:w="109"/>
        <w:gridCol w:w="181"/>
        <w:gridCol w:w="871"/>
        <w:gridCol w:w="217"/>
        <w:gridCol w:w="109"/>
        <w:gridCol w:w="177"/>
      </w:tblGrid>
      <w:tr>
        <w:trPr/>
        <w:tc>
          <w:tcPr>
            <w:tcW w:w="48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F</w:t>
            </w:r>
          </w:p>
        </w:tc>
        <w:tc>
          <w:tcPr>
            <w:tcW w:w="286" w:type="dxa"/>
            <w:gridSpan w:val="2"/>
            <w:tcBorders/>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478" w:type="dxa"/>
            <w:gridSpan w:val="14"/>
            <w:tcBorders/>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478" w:type="dxa"/>
            <w:gridSpan w:val="14"/>
            <w:tcBorders/>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 - Historical Quarterly Data</w:t>
            </w:r>
          </w:p>
        </w:tc>
        <w:tc>
          <w:tcPr>
            <w:tcW w:w="3478" w:type="dxa"/>
            <w:gridSpan w:val="14"/>
            <w:tcBorders/>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478" w:type="dxa"/>
            <w:gridSpan w:val="14"/>
            <w:tcBorders/>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 in thousands)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insurance written</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14,144,104 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11,076,190 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11,840,227 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12,233,252 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12,544,731 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risk written</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3,822,560 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2,893,697 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3,030,169 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3,239,497 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3,357,820 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Average insurance in force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248,468,781 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247,838,392 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248,695,560 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247,821,046 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245,747,813 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Insurance in force (end of period)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249,720,234 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247,909,417 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248,356,397 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248,808,341 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246,797,619 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Gross risk in force (end of period) </w:t>
            </w:r>
            <w:r>
              <w:rPr>
                <w:rFonts w:ascii="Times New Roman;serif" w:hAnsi="Times New Roman;serif"/>
                <w:b/>
                <w:color w:val="000000"/>
                <w:sz w:val="14"/>
              </w:rPr>
              <w:t>(1)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68,465,872 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67,916,263 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68,053,447 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68,262,577 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67,683,239 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Risk in force (end of period)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56,435,078 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56,271,605 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56,519,839 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56,940,929 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56,811,096 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Policies in force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801,140 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801,394 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807,230 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812,856 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812,182 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Weighted average coverage</w:t>
            </w:r>
            <w:r>
              <w:rPr>
                <w:color w:val="000000"/>
              </w:rPr>
              <w:t xml:space="preserve"> </w:t>
            </w:r>
            <w:r>
              <w:rPr>
                <w:rFonts w:ascii="Times New Roman;serif" w:hAnsi="Times New Roman;serif"/>
                <w:b/>
                <w:color w:val="000000"/>
                <w:sz w:val="14"/>
              </w:rPr>
              <w:t>(2)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Annual persistency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84.7 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85.7 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85.8 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 in default (count)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20,332 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18,583 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17,255 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Percentage of loans in default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4"/>
              </w:rPr>
              <w:t xml:space="preserve">Base average premium rate </w:t>
            </w:r>
            <w:r>
              <w:rPr>
                <w:rFonts w:ascii="Times New Roman;serif" w:hAnsi="Times New Roman;serif"/>
                <w:b/>
                <w:color w:val="000000"/>
                <w:sz w:val="14"/>
              </w:rPr>
              <w:t>(3)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0.40 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4"/>
              </w:rPr>
              <w:t xml:space="preserve">Single premium cancellation </w:t>
            </w:r>
            <w:r>
              <w:rPr>
                <w:rFonts w:ascii="Times New Roman;serif" w:hAnsi="Times New Roman;serif"/>
                <w:b/>
                <w:color w:val="000000"/>
                <w:sz w:val="14"/>
              </w:rPr>
              <w:t>(4)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Gross average premium rate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0.40 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0.41 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Ceded premiums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(0.05</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(0.06</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(0.07</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(0.06</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(0.05</w:t>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Net average premium rate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0.35 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0.35 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0.34 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0.35 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0.36 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Gross risk in force includes risk ceded under third-party reinsurance.</w:t>
            </w:r>
          </w:p>
        </w:tc>
        <w:tc>
          <w:tcPr>
            <w:tcW w:w="3478" w:type="dxa"/>
            <w:gridSpan w:val="14"/>
            <w:tcBorders/>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Weighted average coverage is calculated by dividing end of period gross risk in force by end of period insurance in force.</w:t>
            </w:r>
          </w:p>
        </w:tc>
        <w:tc>
          <w:tcPr>
            <w:tcW w:w="3478" w:type="dxa"/>
            <w:gridSpan w:val="14"/>
            <w:tcBorders/>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(3)</w:t>
            </w:r>
            <w:r>
              <w:rPr>
                <w:color w:val="000000"/>
              </w:rPr>
              <w:t xml:space="preserve"> </w:t>
            </w:r>
            <w:r>
              <w:rPr>
                <w:rFonts w:ascii="Times New Roman;serif" w:hAnsi="Times New Roman;serif"/>
                <w:b w:val="false"/>
                <w:color w:val="000000"/>
                <w:sz w:val="14"/>
              </w:rPr>
              <w:t>Base average premium rate is calculated by dividing annualized base premiums earned by average insurance in force for the period.</w:t>
            </w:r>
          </w:p>
        </w:tc>
        <w:tc>
          <w:tcPr>
            <w:tcW w:w="3478" w:type="dxa"/>
            <w:gridSpan w:val="14"/>
            <w:tcBorders/>
          </w:tcPr>
          <w:p>
            <w:pPr>
              <w:pStyle w:val="TableContents"/>
              <w:bidi w:val="0"/>
              <w:spacing w:before="0" w:after="283"/>
              <w:jc w:val="left"/>
              <w:rPr>
                <w:sz w:val="4"/>
                <w:szCs w:val="4"/>
              </w:rPr>
            </w:pPr>
            <w:r>
              <w:rPr>
                <w:sz w:val="4"/>
                <w:szCs w:val="4"/>
              </w:rPr>
            </w:r>
          </w:p>
        </w:tc>
      </w:tr>
      <w:tr>
        <w:trPr/>
        <w:tc>
          <w:tcPr>
            <w:tcW w:w="6727"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(4)</w:t>
            </w:r>
            <w:r>
              <w:rPr>
                <w:color w:val="000000"/>
              </w:rPr>
              <w:t xml:space="preserve"> </w:t>
            </w:r>
            <w:r>
              <w:rPr>
                <w:rFonts w:ascii="Times New Roman;serif" w:hAnsi="Times New Roman;serif"/>
                <w:b w:val="false"/>
                <w:color w:val="000000"/>
                <w:sz w:val="14"/>
              </w:rPr>
              <w:t>Single premium cancellation is calculated by dividing annualized premiums on the cancellation of non-refundable single premium policies by average insurance in force for the period.</w:t>
            </w:r>
          </w:p>
        </w:tc>
        <w:tc>
          <w:tcPr>
            <w:tcW w:w="3478" w:type="dxa"/>
            <w:gridSpan w:val="14"/>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091" w:type="dxa"/>
        <w:jc w:val="center"/>
        <w:tblInd w:w="0" w:type="dxa"/>
        <w:tblLayout w:type="fixed"/>
        <w:tblCellMar>
          <w:top w:w="28" w:type="dxa"/>
          <w:left w:w="28" w:type="dxa"/>
          <w:bottom w:w="28" w:type="dxa"/>
          <w:right w:w="28" w:type="dxa"/>
        </w:tblCellMar>
      </w:tblPr>
      <w:tblGrid>
        <w:gridCol w:w="294"/>
        <w:gridCol w:w="258"/>
        <w:gridCol w:w="259"/>
        <w:gridCol w:w="196"/>
        <w:gridCol w:w="961"/>
        <w:gridCol w:w="241"/>
        <w:gridCol w:w="254"/>
        <w:gridCol w:w="257"/>
        <w:gridCol w:w="241"/>
        <w:gridCol w:w="109"/>
        <w:gridCol w:w="109"/>
        <w:gridCol w:w="109"/>
        <w:gridCol w:w="109"/>
        <w:gridCol w:w="109"/>
        <w:gridCol w:w="109"/>
        <w:gridCol w:w="196"/>
        <w:gridCol w:w="961"/>
        <w:gridCol w:w="241"/>
        <w:gridCol w:w="254"/>
        <w:gridCol w:w="257"/>
        <w:gridCol w:w="241"/>
        <w:gridCol w:w="109"/>
        <w:gridCol w:w="109"/>
        <w:gridCol w:w="109"/>
        <w:gridCol w:w="196"/>
        <w:gridCol w:w="961"/>
        <w:gridCol w:w="241"/>
        <w:gridCol w:w="254"/>
        <w:gridCol w:w="257"/>
        <w:gridCol w:w="241"/>
        <w:gridCol w:w="109"/>
        <w:gridCol w:w="109"/>
        <w:gridCol w:w="109"/>
        <w:gridCol w:w="196"/>
        <w:gridCol w:w="961"/>
        <w:gridCol w:w="241"/>
        <w:gridCol w:w="254"/>
        <w:gridCol w:w="257"/>
        <w:gridCol w:w="241"/>
        <w:gridCol w:w="109"/>
        <w:gridCol w:w="109"/>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24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24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 - New Insurance Written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NIW by Credit Score</w:t>
            </w:r>
            <w:r>
              <w:rPr>
                <w:color w:val="000000"/>
              </w:rPr>
              <w:t xml:space="preserve"> </w:t>
            </w:r>
            <w:r>
              <w:rPr>
                <w:rFonts w:ascii="Times New Roman;serif" w:hAnsi="Times New Roman;serif"/>
                <w:b/>
                <w:color w:val="000000"/>
                <w:sz w:val="14"/>
              </w:rPr>
              <w:t>(1)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849"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&gt;=760</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7,017,351 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6,274,130 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13,136,338 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11,016,229 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740-759</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2,026,615 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2,008,226 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3,677,246 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3,734,281 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720-739</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1,756,882 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1,598,919 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3,009,684 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2,898,918 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700-719</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1,712,690 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1,320,817 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2,743,916 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2,485,800 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680-699</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917,145 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731,994 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1,484,923 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1,306,651 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&lt;=679</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713,421 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610,645 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1,048,188 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14,144,104 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12,544,731 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25,220,294 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22,490,067 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credit score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NIW by LTV</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849"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85.00% and below</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1,169,164 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1,124,637 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2,386,870 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1,863,256 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85.01% to 90.00%</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3,440,697 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2,957,886 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6,639,746 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5,236,176 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90.01% to 95.00%</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7,054,406 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6,393,500 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12,350,937 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11,669,518 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95.01% and above</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2,479,837 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2,068,708 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3,842,741 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3,721,117 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14,144,104 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12,544,731 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25,220,294 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22,490,067 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LTV</w:t>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NIW by Product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849"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premium policies</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Monthly premium policies</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NIW by Purchase vs. Refinance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849"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7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w:t>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2"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 xml:space="preserve">Beginning in the three months ended June 30, 2026, a de minimis amount of NIW was submitted with a VantageScore credit score rather than a FICO credit score.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2003" w:type="dxa"/>
        <w:jc w:val="center"/>
        <w:tblInd w:w="0" w:type="dxa"/>
        <w:tblLayout w:type="fixed"/>
        <w:tblCellMar>
          <w:top w:w="28" w:type="dxa"/>
          <w:left w:w="28" w:type="dxa"/>
          <w:bottom w:w="28" w:type="dxa"/>
          <w:right w:w="28" w:type="dxa"/>
        </w:tblCellMar>
      </w:tblPr>
      <w:tblGrid>
        <w:gridCol w:w="303"/>
        <w:gridCol w:w="253"/>
        <w:gridCol w:w="255"/>
        <w:gridCol w:w="196"/>
        <w:gridCol w:w="1051"/>
        <w:gridCol w:w="241"/>
        <w:gridCol w:w="196"/>
        <w:gridCol w:w="1051"/>
        <w:gridCol w:w="241"/>
        <w:gridCol w:w="232"/>
        <w:gridCol w:w="234"/>
        <w:gridCol w:w="241"/>
        <w:gridCol w:w="196"/>
        <w:gridCol w:w="1051"/>
        <w:gridCol w:w="241"/>
        <w:gridCol w:w="196"/>
        <w:gridCol w:w="1051"/>
        <w:gridCol w:w="241"/>
        <w:gridCol w:w="232"/>
        <w:gridCol w:w="234"/>
        <w:gridCol w:w="241"/>
        <w:gridCol w:w="196"/>
        <w:gridCol w:w="1051"/>
        <w:gridCol w:w="241"/>
        <w:gridCol w:w="196"/>
        <w:gridCol w:w="1051"/>
        <w:gridCol w:w="241"/>
        <w:gridCol w:w="232"/>
        <w:gridCol w:w="234"/>
        <w:gridCol w:w="384"/>
      </w:tblGrid>
      <w:tr>
        <w:trPr/>
        <w:tc>
          <w:tcPr>
            <w:tcW w:w="3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H</w:t>
            </w:r>
          </w:p>
        </w:tc>
      </w:tr>
      <w:tr>
        <w:trPr/>
        <w:tc>
          <w:tcPr>
            <w:tcW w:w="111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850" w:type="dxa"/>
            <w:gridSpan w:val="3"/>
            <w:tcBorders/>
          </w:tcPr>
          <w:p>
            <w:pPr>
              <w:pStyle w:val="TableContents"/>
              <w:bidi w:val="0"/>
              <w:spacing w:before="0" w:after="283"/>
              <w:jc w:val="left"/>
              <w:rPr>
                <w:sz w:val="4"/>
                <w:szCs w:val="4"/>
              </w:rPr>
            </w:pPr>
            <w:r>
              <w:rPr>
                <w:sz w:val="4"/>
                <w:szCs w:val="4"/>
              </w:rPr>
            </w:r>
          </w:p>
        </w:tc>
      </w:tr>
      <w:tr>
        <w:trPr/>
        <w:tc>
          <w:tcPr>
            <w:tcW w:w="111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850" w:type="dxa"/>
            <w:gridSpan w:val="3"/>
            <w:tcBorders/>
          </w:tcPr>
          <w:p>
            <w:pPr>
              <w:pStyle w:val="TableContents"/>
              <w:bidi w:val="0"/>
              <w:spacing w:before="0" w:after="283"/>
              <w:jc w:val="left"/>
              <w:rPr>
                <w:sz w:val="4"/>
                <w:szCs w:val="4"/>
              </w:rPr>
            </w:pPr>
            <w:r>
              <w:rPr>
                <w:sz w:val="4"/>
                <w:szCs w:val="4"/>
              </w:rPr>
            </w:r>
          </w:p>
        </w:tc>
      </w:tr>
      <w:tr>
        <w:trPr/>
        <w:tc>
          <w:tcPr>
            <w:tcW w:w="111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 - Insurance in Force and Risk in Force</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Portfolio by Credit Score</w:t>
            </w:r>
            <w:r>
              <w:rPr>
                <w:color w:val="000000"/>
              </w:rPr>
              <w:t xml:space="preserve"> </w:t>
            </w:r>
            <w:r>
              <w:rPr>
                <w:rFonts w:ascii="Times New Roman;serif" w:hAnsi="Times New Roman;serif"/>
                <w:b/>
                <w:color w:val="000000"/>
                <w:sz w:val="14"/>
              </w:rPr>
              <w:t>(1)</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in Force</w:t>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&gt;=760</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105,982,606 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104,715,580 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101,554,517 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740-759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42,848,263 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42,906,709 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43,146,312 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720-739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37,328,645 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37,323,783 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38,115,925 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700-719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32,515,464 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32,210,355 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32,789,773 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680-699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19,282,243 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19,194,941 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19,666,338 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&lt;=679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11,763,013 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11,558,049 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11,524,754 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249,720,234 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247,909,417 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246,797,619 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credit score</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in Force</w:t>
            </w:r>
          </w:p>
        </w:tc>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&gt;=760</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28,763,509 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28,401,453 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27,578,860 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740-759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11,895,196 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11,899,312 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11,989,491 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720-739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10,371,860 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10,356,369 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10,584,541 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700-719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9,068,601 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8,977,150 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9,136,075 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680-699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5,347,877 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5,316,639 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5,434,287 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&lt;=679</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3,018,829 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2,965,340 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2,959,985 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68,465,872 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67,916,263 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67,683,239 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 by LTV</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in Force</w:t>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85.00% and below</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15,285,556 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14,976,850 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14,309,342 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85.01% to 90.00%</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56,279,141 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57,370,862 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59,432,276 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90.01% to 95.00%</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133,466,114 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132,048,705 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130,210,803 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95.01% and above</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44,689,423 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43,513,000 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42,845,198 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249,720,234 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247,909,417 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246,797,619 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LTV</w:t>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21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 in Force</w:t>
            </w:r>
          </w:p>
        </w:tc>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85.00% and below</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1,788,794 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1,752,508 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1,689,437 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85.01% to 90.00%</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13,776,656 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14,061,350 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14,653,527 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90.01% to 95.00%</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39,355,100 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38,936,750 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38,402,295 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95.01% and above</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13,545,322 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13,165,655 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12,937,980 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68,465,872 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67,916,263 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67,683,239 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 by Loan Amortization Period</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in Force</w:t>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FRM 30 years and higher</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241,429,013 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240,268,121 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241,225,436 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w:t>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FRM 20-25 years</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1,733,836 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1,631,244 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1,024,884 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FRM 15 years</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2,385,701 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2,214,086 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1,465,011 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ARM 5 years and higher</w:t>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4,171,684 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3,795,966 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3,082,288 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249,720,234 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247,909,417 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246,797,619 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0" w:type="dxa"/>
            <w:gridSpan w:val="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53"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 xml:space="preserve">Beginning in the three months ended June 30, 2026, a de minimis amount of active policies were submitted with a VantageScore credit score rather than a FICO credit score. </w:t>
            </w:r>
          </w:p>
        </w:tc>
        <w:tc>
          <w:tcPr>
            <w:tcW w:w="850"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1027" w:type="dxa"/>
        <w:jc w:val="center"/>
        <w:tblInd w:w="0" w:type="dxa"/>
        <w:tblLayout w:type="fixed"/>
        <w:tblCellMar>
          <w:top w:w="28" w:type="dxa"/>
          <w:left w:w="28" w:type="dxa"/>
          <w:bottom w:w="28" w:type="dxa"/>
          <w:right w:w="28" w:type="dxa"/>
        </w:tblCellMar>
      </w:tblPr>
      <w:tblGrid>
        <w:gridCol w:w="298"/>
        <w:gridCol w:w="173"/>
        <w:gridCol w:w="160"/>
        <w:gridCol w:w="181"/>
        <w:gridCol w:w="871"/>
        <w:gridCol w:w="109"/>
        <w:gridCol w:w="181"/>
        <w:gridCol w:w="871"/>
        <w:gridCol w:w="109"/>
        <w:gridCol w:w="232"/>
        <w:gridCol w:w="232"/>
        <w:gridCol w:w="452"/>
        <w:gridCol w:w="426"/>
        <w:gridCol w:w="190"/>
        <w:gridCol w:w="191"/>
        <w:gridCol w:w="220"/>
        <w:gridCol w:w="171"/>
        <w:gridCol w:w="334"/>
        <w:gridCol w:w="206"/>
        <w:gridCol w:w="206"/>
        <w:gridCol w:w="399"/>
        <w:gridCol w:w="195"/>
        <w:gridCol w:w="196"/>
        <w:gridCol w:w="230"/>
        <w:gridCol w:w="238"/>
        <w:gridCol w:w="153"/>
        <w:gridCol w:w="230"/>
        <w:gridCol w:w="269"/>
        <w:gridCol w:w="122"/>
        <w:gridCol w:w="237"/>
        <w:gridCol w:w="262"/>
        <w:gridCol w:w="129"/>
        <w:gridCol w:w="253"/>
        <w:gridCol w:w="208"/>
        <w:gridCol w:w="183"/>
        <w:gridCol w:w="355"/>
        <w:gridCol w:w="351"/>
        <w:gridCol w:w="190"/>
        <w:gridCol w:w="191"/>
        <w:gridCol w:w="209"/>
        <w:gridCol w:w="182"/>
        <w:gridCol w:w="432"/>
      </w:tblGrid>
      <w:tr>
        <w:trPr/>
        <w:tc>
          <w:tcPr>
            <w:tcW w:w="2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I</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1102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r>
      <w:tr>
        <w:trPr/>
        <w:tc>
          <w:tcPr>
            <w:tcW w:w="1102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 - Vintage Data</w:t>
            </w:r>
          </w:p>
        </w:tc>
      </w:tr>
      <w:tr>
        <w:trPr/>
        <w:tc>
          <w:tcPr>
            <w:tcW w:w="1102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Insurance in Force</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Insurance</w:t>
              <w:br/>
              <w:t>Written</w:t>
              <w:br/>
              <w:t>($ 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Insurance</w:t>
              <w:br/>
              <w:t>in Force</w:t>
              <w:br/>
              <w:t>($ in thousands)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Remaining of Original</w:t>
              <w:br/>
              <w:t>Insurance</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Policies in Force</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Weighted Average Coupon</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Purchase</w:t>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&gt;90% LTV</w:t>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&gt;95% LTV</w:t>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Credit Score &lt; 700</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Credit Score &gt;= 760</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Incurred Loss Ratio (Inception to Date) (1)</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Number of Loans in Default</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 of Loans in Default</w:t>
            </w:r>
          </w:p>
        </w:tc>
      </w:tr>
      <w:tr>
        <w:trPr/>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2010 - 2016</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121,811,826 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2,386,975 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13,146 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71.5 </w:t>
            </w:r>
          </w:p>
        </w:tc>
        <w:tc>
          <w:tcPr>
            <w:tcW w:w="3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52.8 </w:t>
            </w:r>
          </w:p>
        </w:tc>
        <w:tc>
          <w:tcPr>
            <w:tcW w:w="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2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2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3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4.32 </w:t>
            </w:r>
          </w:p>
        </w:tc>
        <w:tc>
          <w:tcPr>
            <w:tcW w:w="4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2017</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43,858,322 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2,169,396 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14,118 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2018</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47,508,525 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3,314,292 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19,877 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2019</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63,569,183 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7,377,172 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2020</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107,944,065 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23,743,308 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101,070 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79.7 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2021</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84,218,250 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37,012,232 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130,843 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93.6 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75.3 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2022</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63,061,262 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42,323,563 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126,303 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98.6 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47,666,852 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31,851,543 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94,279 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45,561,332 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34,628,333 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96,480 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46,563,546 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40,156,852 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104,880 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0.92 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 (through June 30)</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25,220,294 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24,756,568 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61,743 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80.6 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0.10 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696,983,457 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249,720,234 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801,140 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91.4 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71.3 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4"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Incurred loss ratio is calculated by dividing the sum of case reserves and cumulative amount paid for claims by cumulative premiums earned, excluding the impact of any outward reinsurance.</w:t>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80" w:type="dxa"/>
        <w:jc w:val="center"/>
        <w:tblInd w:w="0" w:type="dxa"/>
        <w:tblLayout w:type="fixed"/>
        <w:tblCellMar>
          <w:top w:w="28" w:type="dxa"/>
          <w:left w:w="28" w:type="dxa"/>
          <w:bottom w:w="28" w:type="dxa"/>
          <w:right w:w="28" w:type="dxa"/>
        </w:tblCellMar>
      </w:tblPr>
      <w:tblGrid>
        <w:gridCol w:w="124"/>
        <w:gridCol w:w="109"/>
        <w:gridCol w:w="109"/>
        <w:gridCol w:w="481"/>
        <w:gridCol w:w="481"/>
        <w:gridCol w:w="481"/>
        <w:gridCol w:w="481"/>
        <w:gridCol w:w="481"/>
        <w:gridCol w:w="481"/>
        <w:gridCol w:w="481"/>
        <w:gridCol w:w="481"/>
        <w:gridCol w:w="481"/>
        <w:gridCol w:w="237"/>
        <w:gridCol w:w="237"/>
        <w:gridCol w:w="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J</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 - Outward Reinsurance Vintage Data</w:t>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3351" w:type="dxa"/>
        <w:jc w:val="center"/>
        <w:tblInd w:w="0" w:type="dxa"/>
        <w:tblLayout w:type="fixed"/>
        <w:tblCellMar>
          <w:top w:w="28" w:type="dxa"/>
          <w:left w:w="28" w:type="dxa"/>
          <w:bottom w:w="28" w:type="dxa"/>
          <w:right w:w="28" w:type="dxa"/>
        </w:tblCellMar>
      </w:tblPr>
      <w:tblGrid>
        <w:gridCol w:w="261"/>
        <w:gridCol w:w="229"/>
        <w:gridCol w:w="231"/>
        <w:gridCol w:w="190"/>
        <w:gridCol w:w="190"/>
        <w:gridCol w:w="191"/>
        <w:gridCol w:w="109"/>
        <w:gridCol w:w="181"/>
        <w:gridCol w:w="871"/>
        <w:gridCol w:w="109"/>
        <w:gridCol w:w="109"/>
        <w:gridCol w:w="181"/>
        <w:gridCol w:w="796"/>
        <w:gridCol w:w="109"/>
        <w:gridCol w:w="109"/>
        <w:gridCol w:w="109"/>
        <w:gridCol w:w="109"/>
        <w:gridCol w:w="181"/>
        <w:gridCol w:w="721"/>
        <w:gridCol w:w="109"/>
        <w:gridCol w:w="109"/>
        <w:gridCol w:w="109"/>
        <w:gridCol w:w="109"/>
        <w:gridCol w:w="181"/>
        <w:gridCol w:w="616"/>
        <w:gridCol w:w="109"/>
        <w:gridCol w:w="109"/>
        <w:gridCol w:w="109"/>
        <w:gridCol w:w="109"/>
        <w:gridCol w:w="181"/>
        <w:gridCol w:w="406"/>
        <w:gridCol w:w="109"/>
        <w:gridCol w:w="109"/>
        <w:gridCol w:w="109"/>
        <w:gridCol w:w="109"/>
        <w:gridCol w:w="181"/>
        <w:gridCol w:w="721"/>
        <w:gridCol w:w="109"/>
        <w:gridCol w:w="181"/>
        <w:gridCol w:w="721"/>
        <w:gridCol w:w="109"/>
        <w:gridCol w:w="109"/>
        <w:gridCol w:w="109"/>
        <w:gridCol w:w="109"/>
        <w:gridCol w:w="232"/>
        <w:gridCol w:w="693"/>
        <w:gridCol w:w="141"/>
        <w:gridCol w:w="189"/>
        <w:gridCol w:w="567"/>
        <w:gridCol w:w="115"/>
        <w:gridCol w:w="109"/>
        <w:gridCol w:w="109"/>
        <w:gridCol w:w="109"/>
        <w:gridCol w:w="181"/>
        <w:gridCol w:w="616"/>
        <w:gridCol w:w="109"/>
        <w:gridCol w:w="15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 in thousands)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2"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Insurance Linked Notes (1)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4"/>
            <w:tcBorders/>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Earned Premiums Ceded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Deal Name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Vintage</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Insurance</w:t>
              <w:br/>
              <w:t>in Force</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Risk</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Losses</w:t>
              <w:br/>
              <w:t>Ceded</w:t>
              <w:br/>
              <w:t>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First Layer</w:t>
              <w:br/>
              <w:t>Retention</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Quarter-to-Date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Reduction in PMIERs Minimum Required Assets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Radnor Re 2021-1</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Aug. 2020 - Mar. 2021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15,836,468 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4,438,234 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557,911 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278,956 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Radnor Re 2021-2</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Apr. 2021 - Sep. 2021</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22,156,669 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6,327,178 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Radnor Re 2022-1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Oct. 2021 - Jul. 2022</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22,499,218 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6,295,041 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Radnor Re 2023-1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Aug. 2022 - Jun. 2023</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22,822,493 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6,296,006 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Radnor Re 2024-1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Jul. 2023 - Jul. 2024</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21,827,253 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6,054,012 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105,142,101 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29,410,471 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1,880,014 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700,529 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1,344,847 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10,294 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21,101 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600,308 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2991" w:type="dxa"/>
        <w:jc w:val="center"/>
        <w:tblInd w:w="0" w:type="dxa"/>
        <w:tblLayout w:type="fixed"/>
        <w:tblCellMar>
          <w:top w:w="28" w:type="dxa"/>
          <w:left w:w="28" w:type="dxa"/>
          <w:bottom w:w="28" w:type="dxa"/>
          <w:right w:w="28" w:type="dxa"/>
        </w:tblCellMar>
      </w:tblPr>
      <w:tblGrid>
        <w:gridCol w:w="178"/>
        <w:gridCol w:w="143"/>
        <w:gridCol w:w="145"/>
        <w:gridCol w:w="190"/>
        <w:gridCol w:w="190"/>
        <w:gridCol w:w="191"/>
        <w:gridCol w:w="109"/>
        <w:gridCol w:w="181"/>
        <w:gridCol w:w="871"/>
        <w:gridCol w:w="109"/>
        <w:gridCol w:w="109"/>
        <w:gridCol w:w="181"/>
        <w:gridCol w:w="796"/>
        <w:gridCol w:w="109"/>
        <w:gridCol w:w="109"/>
        <w:gridCol w:w="109"/>
        <w:gridCol w:w="109"/>
        <w:gridCol w:w="181"/>
        <w:gridCol w:w="616"/>
        <w:gridCol w:w="109"/>
        <w:gridCol w:w="109"/>
        <w:gridCol w:w="109"/>
        <w:gridCol w:w="109"/>
        <w:gridCol w:w="181"/>
        <w:gridCol w:w="616"/>
        <w:gridCol w:w="109"/>
        <w:gridCol w:w="109"/>
        <w:gridCol w:w="109"/>
        <w:gridCol w:w="109"/>
        <w:gridCol w:w="181"/>
        <w:gridCol w:w="406"/>
        <w:gridCol w:w="109"/>
        <w:gridCol w:w="109"/>
        <w:gridCol w:w="109"/>
        <w:gridCol w:w="109"/>
        <w:gridCol w:w="181"/>
        <w:gridCol w:w="721"/>
        <w:gridCol w:w="109"/>
        <w:gridCol w:w="181"/>
        <w:gridCol w:w="721"/>
        <w:gridCol w:w="109"/>
        <w:gridCol w:w="109"/>
        <w:gridCol w:w="109"/>
        <w:gridCol w:w="109"/>
        <w:gridCol w:w="263"/>
        <w:gridCol w:w="678"/>
        <w:gridCol w:w="125"/>
        <w:gridCol w:w="208"/>
        <w:gridCol w:w="536"/>
        <w:gridCol w:w="127"/>
        <w:gridCol w:w="109"/>
        <w:gridCol w:w="109"/>
        <w:gridCol w:w="109"/>
        <w:gridCol w:w="181"/>
        <w:gridCol w:w="616"/>
        <w:gridCol w:w="109"/>
        <w:gridCol w:w="154"/>
      </w:tblGrid>
      <w:tr>
        <w:trPr/>
        <w:tc>
          <w:tcPr>
            <w:tcW w:w="1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7"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Excess of Loss Reinsurance (2)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4"/>
            <w:tcBorders/>
          </w:tcPr>
          <w:p>
            <w:pPr>
              <w:pStyle w:val="TableContents"/>
              <w:bidi w:val="0"/>
              <w:spacing w:before="0" w:after="283"/>
              <w:jc w:val="left"/>
              <w:rPr>
                <w:sz w:val="4"/>
                <w:szCs w:val="4"/>
              </w:rPr>
            </w:pPr>
            <w:r>
              <w:rPr>
                <w:sz w:val="4"/>
                <w:szCs w:val="4"/>
              </w:rPr>
            </w:r>
          </w:p>
        </w:tc>
      </w:tr>
      <w:tr>
        <w:trPr/>
        <w:tc>
          <w:tcPr>
            <w:tcW w:w="1146"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Earned Premiums Ceded </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Deal Name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Vintage</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Insurance</w:t>
              <w:br/>
              <w:t>in Force</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Risk</w:t>
              <w:br/>
              <w:t>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Reinsurance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Losses</w:t>
              <w:br/>
              <w:t>Ceded</w:t>
              <w:br/>
              <w:t>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Original</w:t>
              <w:br/>
              <w:t>First Layer</w:t>
              <w:br/>
              <w:t>Retention</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w:t>
              <w:br/>
              <w:t>First Layer</w:t>
              <w:br/>
              <w:t>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Quarter-to-Date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Reduction in PMIERs Minimum Required Assets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(4) </w:t>
            </w:r>
            <w:r>
              <w:rPr>
                <w:rFonts w:ascii="Times New Roman;serif" w:hAnsi="Times New Roman;serif"/>
                <w:b w:val="false"/>
                <w:color w:val="000000"/>
                <w:sz w:val="14"/>
              </w:rPr>
              <w:t>XOL 2019-1</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2018 - Dec. 2018</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XOL 2020-1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2019 - Aug. 2019</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4,244,203 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XOL 2022-1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Oct. 2021 - Dec. 2022</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51,203,122 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14,212,909 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141,992 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XOL 2023-1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2023 - Dec. 2023</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28,813,310 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8,021,276 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XOL 2024-1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2024 - Dec. 2024</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32,088,603 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8,848,689 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XOL 2025-1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2025 - Dec. 2025</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40,096,727 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10,640,673 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156,445,965 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42,853,708 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372,547 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327,575 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1,763,679 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1,688,598 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3,445 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7,318 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287,552 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4766" w:type="dxa"/>
        <w:jc w:val="center"/>
        <w:tblInd w:w="0" w:type="dxa"/>
        <w:tblLayout w:type="fixed"/>
        <w:tblCellMar>
          <w:top w:w="28" w:type="dxa"/>
          <w:left w:w="28" w:type="dxa"/>
          <w:bottom w:w="28" w:type="dxa"/>
          <w:right w:w="28" w:type="dxa"/>
        </w:tblCellMar>
      </w:tblPr>
      <w:tblGrid>
        <w:gridCol w:w="157"/>
        <w:gridCol w:w="138"/>
        <w:gridCol w:w="141"/>
        <w:gridCol w:w="250"/>
        <w:gridCol w:w="250"/>
        <w:gridCol w:w="251"/>
        <w:gridCol w:w="109"/>
        <w:gridCol w:w="181"/>
        <w:gridCol w:w="871"/>
        <w:gridCol w:w="109"/>
        <w:gridCol w:w="109"/>
        <w:gridCol w:w="181"/>
        <w:gridCol w:w="796"/>
        <w:gridCol w:w="109"/>
        <w:gridCol w:w="109"/>
        <w:gridCol w:w="109"/>
        <w:gridCol w:w="109"/>
        <w:gridCol w:w="181"/>
        <w:gridCol w:w="796"/>
        <w:gridCol w:w="109"/>
        <w:gridCol w:w="109"/>
        <w:gridCol w:w="109"/>
        <w:gridCol w:w="109"/>
        <w:gridCol w:w="181"/>
        <w:gridCol w:w="796"/>
        <w:gridCol w:w="109"/>
        <w:gridCol w:w="109"/>
        <w:gridCol w:w="109"/>
        <w:gridCol w:w="109"/>
        <w:gridCol w:w="255"/>
        <w:gridCol w:w="657"/>
        <w:gridCol w:w="154"/>
        <w:gridCol w:w="189"/>
        <w:gridCol w:w="567"/>
        <w:gridCol w:w="115"/>
        <w:gridCol w:w="109"/>
        <w:gridCol w:w="109"/>
        <w:gridCol w:w="109"/>
        <w:gridCol w:w="255"/>
        <w:gridCol w:w="657"/>
        <w:gridCol w:w="154"/>
        <w:gridCol w:w="109"/>
        <w:gridCol w:w="221"/>
        <w:gridCol w:w="541"/>
        <w:gridCol w:w="109"/>
        <w:gridCol w:w="109"/>
        <w:gridCol w:w="109"/>
        <w:gridCol w:w="109"/>
        <w:gridCol w:w="232"/>
        <w:gridCol w:w="693"/>
        <w:gridCol w:w="141"/>
        <w:gridCol w:w="189"/>
        <w:gridCol w:w="567"/>
        <w:gridCol w:w="115"/>
        <w:gridCol w:w="109"/>
        <w:gridCol w:w="109"/>
        <w:gridCol w:w="109"/>
        <w:gridCol w:w="109"/>
        <w:gridCol w:w="181"/>
        <w:gridCol w:w="616"/>
        <w:gridCol w:w="154"/>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1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Quota Share Reinsurance (2)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1296"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Losses Ceded </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Ceding Commission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Earned Premiums Ceded</w:t>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Ceding Percentage</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Insurance in Force</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Risk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Ceded Insurance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Remaining Ceded Risk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Quarter-to-Date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4"/>
              </w:rPr>
              <w:br/>
            </w:r>
            <w:r>
              <w:rPr>
                <w:rFonts w:ascii="Times New Roman;serif" w:hAnsi="Times New Roman;serif"/>
                <w:b/>
                <w:color w:val="000000"/>
                <w:sz w:val="14"/>
              </w:rPr>
              <w:t>Quarter-to-Date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Year-to-Date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4"/>
              </w:rPr>
              <w:br/>
            </w:r>
            <w:r>
              <w:rPr>
                <w:rFonts w:ascii="Times New Roman;serif" w:hAnsi="Times New Roman;serif"/>
                <w:b/>
                <w:color w:val="000000"/>
                <w:sz w:val="14"/>
              </w:rPr>
              <w:t>Quarter-to-Date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Year-to-Date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Reduction in PMIERs Minimum Required Assets (3)</w:t>
            </w:r>
          </w:p>
        </w:tc>
      </w:tr>
      <w:tr>
        <w:trPr/>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Sep. 2019 - Dec. 2020</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26,846,772 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7,481,592 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5,596,026 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1,535,452 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2,254 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97,777 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2022 - Dec. 2022</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42,279,365 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11,681,382 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8,455,873 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2,336,276 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9,236 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2023 - Dec. 2023</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17.5%</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28,733,450 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8,001,630 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5,028,354 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114,066 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2024 - Dec. 2024</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34,428,127 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9,477,713 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5,164,219 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1,421,657 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3,358 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2025 - Dec. 2025</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40,122,328 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10,647,726 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10,030,582 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2,661,931 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10,490 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183,604 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Jan. 2026 - Dec. 2026</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24,731,866 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6,588,355 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6,182,966 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1,647,089 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105,627 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197,141,908 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53,878,398 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40,458,020 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11,002,690 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15,168 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7,822 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21,374 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43,257 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794,110 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44" w:type="dxa"/>
        <w:jc w:val="center"/>
        <w:tblInd w:w="0" w:type="dxa"/>
        <w:tblLayout w:type="fixed"/>
        <w:tblCellMar>
          <w:top w:w="28" w:type="dxa"/>
          <w:left w:w="28" w:type="dxa"/>
          <w:bottom w:w="28" w:type="dxa"/>
          <w:right w:w="28" w:type="dxa"/>
        </w:tblCellMar>
      </w:tblPr>
      <w:tblGrid>
        <w:gridCol w:w="514"/>
        <w:gridCol w:w="452"/>
        <w:gridCol w:w="452"/>
        <w:gridCol w:w="452"/>
        <w:gridCol w:w="452"/>
        <w:gridCol w:w="452"/>
        <w:gridCol w:w="452"/>
        <w:gridCol w:w="452"/>
        <w:gridCol w:w="452"/>
        <w:gridCol w:w="452"/>
        <w:gridCol w:w="452"/>
        <w:gridCol w:w="452"/>
        <w:gridCol w:w="452"/>
        <w:gridCol w:w="452"/>
        <w:gridCol w:w="452"/>
        <w:gridCol w:w="452"/>
        <w:gridCol w:w="452"/>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6" w:type="dxa"/>
            <w:gridSpan w:val="1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(1)</w:t>
            </w:r>
            <w:r>
              <w:rPr>
                <w:color w:val="000000"/>
              </w:rPr>
              <w:t xml:space="preserve"> </w:t>
            </w:r>
            <w:r>
              <w:rPr>
                <w:rFonts w:ascii="Times New Roman;serif" w:hAnsi="Times New Roman;serif"/>
                <w:b w:val="false"/>
                <w:color w:val="000000"/>
                <w:sz w:val="14"/>
              </w:rPr>
              <w:t>Reinsurance provided by unaffiliated special purpose insurers through the issuance of mortgage insurance-linked notes ("ILNs").</w:t>
            </w:r>
          </w:p>
        </w:tc>
        <w:tc>
          <w:tcPr>
            <w:tcW w:w="1898" w:type="dxa"/>
            <w:gridSpan w:val="17"/>
            <w:tcBorders/>
          </w:tcPr>
          <w:p>
            <w:pPr>
              <w:pStyle w:val="TableContents"/>
              <w:bidi w:val="0"/>
              <w:spacing w:before="0" w:after="283"/>
              <w:jc w:val="left"/>
              <w:rPr>
                <w:sz w:val="4"/>
                <w:szCs w:val="4"/>
              </w:rPr>
            </w:pPr>
            <w:r>
              <w:rPr>
                <w:sz w:val="4"/>
                <w:szCs w:val="4"/>
              </w:rPr>
            </w:r>
          </w:p>
        </w:tc>
      </w:tr>
      <w:tr>
        <w:trPr/>
        <w:tc>
          <w:tcPr>
            <w:tcW w:w="7746" w:type="dxa"/>
            <w:gridSpan w:val="1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(2)</w:t>
            </w:r>
            <w:r>
              <w:rPr>
                <w:color w:val="000000"/>
              </w:rPr>
              <w:t xml:space="preserve"> </w:t>
            </w:r>
            <w:r>
              <w:rPr>
                <w:rFonts w:ascii="Times New Roman;serif" w:hAnsi="Times New Roman;serif"/>
                <w:b w:val="false"/>
                <w:color w:val="000000"/>
                <w:sz w:val="14"/>
              </w:rPr>
              <w:t>Reinsurance provided by panels of reinsurers.</w:t>
            </w:r>
          </w:p>
        </w:tc>
        <w:tc>
          <w:tcPr>
            <w:tcW w:w="1898" w:type="dxa"/>
            <w:gridSpan w:val="17"/>
            <w:tcBorders/>
          </w:tcPr>
          <w:p>
            <w:pPr>
              <w:pStyle w:val="TableContents"/>
              <w:bidi w:val="0"/>
              <w:spacing w:before="0" w:after="283"/>
              <w:jc w:val="left"/>
              <w:rPr>
                <w:sz w:val="4"/>
                <w:szCs w:val="4"/>
              </w:rPr>
            </w:pPr>
            <w:r>
              <w:rPr>
                <w:sz w:val="4"/>
                <w:szCs w:val="4"/>
              </w:rPr>
            </w:r>
          </w:p>
        </w:tc>
      </w:tr>
      <w:tr>
        <w:trPr/>
        <w:tc>
          <w:tcPr>
            <w:tcW w:w="7746" w:type="dxa"/>
            <w:gridSpan w:val="1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(3) </w:t>
            </w:r>
            <w:r>
              <w:rPr>
                <w:rFonts w:ascii="Times New Roman;serif" w:hAnsi="Times New Roman;serif"/>
                <w:b w:val="false"/>
                <w:color w:val="000000"/>
                <w:sz w:val="14"/>
              </w:rPr>
              <w:t>Represents the reduction in Essent Guaranty, Inc.'s Minimum Required Assets based on our interpretation of the PMIERs.</w:t>
            </w:r>
          </w:p>
        </w:tc>
        <w:tc>
          <w:tcPr>
            <w:tcW w:w="1898" w:type="dxa"/>
            <w:gridSpan w:val="17"/>
            <w:tcBorders/>
          </w:tcPr>
          <w:p>
            <w:pPr>
              <w:pStyle w:val="TableContents"/>
              <w:bidi w:val="0"/>
              <w:spacing w:before="0" w:after="283"/>
              <w:jc w:val="left"/>
              <w:rPr>
                <w:sz w:val="4"/>
                <w:szCs w:val="4"/>
              </w:rPr>
            </w:pPr>
            <w:r>
              <w:rPr>
                <w:sz w:val="4"/>
                <w:szCs w:val="4"/>
              </w:rPr>
            </w:r>
          </w:p>
        </w:tc>
      </w:tr>
      <w:tr>
        <w:trPr/>
        <w:tc>
          <w:tcPr>
            <w:tcW w:w="7746" w:type="dxa"/>
            <w:gridSpan w:val="1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(4)</w:t>
            </w:r>
            <w:r>
              <w:rPr>
                <w:color w:val="000000"/>
              </w:rPr>
              <w:t xml:space="preserve"> </w:t>
            </w:r>
            <w:r>
              <w:rPr>
                <w:rFonts w:ascii="Times New Roman;serif" w:hAnsi="Times New Roman;serif"/>
                <w:b w:val="false"/>
                <w:color w:val="000000"/>
                <w:sz w:val="14"/>
              </w:rPr>
              <w:t>XOL 2019-1 terminated as of February 2026.</w:t>
            </w:r>
          </w:p>
        </w:tc>
        <w:tc>
          <w:tcPr>
            <w:tcW w:w="1898" w:type="dxa"/>
            <w:gridSpan w:val="17"/>
            <w:tcBorders/>
          </w:tcPr>
          <w:p>
            <w:pPr>
              <w:pStyle w:val="TableContents"/>
              <w:bidi w:val="0"/>
              <w:spacing w:before="0" w:after="283"/>
              <w:jc w:val="left"/>
              <w:rPr>
                <w:sz w:val="4"/>
                <w:szCs w:val="4"/>
              </w:rPr>
            </w:pPr>
            <w:r>
              <w:rPr>
                <w:sz w:val="4"/>
                <w:szCs w:val="4"/>
              </w:rPr>
            </w:r>
          </w:p>
        </w:tc>
      </w:tr>
      <w:tr>
        <w:trPr/>
        <w:tc>
          <w:tcPr>
            <w:tcW w:w="7746" w:type="dxa"/>
            <w:gridSpan w:val="1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(5)</w:t>
            </w:r>
            <w:r>
              <w:rPr>
                <w:color w:val="000000"/>
              </w:rPr>
              <w:t xml:space="preserve"> </w:t>
            </w:r>
            <w:r>
              <w:rPr>
                <w:rFonts w:ascii="Times New Roman;serif" w:hAnsi="Times New Roman;serif"/>
                <w:b w:val="false"/>
                <w:color w:val="000000"/>
                <w:sz w:val="14"/>
              </w:rPr>
              <w:t>Under QSR-2019, Essent Guaranty cedes 36% of premiums on singles policies and 18% on all other policies.</w:t>
            </w:r>
          </w:p>
        </w:tc>
        <w:tc>
          <w:tcPr>
            <w:tcW w:w="1898" w:type="dxa"/>
            <w:gridSpan w:val="1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18" w:type="dxa"/>
        <w:jc w:val="center"/>
        <w:tblInd w:w="0" w:type="dxa"/>
        <w:tblLayout w:type="fixed"/>
        <w:tblCellMar>
          <w:top w:w="28" w:type="dxa"/>
          <w:left w:w="28" w:type="dxa"/>
          <w:bottom w:w="28" w:type="dxa"/>
          <w:right w:w="28" w:type="dxa"/>
        </w:tblCellMar>
      </w:tblPr>
      <w:tblGrid>
        <w:gridCol w:w="309"/>
        <w:gridCol w:w="263"/>
        <w:gridCol w:w="253"/>
        <w:gridCol w:w="266"/>
        <w:gridCol w:w="266"/>
        <w:gridCol w:w="593"/>
        <w:gridCol w:w="119"/>
        <w:gridCol w:w="119"/>
        <w:gridCol w:w="119"/>
        <w:gridCol w:w="299"/>
        <w:gridCol w:w="299"/>
        <w:gridCol w:w="662"/>
        <w:gridCol w:w="119"/>
        <w:gridCol w:w="119"/>
        <w:gridCol w:w="119"/>
        <w:gridCol w:w="276"/>
        <w:gridCol w:w="252"/>
        <w:gridCol w:w="666"/>
      </w:tblGrid>
      <w:tr>
        <w:trPr/>
        <w:tc>
          <w:tcPr>
            <w:tcW w:w="3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K</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51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r>
      <w:tr>
        <w:trPr/>
        <w:tc>
          <w:tcPr>
            <w:tcW w:w="51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 - Geographic Data</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 by State</w:t>
            </w:r>
          </w:p>
        </w:tc>
      </w:tr>
      <w:tr>
        <w:trPr/>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w:t>
            </w:r>
          </w:p>
        </w:tc>
        <w:tc>
          <w:tcPr>
            <w:tcW w:w="5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5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TX</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AZ</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NC</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Others</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5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5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RIF by State</w:t>
            </w:r>
          </w:p>
        </w:tc>
      </w:tr>
      <w:tr>
        <w:trPr/>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w:t>
            </w:r>
          </w:p>
        </w:tc>
        <w:tc>
          <w:tcPr>
            <w:tcW w:w="5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5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TX</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AZ</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NC</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UT</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 Others</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5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5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73"/>
        <w:gridCol w:w="477"/>
        <w:gridCol w:w="479"/>
        <w:gridCol w:w="117"/>
        <w:gridCol w:w="117"/>
        <w:gridCol w:w="117"/>
        <w:gridCol w:w="117"/>
        <w:gridCol w:w="117"/>
        <w:gridCol w:w="117"/>
        <w:gridCol w:w="117"/>
        <w:gridCol w:w="210"/>
        <w:gridCol w:w="792"/>
        <w:gridCol w:w="259"/>
        <w:gridCol w:w="117"/>
        <w:gridCol w:w="117"/>
        <w:gridCol w:w="117"/>
        <w:gridCol w:w="210"/>
        <w:gridCol w:w="792"/>
        <w:gridCol w:w="259"/>
        <w:gridCol w:w="117"/>
        <w:gridCol w:w="117"/>
        <w:gridCol w:w="117"/>
        <w:gridCol w:w="210"/>
        <w:gridCol w:w="792"/>
        <w:gridCol w:w="259"/>
        <w:gridCol w:w="109"/>
        <w:gridCol w:w="109"/>
        <w:gridCol w:w="109"/>
        <w:gridCol w:w="196"/>
        <w:gridCol w:w="736"/>
        <w:gridCol w:w="241"/>
        <w:gridCol w:w="109"/>
        <w:gridCol w:w="109"/>
        <w:gridCol w:w="109"/>
        <w:gridCol w:w="196"/>
        <w:gridCol w:w="736"/>
        <w:gridCol w:w="241"/>
        <w:gridCol w:w="109"/>
        <w:gridCol w:w="163"/>
      </w:tblGrid>
      <w:tr>
        <w:trPr/>
        <w:tc>
          <w:tcPr>
            <w:tcW w:w="6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L</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3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272" w:type="dxa"/>
            <w:gridSpan w:val="14"/>
            <w:tcBorders/>
          </w:tcPr>
          <w:p>
            <w:pPr>
              <w:pStyle w:val="TableContents"/>
              <w:bidi w:val="0"/>
              <w:spacing w:before="0" w:after="283"/>
              <w:jc w:val="left"/>
              <w:rPr>
                <w:sz w:val="4"/>
                <w:szCs w:val="4"/>
              </w:rPr>
            </w:pPr>
            <w:r>
              <w:rPr>
                <w:sz w:val="4"/>
                <w:szCs w:val="4"/>
              </w:rPr>
            </w:r>
          </w:p>
        </w:tc>
      </w:tr>
      <w:tr>
        <w:trPr/>
        <w:tc>
          <w:tcPr>
            <w:tcW w:w="693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272" w:type="dxa"/>
            <w:gridSpan w:val="14"/>
            <w:tcBorders/>
          </w:tcPr>
          <w:p>
            <w:pPr>
              <w:pStyle w:val="TableContents"/>
              <w:bidi w:val="0"/>
              <w:spacing w:before="0" w:after="283"/>
              <w:jc w:val="left"/>
              <w:rPr>
                <w:sz w:val="4"/>
                <w:szCs w:val="4"/>
              </w:rPr>
            </w:pPr>
            <w:r>
              <w:rPr>
                <w:sz w:val="4"/>
                <w:szCs w:val="4"/>
              </w:rPr>
            </w:r>
          </w:p>
        </w:tc>
      </w:tr>
      <w:tr>
        <w:trPr/>
        <w:tc>
          <w:tcPr>
            <w:tcW w:w="693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Insurance</w:t>
            </w:r>
          </w:p>
        </w:tc>
        <w:tc>
          <w:tcPr>
            <w:tcW w:w="3272" w:type="dxa"/>
            <w:gridSpan w:val="14"/>
            <w:tcBorders/>
          </w:tcPr>
          <w:p>
            <w:pPr>
              <w:pStyle w:val="TableContents"/>
              <w:bidi w:val="0"/>
              <w:spacing w:before="0" w:after="283"/>
              <w:jc w:val="left"/>
              <w:rPr>
                <w:sz w:val="4"/>
                <w:szCs w:val="4"/>
              </w:rPr>
            </w:pPr>
            <w:r>
              <w:rPr>
                <w:sz w:val="4"/>
                <w:szCs w:val="4"/>
              </w:rPr>
            </w:r>
          </w:p>
        </w:tc>
      </w:tr>
      <w:tr>
        <w:trPr/>
        <w:tc>
          <w:tcPr>
            <w:tcW w:w="6933"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Rollforward of Defaults and Reserve for Losses and LAE</w:t>
            </w:r>
          </w:p>
        </w:tc>
        <w:tc>
          <w:tcPr>
            <w:tcW w:w="3272" w:type="dxa"/>
            <w:gridSpan w:val="14"/>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33"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Rollforward of Insured Loans in Default</w:t>
            </w:r>
          </w:p>
        </w:tc>
        <w:tc>
          <w:tcPr>
            <w:tcW w:w="3272" w:type="dxa"/>
            <w:gridSpan w:val="14"/>
            <w:tcBorders/>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85" w:type="dxa"/>
            <w:gridSpan w:val="2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272" w:type="dxa"/>
            <w:gridSpan w:val="2"/>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272" w:type="dxa"/>
            <w:gridSpan w:val="2"/>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default inventory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20,332 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18,583 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Plus: new defaults </w:t>
            </w:r>
            <w:r>
              <w:rPr>
                <w:rFonts w:ascii="Times New Roman;serif" w:hAnsi="Times New Roman;serif"/>
                <w:b/>
                <w:color w:val="000000"/>
                <w:sz w:val="16"/>
              </w:rPr>
              <w:t>(A)</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(10,708)</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(9,357)</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(9,078)</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claims paid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rescissions and denials,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default inventory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20,278 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20,332 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 </w:t>
            </w:r>
            <w:r>
              <w:rPr>
                <w:rFonts w:ascii="Times New Roman;serif" w:hAnsi="Times New Roman;serif"/>
                <w:b w:val="false"/>
                <w:color w:val="000000"/>
                <w:sz w:val="16"/>
              </w:rPr>
              <w:t>New defaults remaining as of June 30, 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6"/>
              </w:rPr>
              <w:t xml:space="preserve">Cure rate </w:t>
            </w:r>
            <w:r>
              <w:rPr>
                <w:rFonts w:ascii="Times New Roman;serif" w:hAnsi="Times New Roman;serif"/>
                <w:b/>
                <w:color w:val="000000"/>
                <w:sz w:val="16"/>
              </w:rPr>
              <w:t>(1)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amount paid for claims (in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amount paid per claim (in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33"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Rollforward of Reserve for Losses and LAE</w:t>
            </w:r>
          </w:p>
        </w:tc>
        <w:tc>
          <w:tcPr>
            <w:tcW w:w="3272" w:type="dxa"/>
            <w:gridSpan w:val="14"/>
            <w:tcBorders/>
          </w:tcPr>
          <w:p>
            <w:pPr>
              <w:pStyle w:val="TableContents"/>
              <w:bidi w:val="0"/>
              <w:spacing w:before="0" w:after="283"/>
              <w:jc w:val="left"/>
              <w:rPr>
                <w:sz w:val="4"/>
                <w:szCs w:val="4"/>
              </w:rPr>
            </w:pPr>
            <w:r>
              <w:rPr>
                <w:sz w:val="4"/>
                <w:szCs w:val="4"/>
              </w:rPr>
            </w:r>
          </w:p>
        </w:tc>
      </w:tr>
      <w:tr>
        <w:trPr/>
        <w:tc>
          <w:tcPr>
            <w:tcW w:w="1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85" w:type="dxa"/>
            <w:gridSpan w:val="2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272" w:type="dxa"/>
            <w:gridSpan w:val="2"/>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272" w:type="dxa"/>
            <w:gridSpan w:val="2"/>
            <w:tcBorders/>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Reserve for losses and LAE at beginning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458,901 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379,548 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345,952 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338,128 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Reinsurance recoverables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47,957 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reserve for losses and LAE at beginning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373,490 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331,591 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303,986 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297,777 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 provision for losses and LAE occurring in: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58,393 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67,865 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years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(29,002)</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(25,172)</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(12,705)</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(29,796)</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Incurred losses and LAE during the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Deduct payments for losses and LAE occurring in: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years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LAE payments during the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17,408 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reserve for losses and LAE at end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409,293 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373,490 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331,591 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303,986 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Reinsurance recoverables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47,957 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Reserve for losses and LAE at end of period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475,011 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458,901 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429,610 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379,548 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345,952 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33"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The cure rate is calculated by dividing new defaults remaining as of the reporting date by the original number of new defaults reported in the quarterly period and subtracting that percentage from 100%.</w:t>
            </w:r>
          </w:p>
        </w:tc>
        <w:tc>
          <w:tcPr>
            <w:tcW w:w="3272" w:type="dxa"/>
            <w:gridSpan w:val="14"/>
            <w:tcBorders/>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8576" w:type="dxa"/>
            <w:gridSpan w:val="36"/>
            <w:tcBorders/>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4884" w:type="dxa"/>
            <w:gridSpan w:val="20"/>
            <w:tcBorders/>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942" w:type="dxa"/>
        <w:jc w:val="center"/>
        <w:tblInd w:w="0" w:type="dxa"/>
        <w:tblLayout w:type="fixed"/>
        <w:tblCellMar>
          <w:top w:w="28" w:type="dxa"/>
          <w:left w:w="28" w:type="dxa"/>
          <w:bottom w:w="28" w:type="dxa"/>
          <w:right w:w="28" w:type="dxa"/>
        </w:tblCellMar>
      </w:tblPr>
      <w:tblGrid>
        <w:gridCol w:w="725"/>
        <w:gridCol w:w="638"/>
        <w:gridCol w:w="646"/>
        <w:gridCol w:w="189"/>
        <w:gridCol w:w="189"/>
        <w:gridCol w:w="195"/>
        <w:gridCol w:w="289"/>
        <w:gridCol w:w="252"/>
        <w:gridCol w:w="251"/>
        <w:gridCol w:w="235"/>
        <w:gridCol w:w="235"/>
        <w:gridCol w:w="459"/>
        <w:gridCol w:w="272"/>
        <w:gridCol w:w="928"/>
        <w:gridCol w:w="164"/>
        <w:gridCol w:w="368"/>
        <w:gridCol w:w="368"/>
        <w:gridCol w:w="719"/>
        <w:gridCol w:w="182"/>
        <w:gridCol w:w="728"/>
        <w:gridCol w:w="110"/>
        <w:gridCol w:w="414"/>
        <w:gridCol w:w="414"/>
        <w:gridCol w:w="972"/>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Exhibit M</w:t>
            </w:r>
          </w:p>
        </w:tc>
      </w:tr>
      <w:tr>
        <w:trPr/>
        <w:tc>
          <w:tcPr>
            <w:tcW w:w="994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Essent Group Ltd. and Subsidiaries</w:t>
            </w:r>
          </w:p>
        </w:tc>
      </w:tr>
      <w:tr>
        <w:trPr/>
        <w:tc>
          <w:tcPr>
            <w:tcW w:w="994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Supplemental Information</w:t>
            </w:r>
          </w:p>
        </w:tc>
      </w:tr>
      <w:tr>
        <w:trPr/>
        <w:tc>
          <w:tcPr>
            <w:tcW w:w="994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Mortgage Insurance</w:t>
            </w:r>
          </w:p>
        </w:tc>
      </w:tr>
      <w:tr>
        <w:trPr/>
        <w:tc>
          <w:tcPr>
            <w:tcW w:w="994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Detail of Reserves by Default Delinquency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Number of </w:t>
              <w:br/>
              <w:t xml:space="preserve">Policies in </w:t>
              <w:br/>
              <w:t>Default</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Percentage of </w:t>
              <w:br/>
              <w:t xml:space="preserve">Policies in </w:t>
              <w:br/>
              <w:t>Default</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xml:space="preserve">Amount of Reserves </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 of Reserves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xml:space="preserve">Defaulted RIF </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Reserves as a Percentage of </w:t>
              <w:br/>
              <w:t>Defaulted RIF</w:t>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 in thousands)</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Missed Payments:</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Two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4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34,008 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495,232 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9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Three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29,835 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237,120 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 to eleven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7,772 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187,370 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684,887 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Twelve or more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154,442 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252,845 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Pending claims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33,265 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case reserves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20,278 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438,920 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1,706,972 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9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IBNR</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32,919 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reserves for losses and LAE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475,011 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Average reserve per default:</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Default Rate</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2.53%</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 Month Default Rate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1.75%</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Number of </w:t>
              <w:br/>
              <w:t xml:space="preserve">Policies in </w:t>
              <w:br/>
              <w:t>Default</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Percentage of </w:t>
              <w:br/>
              <w:t xml:space="preserve">Policies in </w:t>
              <w:br/>
              <w:t>Default</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 of Reserves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 of Reserves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Defaulted RIF</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Reserves as a Percentage of </w:t>
              <w:br/>
              <w:t>Defaulted RIF</w:t>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 in thousands)</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Missed Payments:</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Two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w:t>
            </w:r>
          </w:p>
        </w:tc>
        <w:tc>
          <w:tcPr>
            <w:tcW w:w="4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40,876 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7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545,198 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9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Three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32,458 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246,194 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 to eleven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7,261 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163,087 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615,449 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Twelve or more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139,036 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224,248 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Pending claims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21,360 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23,797 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case reserves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20,210 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396,817 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1,654,886 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9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IBNR</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29,761 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reserves for losses and LAE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429,610 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Average reserve per default:</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Default Rate</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 Month Default Rate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Number of </w:t>
              <w:br/>
              <w:t xml:space="preserve">Policies in </w:t>
              <w:br/>
              <w:t>Default</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Percentage of </w:t>
              <w:br/>
              <w:t xml:space="preserve">Policies in </w:t>
              <w:br/>
              <w:t>Default</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 of Reserves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Percentage of Reserves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Defaulted RIF</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Reserves as a Percentage of </w:t>
              <w:br/>
              <w:t>Defaulted RIF</w:t>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 in thousands)</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Missed Payments:</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Two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4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7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436,738 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9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Three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23,028 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189,938 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 to eleven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134,497 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561,051 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Twelve or more payments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118,154 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190,189 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Pending claims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4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14,195 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7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case reserves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17,255 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319,408 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1,393,705 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9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IBNR</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23,956 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reserves for losses and LAE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345,952 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Average reserve per default:</w:t>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Default Rate</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2.12%</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 Month Default Rate</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1.43%</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77" w:type="dxa"/>
        <w:jc w:val="center"/>
        <w:tblInd w:w="0" w:type="dxa"/>
        <w:tblLayout w:type="fixed"/>
        <w:tblCellMar>
          <w:top w:w="28" w:type="dxa"/>
          <w:left w:w="28" w:type="dxa"/>
          <w:bottom w:w="28" w:type="dxa"/>
          <w:right w:w="28" w:type="dxa"/>
        </w:tblCellMar>
      </w:tblPr>
      <w:tblGrid>
        <w:gridCol w:w="561"/>
        <w:gridCol w:w="282"/>
        <w:gridCol w:w="283"/>
        <w:gridCol w:w="117"/>
        <w:gridCol w:w="117"/>
        <w:gridCol w:w="120"/>
        <w:gridCol w:w="196"/>
        <w:gridCol w:w="961"/>
        <w:gridCol w:w="241"/>
        <w:gridCol w:w="109"/>
        <w:gridCol w:w="109"/>
        <w:gridCol w:w="109"/>
        <w:gridCol w:w="109"/>
        <w:gridCol w:w="109"/>
        <w:gridCol w:w="109"/>
        <w:gridCol w:w="109"/>
        <w:gridCol w:w="196"/>
        <w:gridCol w:w="961"/>
        <w:gridCol w:w="241"/>
        <w:gridCol w:w="109"/>
        <w:gridCol w:w="109"/>
        <w:gridCol w:w="109"/>
        <w:gridCol w:w="196"/>
        <w:gridCol w:w="961"/>
        <w:gridCol w:w="241"/>
        <w:gridCol w:w="109"/>
        <w:gridCol w:w="109"/>
        <w:gridCol w:w="109"/>
        <w:gridCol w:w="196"/>
        <w:gridCol w:w="961"/>
        <w:gridCol w:w="241"/>
        <w:gridCol w:w="109"/>
        <w:gridCol w:w="109"/>
        <w:gridCol w:w="109"/>
        <w:gridCol w:w="196"/>
        <w:gridCol w:w="961"/>
        <w:gridCol w:w="241"/>
        <w:gridCol w:w="109"/>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713" w:type="dxa"/>
            <w:gridSpan w:val="14"/>
            <w:tcBorders/>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713" w:type="dxa"/>
            <w:gridSpan w:val="14"/>
            <w:tcBorders/>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 Mortgage Insurance Company Capital</w:t>
            </w:r>
          </w:p>
        </w:tc>
        <w:tc>
          <w:tcPr>
            <w:tcW w:w="3713" w:type="dxa"/>
            <w:gridSpan w:val="1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713" w:type="dxa"/>
            <w:gridSpan w:val="14"/>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 in thousands)</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Essent Guaranty, Inc:</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Statutory capital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3,678,202 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3,682,476 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3,572,887 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3,732,465 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3,714,146 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risk in force </w:t>
            </w:r>
            <w:r>
              <w:rPr>
                <w:rFonts w:ascii="Times New Roman;serif" w:hAnsi="Times New Roman;serif"/>
                <w:b/>
                <w:color w:val="000000"/>
                <w:sz w:val="16"/>
              </w:rPr>
              <w:t>(1)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31,118,806 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31,785,517 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32,486,788 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33,367,706 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33,986,508 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Risk-to-capital ratio </w:t>
            </w:r>
            <w:r>
              <w:rPr>
                <w:rFonts w:ascii="Times New Roman;serif" w:hAnsi="Times New Roman;serif"/>
                <w:b/>
                <w:color w:val="000000"/>
                <w:sz w:val="16"/>
              </w:rPr>
              <w:t>(2)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Essent Guaranty, Inc. PMIERs Data (3):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 Assets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3,599,092 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3,635,459 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3,520,454 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3,666,883 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3,654,460 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Minimum Required Assets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2,092,922 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2,084,042 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2,087,473 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2,065,890 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2,075,409 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PMIERs excess Available Assets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1,506,170 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1,551,417 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1,432,981 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1,600,993 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1,579,051 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PMIERs sufficiency ratio </w:t>
            </w:r>
            <w:r>
              <w:rPr>
                <w:rFonts w:ascii="Times New Roman;serif" w:hAnsi="Times New Roman;serif"/>
                <w:b/>
                <w:color w:val="000000"/>
                <w:sz w:val="16"/>
              </w:rPr>
              <w:t>(4)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(1) </w:t>
            </w:r>
            <w:r>
              <w:rPr>
                <w:rFonts w:ascii="Times New Roman;serif" w:hAnsi="Times New Roman;serif"/>
                <w:b w:val="false"/>
                <w:color w:val="000000"/>
                <w:sz w:val="16"/>
              </w:rPr>
              <w:t>Net risk in force represents total risk in force, net of reinsurance ceded and net of exposures on policies for which loss reserves have been established.</w:t>
            </w:r>
          </w:p>
        </w:tc>
        <w:tc>
          <w:tcPr>
            <w:tcW w:w="3713" w:type="dxa"/>
            <w:gridSpan w:val="14"/>
            <w:tcBorders/>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(2) </w:t>
            </w:r>
            <w:r>
              <w:rPr>
                <w:rFonts w:ascii="Times New Roman;serif" w:hAnsi="Times New Roman;serif"/>
                <w:b w:val="false"/>
                <w:color w:val="000000"/>
                <w:sz w:val="16"/>
              </w:rPr>
              <w:t>The risk-to-capital ratio is calculated as the ratio of net risk in force to statutory capital.</w:t>
            </w:r>
          </w:p>
        </w:tc>
        <w:tc>
          <w:tcPr>
            <w:tcW w:w="3713" w:type="dxa"/>
            <w:gridSpan w:val="14"/>
            <w:tcBorders/>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(3)</w:t>
            </w:r>
            <w:r>
              <w:rPr>
                <w:color w:val="000000"/>
              </w:rPr>
              <w:t xml:space="preserve"> </w:t>
            </w:r>
            <w:r>
              <w:rPr>
                <w:rFonts w:ascii="Times New Roman;serif" w:hAnsi="Times New Roman;serif"/>
                <w:b w:val="false"/>
                <w:color w:val="000000"/>
                <w:sz w:val="16"/>
              </w:rPr>
              <w:t>Data is based on our interpretation of the PMIERs as of the dates indicated.</w:t>
            </w:r>
          </w:p>
        </w:tc>
        <w:tc>
          <w:tcPr>
            <w:tcW w:w="3713" w:type="dxa"/>
            <w:gridSpan w:val="14"/>
            <w:tcBorders/>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(4)</w:t>
            </w:r>
            <w:r>
              <w:rPr>
                <w:color w:val="000000"/>
              </w:rPr>
              <w:t xml:space="preserve"> </w:t>
            </w:r>
            <w:r>
              <w:rPr>
                <w:rFonts w:ascii="Times New Roman;serif" w:hAnsi="Times New Roman;serif"/>
                <w:b w:val="false"/>
                <w:color w:val="000000"/>
                <w:sz w:val="16"/>
              </w:rPr>
              <w:t xml:space="preserve">PMIERs sufficiency ratio is calculated by dividing Available Assets by Minimum Required Assets. </w:t>
            </w:r>
          </w:p>
        </w:tc>
        <w:tc>
          <w:tcPr>
            <w:tcW w:w="3713" w:type="dxa"/>
            <w:gridSpan w:val="14"/>
            <w:tcBorders/>
          </w:tcPr>
          <w:p>
            <w:pPr>
              <w:pStyle w:val="TableContents"/>
              <w:bidi w:val="0"/>
              <w:spacing w:before="0" w:after="283"/>
              <w:jc w:val="left"/>
              <w:rPr>
                <w:sz w:val="4"/>
                <w:szCs w:val="4"/>
              </w:rPr>
            </w:pPr>
            <w:r>
              <w:rPr>
                <w:sz w:val="4"/>
                <w:szCs w:val="4"/>
              </w:rPr>
            </w:r>
          </w:p>
        </w:tc>
      </w:tr>
      <w:tr>
        <w:trPr/>
        <w:tc>
          <w:tcPr>
            <w:tcW w:w="6764" w:type="dxa"/>
            <w:gridSpan w:val="2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14"/>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3"/>
        <w:gridCol w:w="332"/>
        <w:gridCol w:w="334"/>
        <w:gridCol w:w="109"/>
        <w:gridCol w:w="109"/>
        <w:gridCol w:w="109"/>
        <w:gridCol w:w="196"/>
        <w:gridCol w:w="871"/>
        <w:gridCol w:w="241"/>
        <w:gridCol w:w="109"/>
        <w:gridCol w:w="109"/>
        <w:gridCol w:w="109"/>
        <w:gridCol w:w="109"/>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09"/>
        <w:gridCol w:w="109"/>
        <w:gridCol w:w="196"/>
        <w:gridCol w:w="871"/>
        <w:gridCol w:w="241"/>
        <w:gridCol w:w="109"/>
        <w:gridCol w:w="156"/>
      </w:tblGrid>
      <w:tr>
        <w:trPr/>
        <w:tc>
          <w:tcPr>
            <w:tcW w:w="66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O</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c>
          <w:tcPr>
            <w:tcW w:w="3535" w:type="dxa"/>
            <w:gridSpan w:val="14"/>
            <w:tcBorders/>
          </w:tcPr>
          <w:p>
            <w:pPr>
              <w:pStyle w:val="TableContents"/>
              <w:bidi w:val="0"/>
              <w:spacing w:before="0" w:after="283"/>
              <w:jc w:val="left"/>
              <w:rPr>
                <w:sz w:val="4"/>
                <w:szCs w:val="4"/>
              </w:rPr>
            </w:pPr>
            <w:r>
              <w:rPr>
                <w:sz w:val="4"/>
                <w:szCs w:val="4"/>
              </w:rPr>
            </w:r>
          </w:p>
        </w:tc>
      </w:tr>
      <w:tr>
        <w:trPr/>
        <w:tc>
          <w:tcPr>
            <w:tcW w:w="667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c>
          <w:tcPr>
            <w:tcW w:w="3535" w:type="dxa"/>
            <w:gridSpan w:val="14"/>
            <w:tcBorders/>
          </w:tcPr>
          <w:p>
            <w:pPr>
              <w:pStyle w:val="TableContents"/>
              <w:bidi w:val="0"/>
              <w:spacing w:before="0" w:after="283"/>
              <w:jc w:val="left"/>
              <w:rPr>
                <w:sz w:val="4"/>
                <w:szCs w:val="4"/>
              </w:rPr>
            </w:pPr>
            <w:r>
              <w:rPr>
                <w:sz w:val="4"/>
                <w:szCs w:val="4"/>
              </w:rPr>
            </w:r>
          </w:p>
        </w:tc>
      </w:tr>
      <w:tr>
        <w:trPr/>
        <w:tc>
          <w:tcPr>
            <w:tcW w:w="667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Reinsurance</w:t>
            </w:r>
          </w:p>
        </w:tc>
        <w:tc>
          <w:tcPr>
            <w:tcW w:w="3535" w:type="dxa"/>
            <w:gridSpan w:val="14"/>
            <w:tcBorders/>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535" w:type="dxa"/>
            <w:gridSpan w:val="14"/>
            <w:tcBorders/>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65,475 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79,175 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169,601 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18,697 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30,923 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43,639 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29,310 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14,696 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16,304 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Reserve for losses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Reinsurance Statistics: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Reinsured risk in 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2,051,720 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2,166,605 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2,184,981 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2,290,008 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credit 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LTV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Essent Reinsurance Ltd.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 (GAAP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1,634,429 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1,660,416 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1,695,390 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1,722,135 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1,751,720 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8876" w:type="dxa"/>
            <w:gridSpan w:val="36"/>
            <w:tcBorders/>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8876" w:type="dxa"/>
            <w:gridSpan w:val="36"/>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91"/>
        <w:gridCol w:w="801"/>
        <w:gridCol w:w="570"/>
        <w:gridCol w:w="134"/>
        <w:gridCol w:w="134"/>
        <w:gridCol w:w="134"/>
        <w:gridCol w:w="302"/>
        <w:gridCol w:w="1345"/>
        <w:gridCol w:w="371"/>
        <w:gridCol w:w="134"/>
        <w:gridCol w:w="134"/>
        <w:gridCol w:w="134"/>
        <w:gridCol w:w="487"/>
        <w:gridCol w:w="494"/>
        <w:gridCol w:w="616"/>
        <w:gridCol w:w="134"/>
        <w:gridCol w:w="134"/>
        <w:gridCol w:w="134"/>
        <w:gridCol w:w="242"/>
        <w:gridCol w:w="1075"/>
        <w:gridCol w:w="134"/>
        <w:gridCol w:w="131"/>
        <w:gridCol w:w="131"/>
        <w:gridCol w:w="131"/>
        <w:gridCol w:w="360"/>
        <w:gridCol w:w="312"/>
        <w:gridCol w:w="506"/>
      </w:tblGrid>
      <w:tr>
        <w:trPr/>
        <w:tc>
          <w:tcPr>
            <w:tcW w:w="99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P</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&amp; Investments</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&amp; Investments by Asset Class</w:t>
            </w:r>
          </w:p>
        </w:tc>
      </w:tr>
      <w:tr>
        <w:trPr/>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Class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274,488 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369,712 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agency mortgage-backed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1,103,830 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1,174,895 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Municipal debt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603,771 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610,411 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Non-U.S. government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49,271 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debt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1,967,084 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1,980,080 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and commercial mortgage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462,142 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464,105 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securities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954,223 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800,366 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funds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623,886 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648,492 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 available for sale</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6,038,695 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6,104,085 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invested assets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441,852 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382,513 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74,333 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123,049 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investments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6,554,880 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6,609,647 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 Available for Sale by Credit Rating</w:t>
            </w:r>
          </w:p>
        </w:tc>
      </w:tr>
      <w:tr>
        <w:trPr/>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Rating</w:t>
            </w:r>
            <w:r>
              <w:rPr>
                <w:color w:val="000000"/>
              </w:rPr>
              <w:t xml:space="preserve"> </w:t>
            </w:r>
            <w:r>
              <w:rPr>
                <w:rFonts w:ascii="Times New Roman;serif" w:hAnsi="Times New Roman;serif"/>
                <w:b/>
                <w:color w:val="000000"/>
                <w:sz w:val="16"/>
              </w:rPr>
              <w:t>(1)</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Aaa</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905,610 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846,230 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1,636,582 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1,799,508 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347,853 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300,026 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324,831 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319,848 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510,764 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545,918 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530,561 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511,146 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481,679 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494,434 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Baa1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254,449 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244,424 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Baa2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214,466 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208,247 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Baa3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140,522 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122,596 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Below Baa3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67,492 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w:t>
            </w:r>
            <w:r>
              <w:rPr>
                <w:rFonts w:ascii="Times New Roman;serif" w:hAnsi="Times New Roman;serif"/>
                <w:b/>
                <w:color w:val="000000"/>
                <w:sz w:val="16"/>
              </w:rPr>
              <w:t>(2)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5,414,809 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5,455,593 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4"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Based on ratings issued by Moody's, if available. S&amp;P or Fitch rating utilized if Moody's not available.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4"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(2)</w:t>
            </w:r>
            <w:r>
              <w:rPr>
                <w:color w:val="000000"/>
              </w:rPr>
              <w:t xml:space="preserve"> </w:t>
            </w:r>
            <w:r>
              <w:rPr>
                <w:rFonts w:ascii="Times New Roman;serif" w:hAnsi="Times New Roman;serif"/>
                <w:b w:val="false"/>
                <w:color w:val="000000"/>
                <w:sz w:val="16"/>
              </w:rPr>
              <w:t xml:space="preserve">Excludes $623,886 and $648,492 of money market funds at June 30, 2026 and December 31, 2025, respectively.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 Available for Sale by Duration and Book Yield</w:t>
            </w:r>
          </w:p>
        </w:tc>
      </w:tr>
      <w:tr>
        <w:trPr/>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Duration</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 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&lt; 1 Year</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1,619,802 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1,549,327 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 &lt; 2 Years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465,830 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527,914 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to &lt; 3 Years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483,881 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532,211 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to &lt; 4 Years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664,408 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571,255 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to &lt; 5 Years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499,657 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536,135 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 or more Years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2,305,117 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2,387,243 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 available for sale</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6,038,695 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6,104,085 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Pre-tax investment yield (3)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Yield on cash and investments available for sale</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other invested assets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18.85 </w:t>
            </w:r>
          </w:p>
        </w:tc>
        <w:tc>
          <w:tcPr>
            <w:tcW w:w="3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14.82 </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Aggregate yield on total cash and investments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3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(3) </w:t>
            </w:r>
            <w:r>
              <w:rPr>
                <w:rFonts w:ascii="Times New Roman;serif" w:hAnsi="Times New Roman;serif"/>
                <w:b w:val="false"/>
                <w:color w:val="000000"/>
                <w:sz w:val="16"/>
              </w:rPr>
              <w:t xml:space="preserve">Yield on cash and investments available for sale is calculated as the annualized gross investment income earned divided by the average amortized cost of cash and investments available for sale. Return on other invested assets is calculated as annualized income (loss) from other invested assets divided by the average balance of other invested assets. The aggregate yield is calculated as the sum of the numerators in the calculations described above divided by the sum of denominators in the calculations described above.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866" w:type="dxa"/>
        <w:jc w:val="center"/>
        <w:tblInd w:w="0" w:type="dxa"/>
        <w:tblLayout w:type="fixed"/>
        <w:tblCellMar>
          <w:top w:w="28" w:type="dxa"/>
          <w:left w:w="28" w:type="dxa"/>
          <w:bottom w:w="28" w:type="dxa"/>
          <w:right w:w="28" w:type="dxa"/>
        </w:tblCellMar>
      </w:tblPr>
      <w:tblGrid>
        <w:gridCol w:w="389"/>
        <w:gridCol w:w="342"/>
        <w:gridCol w:w="342"/>
        <w:gridCol w:w="342"/>
        <w:gridCol w:w="342"/>
        <w:gridCol w:w="342"/>
        <w:gridCol w:w="342"/>
        <w:gridCol w:w="342"/>
        <w:gridCol w:w="342"/>
        <w:gridCol w:w="342"/>
        <w:gridCol w:w="342"/>
        <w:gridCol w:w="342"/>
        <w:gridCol w:w="342"/>
        <w:gridCol w:w="342"/>
        <w:gridCol w:w="342"/>
        <w:gridCol w:w="787"/>
        <w:gridCol w:w="787"/>
        <w:gridCol w:w="1115"/>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Exhibit Q</w:t>
            </w:r>
          </w:p>
        </w:tc>
      </w:tr>
      <w:tr>
        <w:trPr/>
        <w:tc>
          <w:tcPr>
            <w:tcW w:w="786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Essent Group Ltd. and Subsidiaries</w:t>
            </w:r>
          </w:p>
        </w:tc>
      </w:tr>
      <w:tr>
        <w:trPr/>
        <w:tc>
          <w:tcPr>
            <w:tcW w:w="786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Supplemental Information</w:t>
            </w:r>
          </w:p>
        </w:tc>
      </w:tr>
      <w:tr>
        <w:trPr/>
        <w:tc>
          <w:tcPr>
            <w:tcW w:w="786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 Per Share Inclusive of Common Dividends &amp; Reconciliation of Non-GAAP Financial Measures</w:t>
            </w:r>
          </w:p>
        </w:tc>
      </w:tr>
    </w:tbl>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Management believes Book Value Per Share Inclusive of Common Dividends provides investors with useful supplemental information because it reflects both changes in GAAP book value per share and cash dividends distributed to common shareholders. Management uses this measure as an additional indicator of per-share capital generation and capital return. Because dividends paid to common shareholders reduce GAAP book value per share, management believes this measure helps investors evaluate the combined effect of retained capital growth and capital distributed to shareholders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following table sets forth the reconciliation of Book Value per Share Inclusive of Common Dividends to the most comparable GAAP amount as of June 30, 2026, as well as the 12-month growth in Book Value per Share Inclusive of Common Dividends in accordance with Regulation G.</w:t>
      </w:r>
    </w:p>
    <w:tbl>
      <w:tblPr>
        <w:tblW w:w="8642" w:type="dxa"/>
        <w:jc w:val="center"/>
        <w:tblInd w:w="0" w:type="dxa"/>
        <w:tblLayout w:type="fixed"/>
        <w:tblCellMar>
          <w:top w:w="28" w:type="dxa"/>
          <w:left w:w="28" w:type="dxa"/>
          <w:bottom w:w="28" w:type="dxa"/>
          <w:right w:w="28" w:type="dxa"/>
        </w:tblCellMar>
      </w:tblPr>
      <w:tblGrid>
        <w:gridCol w:w="1978"/>
        <w:gridCol w:w="1737"/>
        <w:gridCol w:w="1744"/>
        <w:gridCol w:w="109"/>
        <w:gridCol w:w="109"/>
        <w:gridCol w:w="109"/>
        <w:gridCol w:w="196"/>
        <w:gridCol w:w="871"/>
        <w:gridCol w:w="241"/>
        <w:gridCol w:w="109"/>
        <w:gridCol w:w="109"/>
        <w:gridCol w:w="109"/>
        <w:gridCol w:w="196"/>
        <w:gridCol w:w="871"/>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u w:val="single"/>
              </w:rPr>
            </w:pPr>
            <w:r>
              <w:rPr>
                <w:rFonts w:ascii="Times New Roman;serif" w:hAnsi="Times New Roman;serif"/>
                <w:b w:val="false"/>
                <w:color w:val="000000"/>
                <w:sz w:val="14"/>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5,663,401 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5,672,848 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89,876 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12-Month Growth in Book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Dividends Paid per Share 12-Months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 Per Share Inclusive of Common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64.33 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12-Month Growth in Book Value Per Share Inclusive of Common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7716</Words>
  <Characters>40488</Characters>
  <CharactersWithSpaces>46496</CharactersWithSpaces>
  <Paragraphs>3650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