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4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111125</wp:posOffset>
            </wp:positionV>
            <wp:extent cx="3075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5305" cy="8255"/>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77470</wp:posOffset>
            </wp:positionV>
            <wp:extent cx="3075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75305" cy="8255"/>
                    </a:xfrm>
                    <a:prstGeom prst="rect">
                      <a:avLst/>
                    </a:prstGeom>
                    <a:noFill/>
                  </pic:spPr>
                </pic:pic>
              </a:graphicData>
            </a:graphic>
          </wp:anchor>
        </w:drawing>
      </w:r>
    </w:p>
    <w:p>
      <w:pPr>
        <w:spacing w:after="0" w:line="32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8" w:lineRule="exact"/>
        <w:rPr>
          <w:sz w:val="24"/>
          <w:szCs w:val="24"/>
          <w:color w:val="auto"/>
        </w:rPr>
      </w:pPr>
    </w:p>
    <w:p>
      <w:pPr>
        <w:ind w:left="800" w:hanging="470"/>
        <w:spacing w:after="0"/>
        <w:tabs>
          <w:tab w:leader="none" w:pos="8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period ended June 30, 2025</w:t>
      </w:r>
    </w:p>
    <w:p>
      <w:pPr>
        <w:spacing w:after="0" w:line="135" w:lineRule="exact"/>
        <w:rPr>
          <w:sz w:val="24"/>
          <w:szCs w:val="24"/>
          <w:color w:val="auto"/>
        </w:rPr>
      </w:pPr>
    </w:p>
    <w:p>
      <w:pPr>
        <w:ind w:left="820" w:hanging="490"/>
        <w:spacing w:after="0"/>
        <w:tabs>
          <w:tab w:leader="none" w:pos="82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29" w:right="339" w:bottom="1440" w:gutter="0" w:footer="0" w:header="0"/>
        </w:sectPr>
      </w:pPr>
    </w:p>
    <w:p>
      <w:pPr>
        <w:spacing w:after="0" w:line="6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78" w:lineRule="exact"/>
        <w:rPr>
          <w:sz w:val="24"/>
          <w:szCs w:val="24"/>
          <w:color w:val="auto"/>
        </w:rPr>
      </w:pPr>
    </w:p>
    <w:p>
      <w:pPr>
        <w:sectPr>
          <w:pgSz w:w="11900" w:h="16838" w:orient="portrait"/>
          <w:cols w:equalWidth="0" w:num="2">
            <w:col w:w="6060" w:space="560"/>
            <w:col w:w="4620"/>
          </w:cols>
          <w:pgMar w:left="320" w:top="229"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123825</wp:posOffset>
            </wp:positionV>
            <wp:extent cx="3075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7530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51" w:lineRule="exact"/>
        <w:rPr>
          <w:sz w:val="24"/>
          <w:szCs w:val="24"/>
          <w:color w:val="auto"/>
        </w:rPr>
      </w:pPr>
    </w:p>
    <w:tbl>
      <w:tblPr>
        <w:tblLayout w:type="fixed"/>
        <w:tblInd w:w="1720" w:type="dxa"/>
        <w:tblCellMar>
          <w:top w:w="0" w:type="dxa"/>
          <w:left w:w="0" w:type="dxa"/>
          <w:bottom w:w="0" w:type="dxa"/>
          <w:right w:w="0" w:type="dxa"/>
        </w:tblCellMar>
      </w:tblPr>
      <w:tr>
        <w:trPr>
          <w:trHeight w:val="374"/>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40" w:type="dxa"/>
            <w:vAlign w:val="bottom"/>
            <w:gridSpan w:val="2"/>
          </w:tcPr>
          <w:p>
            <w:pPr>
              <w:jc w:val="center"/>
              <w:ind w:right="1800"/>
              <w:spacing w:after="0"/>
              <w:rPr>
                <w:sz w:val="20"/>
                <w:szCs w:val="20"/>
                <w:color w:val="auto"/>
              </w:rPr>
            </w:pPr>
            <w:r>
              <w:rPr>
                <w:rFonts w:ascii="Times New Roman" w:cs="Times New Roman" w:eastAsia="Times New Roman" w:hAnsi="Times New Roman"/>
                <w:sz w:val="29"/>
                <w:szCs w:val="29"/>
                <w:b w:val="1"/>
                <w:bCs w:val="1"/>
                <w:color w:val="auto"/>
                <w:w w:val="98"/>
              </w:rPr>
              <w:t>ESSENT GROUP LTD.</w:t>
            </w:r>
          </w:p>
        </w:tc>
      </w:tr>
      <w:tr>
        <w:trPr>
          <w:trHeight w:val="210"/>
        </w:trPr>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40" w:type="dxa"/>
            <w:vAlign w:val="bottom"/>
            <w:gridSpan w:val="2"/>
          </w:tcPr>
          <w:p>
            <w:pPr>
              <w:jc w:val="center"/>
              <w:ind w:right="178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167"/>
        </w:trPr>
        <w:tc>
          <w:tcPr>
            <w:tcW w:w="1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24"/>
        </w:trPr>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Bermuda</w:t>
            </w:r>
          </w:p>
        </w:tc>
        <w:tc>
          <w:tcPr>
            <w:tcW w:w="5440" w:type="dxa"/>
            <w:vAlign w:val="bottom"/>
            <w:gridSpan w:val="2"/>
          </w:tcPr>
          <w:p>
            <w:pPr>
              <w:jc w:val="center"/>
              <w:ind w:left="3869"/>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67"/>
        </w:trPr>
        <w:tc>
          <w:tcPr>
            <w:tcW w:w="2080" w:type="dxa"/>
            <w:vAlign w:val="bottom"/>
            <w:gridSpan w:val="2"/>
          </w:tcPr>
          <w:p>
            <w:pPr>
              <w:jc w:val="center"/>
              <w:ind w:right="140"/>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440" w:type="dxa"/>
            <w:vAlign w:val="bottom"/>
            <w:gridSpan w:val="2"/>
          </w:tcPr>
          <w:p>
            <w:pPr>
              <w:jc w:val="center"/>
              <w:ind w:left="384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440" w:type="dxa"/>
            <w:vAlign w:val="bottom"/>
            <w:gridSpan w:val="2"/>
          </w:tcPr>
          <w:p>
            <w:pPr>
              <w:jc w:val="center"/>
              <w:ind w:left="3849"/>
              <w:spacing w:after="0"/>
              <w:rPr>
                <w:sz w:val="20"/>
                <w:szCs w:val="20"/>
                <w:color w:val="auto"/>
              </w:rPr>
            </w:pPr>
            <w:r>
              <w:rPr>
                <w:rFonts w:ascii="Times New Roman" w:cs="Times New Roman" w:eastAsia="Times New Roman" w:hAnsi="Times New Roman"/>
                <w:sz w:val="16"/>
                <w:szCs w:val="16"/>
                <w:color w:val="auto"/>
              </w:rPr>
              <w:t>Identification Number)</w:t>
            </w:r>
          </w:p>
        </w:tc>
      </w:tr>
      <w:tr>
        <w:trPr>
          <w:trHeight w:val="282"/>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40" w:type="dxa"/>
            <w:vAlign w:val="bottom"/>
            <w:gridSpan w:val="2"/>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Clarendon House</w:t>
            </w:r>
          </w:p>
        </w:tc>
      </w:tr>
    </w:tbl>
    <w:p>
      <w:pPr>
        <w:jc w:val="center"/>
        <w:spacing w:after="0"/>
        <w:rPr>
          <w:sz w:val="20"/>
          <w:szCs w:val="20"/>
          <w:color w:val="auto"/>
        </w:rPr>
      </w:pPr>
      <w:r>
        <w:rPr>
          <w:rFonts w:ascii="Times New Roman" w:cs="Times New Roman" w:eastAsia="Times New Roman" w:hAnsi="Times New Roman"/>
          <w:sz w:val="16"/>
          <w:szCs w:val="16"/>
          <w:b w:val="1"/>
          <w:bCs w:val="1"/>
          <w:color w:val="auto"/>
        </w:rPr>
        <w:t>2 Church Street</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Hamilton HM11, Bermuda</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(441) 297-9901</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4" w:lineRule="exact"/>
        <w:rPr>
          <w:sz w:val="24"/>
          <w:szCs w:val="24"/>
          <w:color w:val="auto"/>
        </w:rPr>
      </w:pPr>
    </w:p>
    <w:tbl>
      <w:tblPr>
        <w:tblLayout w:type="fixed"/>
        <w:tblInd w:w="50" w:type="dxa"/>
        <w:tblCellMar>
          <w:top w:w="0" w:type="dxa"/>
          <w:left w:w="0" w:type="dxa"/>
          <w:bottom w:w="0" w:type="dxa"/>
          <w:right w:w="0" w:type="dxa"/>
        </w:tblCellMar>
      </w:tblPr>
      <w:tr>
        <w:trPr>
          <w:trHeight w:val="227"/>
        </w:trPr>
        <w:tc>
          <w:tcPr>
            <w:tcW w:w="4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4"/>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$0.015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ESNT</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8" w:lineRule="exact"/>
        <w:rPr>
          <w:sz w:val="24"/>
          <w:szCs w:val="24"/>
          <w:color w:val="auto"/>
        </w:rPr>
      </w:pPr>
    </w:p>
    <w:p>
      <w:pPr>
        <w:jc w:val="both"/>
        <w:ind w:right="100" w:firstLine="565"/>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 w:firstLine="565"/>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565"/>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440" w:type="dxa"/>
        <w:tblCellMar>
          <w:top w:w="0" w:type="dxa"/>
          <w:left w:w="0" w:type="dxa"/>
          <w:bottom w:w="0" w:type="dxa"/>
          <w:right w:w="0" w:type="dxa"/>
        </w:tblCellMar>
      </w:tblP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4" w:lineRule="exact"/>
        <w:rPr>
          <w:sz w:val="24"/>
          <w:szCs w:val="24"/>
          <w:color w:val="auto"/>
        </w:rPr>
      </w:pPr>
    </w:p>
    <w:p>
      <w:pPr>
        <w:ind w:right="280" w:firstLine="565"/>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80" w:right="1460"/>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the registrant’s common shares outstanding as of July 31, 2025 was 98,533,757.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542925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87"/>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gridSpan w:val="9"/>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Essent Group Ltd. and Subsidiaries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gridSpan w:val="9"/>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gridSpan w:val="9"/>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4"/>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920" w:type="dxa"/>
            <w:vAlign w:val="bottom"/>
            <w:gridSpan w:val="5"/>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Balance Sheets (Unaudited)</w:t>
            </w:r>
          </w:p>
        </w:tc>
        <w:tc>
          <w:tcPr>
            <w:tcW w:w="4060" w:type="dxa"/>
            <w:vAlign w:val="bottom"/>
            <w:gridSpan w:val="8"/>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Comprehensive Income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Changes in Stockholders’ Equity (Unaudited)</w:t>
            </w:r>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Cash Flows (Unaudited)</w:t>
            </w:r>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Notes to Condensed Consolidated Financial Statements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840" w:type="dxa"/>
            <w:vAlign w:val="bottom"/>
            <w:gridSpan w:val="3"/>
          </w:tcPr>
          <w:p>
            <w:pPr>
              <w:spacing w:after="0"/>
              <w:rPr>
                <w:sz w:val="24"/>
                <w:szCs w:val="24"/>
                <w:color w:val="auto"/>
              </w:rPr>
            </w:pPr>
          </w:p>
        </w:tc>
        <w:tc>
          <w:tcPr>
            <w:tcW w:w="2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6100" w:type="dxa"/>
            <w:vAlign w:val="bottom"/>
            <w:gridSpan w:val="11"/>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437"/>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1A.</w:t>
            </w:r>
          </w:p>
        </w:tc>
        <w:tc>
          <w:tcPr>
            <w:tcW w:w="860" w:type="dxa"/>
            <w:vAlign w:val="bottom"/>
            <w:gridSpan w:val="4"/>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860" w:type="dxa"/>
            <w:vAlign w:val="bottom"/>
            <w:gridSpan w:val="4"/>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920" w:type="dxa"/>
            <w:vAlign w:val="bottom"/>
            <w:gridSpan w:val="8"/>
            <w:shd w:val="clear" w:color="auto" w:fill="0000FF"/>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1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38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07"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the context otherwise indicates or requires, the terms “we,” “our,” “us,” “Essent,” and the “Company,” as used in this Quarterly Report 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10-Q, refer to Essent Group Ltd. and its directly and indirectly owned subsidiaries, including our primary operating subsidiaries, Essent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Guaranty, Inc. and Essent Reinsurance Ltd., as a combined entity, except where otherwise stated or where it is clear that the terms mean only Essent Group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Ltd. exclusive of its subsidiaries.</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ind w:right="260" w:firstLine="646"/>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89" w:lineRule="exact"/>
        <w:rPr>
          <w:sz w:val="20"/>
          <w:szCs w:val="20"/>
          <w:color w:val="auto"/>
        </w:rPr>
      </w:pPr>
    </w:p>
    <w:p>
      <w:pPr>
        <w:ind w:right="20" w:firstLine="646"/>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2024 filed with the Securities and Exchange Commission. These factors include, without limitation, the following:</w:t>
      </w:r>
    </w:p>
    <w:p>
      <w:pPr>
        <w:spacing w:after="0" w:line="185" w:lineRule="exact"/>
        <w:rPr>
          <w:sz w:val="20"/>
          <w:szCs w:val="20"/>
          <w:color w:val="auto"/>
        </w:rPr>
      </w:pPr>
    </w:p>
    <w:p>
      <w:pPr>
        <w:ind w:left="660" w:right="8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to Fannie Mae and Freddie Mac, which we refer to collectively as the GSEs, whether through Federal legislation, restructurings or a shift in business practices;</w:t>
      </w:r>
    </w:p>
    <w:p>
      <w:pPr>
        <w:spacing w:after="0" w:line="18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meet the mortgage insurer eligibility requirements of the GSEs;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customers or the loss of a significant customer;</w:t>
      </w:r>
    </w:p>
    <w:p>
      <w:pPr>
        <w:spacing w:after="0" w:line="223"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or investors seeking alternatives to private mortgage insurance;</w:t>
      </w:r>
    </w:p>
    <w:p>
      <w:pPr>
        <w:spacing w:after="0" w:line="250"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number of loans insured through Federal government mortgage insurance programs, including those offered by the Federal Housing Administration;</w:t>
      </w:r>
    </w:p>
    <w:p>
      <w:pPr>
        <w:spacing w:after="0" w:line="18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the volume of low down payment mortgage originations;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loss reserve estimates;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length of time our insurance policies are in force;</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enacted U.S. Federal tax reform and its impact on us, our shareholders and our operations;</w:t>
      </w:r>
    </w:p>
    <w:p>
      <w:pPr>
        <w:spacing w:after="0" w:line="250" w:lineRule="exact"/>
        <w:rPr>
          <w:rFonts w:ascii="Times New Roman" w:cs="Times New Roman" w:eastAsia="Times New Roman" w:hAnsi="Times New Roman"/>
          <w:sz w:val="18"/>
          <w:szCs w:val="18"/>
          <w:color w:val="auto"/>
        </w:rPr>
      </w:pPr>
    </w:p>
    <w:p>
      <w:pPr>
        <w:ind w:left="660" w:right="28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Mortgage” reducing the size of the mortgage origination market or creating incentives to use government mortgage insurance programs;</w:t>
      </w:r>
    </w:p>
    <w:p>
      <w:pPr>
        <w:spacing w:after="0" w:line="189" w:lineRule="exact"/>
        <w:rPr>
          <w:rFonts w:ascii="Times New Roman" w:cs="Times New Roman" w:eastAsia="Times New Roman" w:hAnsi="Times New Roman"/>
          <w:sz w:val="18"/>
          <w:szCs w:val="18"/>
          <w:color w:val="auto"/>
        </w:rPr>
      </w:pPr>
    </w:p>
    <w:p>
      <w:pPr>
        <w:ind w:left="660" w:right="14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Residential Mortgage” reducing the number of low down payment loans or lenders and investors seeking alternatives to private mortgage insurance;</w:t>
      </w:r>
    </w:p>
    <w:p>
      <w:pPr>
        <w:spacing w:after="0" w:line="18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Basel III Capital Accord, which may discourage the use of private mortgage insurance;</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risk in our investment portfolio;</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the premiums we charge to compensate for our losses incurred;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management team and qualified personnel;</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disturbance to our information technology systems;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our customers’ capital requirements discouraging the use of mortgage insurance;</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of borrowers’ homes;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capital or reinsurance;</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claims arise under and risks associated with our contract underwriting program;</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practice that loss reserves are established only upon a loan default;</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mortgage loan servicing;</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future legal proceedings;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technological demands;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non-U.S. operations becoming subject to U.S. Federal income taxation;</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considered a passive foreign investment company for U.S. Federal income tax purposes; and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the ability of our insurance subsidiaries to pay dividends.</w:t>
      </w:r>
    </w:p>
    <w:p>
      <w:pPr>
        <w:spacing w:after="0" w:line="223"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10" w:lineRule="exact"/>
        <w:rPr>
          <w:sz w:val="20"/>
          <w:szCs w:val="20"/>
          <w:color w:val="auto"/>
        </w:rPr>
      </w:pPr>
    </w:p>
    <w:p>
      <w:pPr>
        <w:ind w:right="240" w:firstLine="646"/>
        <w:spacing w:after="0" w:line="265" w:lineRule="auto"/>
        <w:rPr>
          <w:sz w:val="20"/>
          <w:szCs w:val="20"/>
          <w:color w:val="auto"/>
        </w:rPr>
      </w:pPr>
      <w:r>
        <w:rPr>
          <w:rFonts w:ascii="Times New Roman" w:cs="Times New Roman" w:eastAsia="Times New Roman" w:hAnsi="Times New Roman"/>
          <w:sz w:val="18"/>
          <w:szCs w:val="18"/>
          <w:color w:val="auto"/>
        </w:rPr>
        <w:t>We intend to use our website as a means of disclosing material non-public information and for complying with our disclosure obligations under Regulation FD. Such disclosures will be included on our website in the "Events &amp; Presentations" section. Accordingly, investors should monitor such portion of our website, in addition to following our press releases, SEC filings and public conference calls and webcasts.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787"/>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7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0"/>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0"/>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Essent Group Ltd. and Subsidiaries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7"/>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7"/>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 w:type="dxa"/>
            <w:vAlign w:val="bottom"/>
          </w:tcPr>
          <w:p>
            <w:pPr>
              <w:spacing w:after="0"/>
              <w:rPr>
                <w:sz w:val="20"/>
                <w:szCs w:val="20"/>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40" w:type="dxa"/>
            <w:vAlign w:val="bottom"/>
          </w:tcPr>
          <w:p>
            <w:pPr>
              <w:spacing w:after="0"/>
              <w:rPr>
                <w:sz w:val="19"/>
                <w:szCs w:val="19"/>
                <w:color w:val="auto"/>
              </w:rPr>
            </w:pPr>
          </w:p>
        </w:tc>
        <w:tc>
          <w:tcPr>
            <w:tcW w:w="790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8020" w:type="dxa"/>
            <w:vAlign w:val="bottom"/>
            <w:gridSpan w:val="3"/>
            <w:shd w:val="clear" w:color="auto" w:fill="CCEEFF"/>
          </w:tcPr>
          <w:p>
            <w:pPr>
              <w:ind w:left="260"/>
              <w:spacing w:after="0" w:line="175" w:lineRule="exact"/>
              <w:rPr>
                <w:sz w:val="20"/>
                <w:szCs w:val="20"/>
                <w:color w:val="auto"/>
              </w:rPr>
            </w:pPr>
            <w:r>
              <w:rPr>
                <w:rFonts w:ascii="Times New Roman" w:cs="Times New Roman" w:eastAsia="Times New Roman" w:hAnsi="Times New Roman"/>
                <w:sz w:val="18"/>
                <w:szCs w:val="18"/>
                <w:color w:val="auto"/>
              </w:rPr>
              <w:t>Fixed maturities available for sale, at fair value (amortized cost: 2025 — $5,636,118;</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2"/>
        </w:trPr>
        <w:tc>
          <w:tcPr>
            <w:tcW w:w="40" w:type="dxa"/>
            <w:vAlign w:val="bottom"/>
          </w:tcPr>
          <w:p>
            <w:pPr>
              <w:spacing w:after="0"/>
              <w:rPr>
                <w:sz w:val="21"/>
                <w:szCs w:val="21"/>
                <w:color w:val="auto"/>
              </w:rPr>
            </w:pPr>
          </w:p>
        </w:tc>
        <w:tc>
          <w:tcPr>
            <w:tcW w:w="80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2024 — $5,467,238)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5,383,504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5,112,697</w:t>
            </w:r>
          </w:p>
        </w:tc>
      </w:tr>
      <w:tr>
        <w:trPr>
          <w:trHeight w:val="175"/>
        </w:trPr>
        <w:tc>
          <w:tcPr>
            <w:tcW w:w="40" w:type="dxa"/>
            <w:vAlign w:val="bottom"/>
          </w:tcPr>
          <w:p>
            <w:pPr>
              <w:spacing w:after="0"/>
              <w:rPr>
                <w:sz w:val="15"/>
                <w:szCs w:val="15"/>
                <w:color w:val="auto"/>
              </w:rPr>
            </w:pPr>
          </w:p>
        </w:tc>
        <w:tc>
          <w:tcPr>
            <w:tcW w:w="8020" w:type="dxa"/>
            <w:vAlign w:val="bottom"/>
            <w:gridSpan w:val="3"/>
          </w:tcPr>
          <w:p>
            <w:pPr>
              <w:ind w:left="260"/>
              <w:spacing w:after="0" w:line="175" w:lineRule="exact"/>
              <w:rPr>
                <w:sz w:val="20"/>
                <w:szCs w:val="20"/>
                <w:color w:val="auto"/>
              </w:rPr>
            </w:pPr>
            <w:r>
              <w:rPr>
                <w:rFonts w:ascii="Times New Roman" w:cs="Times New Roman" w:eastAsia="Times New Roman" w:hAnsi="Times New Roman"/>
                <w:sz w:val="18"/>
                <w:szCs w:val="18"/>
                <w:color w:val="auto"/>
              </w:rPr>
              <w:t>Short-term investments available for sale, at fair value (amortized cost: 2025 —</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2"/>
        </w:trPr>
        <w:tc>
          <w:tcPr>
            <w:tcW w:w="40" w:type="dxa"/>
            <w:vAlign w:val="bottom"/>
          </w:tcPr>
          <w:p>
            <w:pPr>
              <w:spacing w:after="0"/>
              <w:rPr>
                <w:sz w:val="21"/>
                <w:szCs w:val="21"/>
                <w:color w:val="auto"/>
              </w:rPr>
            </w:pPr>
          </w:p>
        </w:tc>
        <w:tc>
          <w:tcPr>
            <w:tcW w:w="8020" w:type="dxa"/>
            <w:vAlign w:val="bottom"/>
            <w:tcBorders>
              <w:bottom w:val="single" w:sz="8" w:color="CCEEFF"/>
            </w:tcBorders>
            <w:gridSpan w:val="3"/>
          </w:tcPr>
          <w:p>
            <w:pPr>
              <w:ind w:left="480"/>
              <w:spacing w:after="0"/>
              <w:rPr>
                <w:sz w:val="20"/>
                <w:szCs w:val="20"/>
                <w:color w:val="auto"/>
              </w:rPr>
            </w:pPr>
            <w:r>
              <w:rPr>
                <w:rFonts w:ascii="Times New Roman" w:cs="Times New Roman" w:eastAsia="Times New Roman" w:hAnsi="Times New Roman"/>
                <w:sz w:val="18"/>
                <w:szCs w:val="18"/>
                <w:color w:val="auto"/>
              </w:rPr>
              <w:t>$583,033; 2024 — $763,780)</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583,033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764,024</w:t>
            </w:r>
          </w:p>
        </w:tc>
      </w:tr>
      <w:tr>
        <w:trPr>
          <w:trHeight w:val="222"/>
        </w:trPr>
        <w:tc>
          <w:tcPr>
            <w:tcW w:w="40" w:type="dxa"/>
            <w:vAlign w:val="bottom"/>
          </w:tcPr>
          <w:p>
            <w:pPr>
              <w:spacing w:after="0"/>
              <w:rPr>
                <w:sz w:val="19"/>
                <w:szCs w:val="19"/>
                <w:color w:val="auto"/>
              </w:rPr>
            </w:pPr>
          </w:p>
        </w:tc>
        <w:tc>
          <w:tcPr>
            <w:tcW w:w="80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5,966,537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5,876,721</w:t>
            </w: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Other invested assets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359,823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303,900</w:t>
            </w:r>
          </w:p>
        </w:tc>
      </w:tr>
      <w:tr>
        <w:trPr>
          <w:trHeight w:val="222"/>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6,326,360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6,180,621</w:t>
            </w:r>
          </w:p>
        </w:tc>
      </w:tr>
      <w:tr>
        <w:trPr>
          <w:trHeight w:val="229"/>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131,480</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43,732</w:t>
            </w:r>
          </w:p>
        </w:tc>
      </w:tr>
      <w:tr>
        <w:trPr>
          <w:trHeight w:val="229"/>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55,564</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r>
      <w:tr>
        <w:trPr>
          <w:trHeight w:val="175"/>
        </w:trPr>
        <w:tc>
          <w:tcPr>
            <w:tcW w:w="40" w:type="dxa"/>
            <w:vAlign w:val="bottom"/>
          </w:tcPr>
          <w:p>
            <w:pPr>
              <w:spacing w:after="0"/>
              <w:rPr>
                <w:sz w:val="15"/>
                <w:szCs w:val="15"/>
                <w:color w:val="auto"/>
              </w:rPr>
            </w:pPr>
          </w:p>
        </w:tc>
        <w:tc>
          <w:tcPr>
            <w:tcW w:w="8020" w:type="dxa"/>
            <w:vAlign w:val="bottom"/>
            <w:gridSpan w:val="3"/>
          </w:tcPr>
          <w:p>
            <w:pPr>
              <w:ind w:left="40"/>
              <w:spacing w:after="0" w:line="175" w:lineRule="exact"/>
              <w:rPr>
                <w:sz w:val="20"/>
                <w:szCs w:val="20"/>
                <w:color w:val="auto"/>
              </w:rPr>
            </w:pPr>
            <w:r>
              <w:rPr>
                <w:rFonts w:ascii="Times New Roman" w:cs="Times New Roman" w:eastAsia="Times New Roman" w:hAnsi="Times New Roman"/>
                <w:sz w:val="18"/>
                <w:szCs w:val="18"/>
                <w:color w:val="auto"/>
              </w:rPr>
              <w:t>Property and equipment (at cost, less accumulated depreciation of $74,283 in 2025 and</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2"/>
        </w:trPr>
        <w:tc>
          <w:tcPr>
            <w:tcW w:w="40" w:type="dxa"/>
            <w:vAlign w:val="bottom"/>
          </w:tcPr>
          <w:p>
            <w:pPr>
              <w:spacing w:after="0"/>
              <w:rPr>
                <w:sz w:val="21"/>
                <w:szCs w:val="21"/>
                <w:color w:val="auto"/>
              </w:rPr>
            </w:pPr>
          </w:p>
        </w:tc>
        <w:tc>
          <w:tcPr>
            <w:tcW w:w="8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$72,270 in 2024)</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41,871</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federal income tax</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489,600</w:t>
            </w:r>
          </w:p>
        </w:tc>
      </w:tr>
      <w:tr>
        <w:trPr>
          <w:trHeight w:val="229"/>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Goodwill and acquired intangible assets, net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79,556</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79,572</w:t>
            </w:r>
          </w:p>
        </w:tc>
      </w:tr>
      <w:tr>
        <w:trPr>
          <w:trHeight w:val="222"/>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7,220,561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7,111,649</w:t>
            </w: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Reserve for losses and LAE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364,749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328,866</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Unearned premium reserve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115,983</w:t>
            </w:r>
          </w:p>
        </w:tc>
      </w:tr>
      <w:tr>
        <w:trPr>
          <w:trHeight w:val="229"/>
        </w:trPr>
        <w:tc>
          <w:tcPr>
            <w:tcW w:w="40" w:type="dxa"/>
            <w:vAlign w:val="bottom"/>
          </w:tcPr>
          <w:p>
            <w:pPr>
              <w:spacing w:after="0"/>
              <w:rPr>
                <w:sz w:val="19"/>
                <w:szCs w:val="19"/>
                <w:color w:val="auto"/>
              </w:rPr>
            </w:pPr>
          </w:p>
        </w:tc>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392,428</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Senior Notes due 2029,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493,959</w:t>
            </w: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176,755</w:t>
            </w:r>
          </w:p>
        </w:tc>
      </w:tr>
      <w:tr>
        <w:trPr>
          <w:trHeight w:val="222"/>
        </w:trPr>
        <w:tc>
          <w:tcPr>
            <w:tcW w:w="40" w:type="dxa"/>
            <w:vAlign w:val="bottom"/>
          </w:tcPr>
          <w:p>
            <w:pPr>
              <w:spacing w:after="0"/>
              <w:rPr>
                <w:sz w:val="19"/>
                <w:szCs w:val="19"/>
                <w:color w:val="auto"/>
              </w:rPr>
            </w:pPr>
          </w:p>
        </w:tc>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1,547,713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1,507,991</w:t>
            </w:r>
          </w:p>
        </w:tc>
      </w:tr>
      <w:tr>
        <w:trPr>
          <w:trHeight w:val="209"/>
        </w:trPr>
        <w:tc>
          <w:tcPr>
            <w:tcW w:w="40" w:type="dxa"/>
            <w:vAlign w:val="bottom"/>
          </w:tcPr>
          <w:p>
            <w:pPr>
              <w:spacing w:after="0"/>
              <w:rPr>
                <w:sz w:val="18"/>
                <w:szCs w:val="18"/>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(see Note 7)</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8020" w:type="dxa"/>
            <w:vAlign w:val="bottom"/>
            <w:gridSpan w:val="3"/>
            <w:shd w:val="clear" w:color="auto" w:fill="CCEEFF"/>
          </w:tcPr>
          <w:p>
            <w:pPr>
              <w:ind w:left="440"/>
              <w:spacing w:after="0" w:line="175" w:lineRule="exact"/>
              <w:rPr>
                <w:sz w:val="20"/>
                <w:szCs w:val="20"/>
                <w:color w:val="auto"/>
              </w:rPr>
            </w:pPr>
            <w:r>
              <w:rPr>
                <w:rFonts w:ascii="Times New Roman" w:cs="Times New Roman" w:eastAsia="Times New Roman" w:hAnsi="Times New Roman"/>
                <w:sz w:val="18"/>
                <w:szCs w:val="18"/>
                <w:color w:val="auto"/>
              </w:rPr>
              <w:t>Authorized - 233,333; issued and outstanding - 99,556 shares in 2025 and 105,015</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2"/>
        </w:trPr>
        <w:tc>
          <w:tcPr>
            <w:tcW w:w="40" w:type="dxa"/>
            <w:vAlign w:val="bottom"/>
          </w:tcPr>
          <w:p>
            <w:pPr>
              <w:spacing w:after="0"/>
              <w:rPr>
                <w:sz w:val="21"/>
                <w:szCs w:val="21"/>
                <w:color w:val="auto"/>
              </w:rPr>
            </w:pPr>
          </w:p>
        </w:tc>
        <w:tc>
          <w:tcPr>
            <w:tcW w:w="80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shares in 2024</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29"/>
        </w:trPr>
        <w:tc>
          <w:tcPr>
            <w:tcW w:w="40" w:type="dxa"/>
            <w:vAlign w:val="bottom"/>
          </w:tcPr>
          <w:p>
            <w:pPr>
              <w:spacing w:after="0"/>
              <w:rPr>
                <w:sz w:val="19"/>
                <w:szCs w:val="19"/>
                <w:color w:val="auto"/>
              </w:rPr>
            </w:pPr>
          </w:p>
        </w:tc>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1,214,956</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(303,984)</w:t>
            </w: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4,998,684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4,691,111</w:t>
            </w:r>
          </w:p>
        </w:tc>
      </w:tr>
      <w:tr>
        <w:trPr>
          <w:trHeight w:val="222"/>
        </w:trPr>
        <w:tc>
          <w:tcPr>
            <w:tcW w:w="40" w:type="dxa"/>
            <w:vAlign w:val="bottom"/>
          </w:tcPr>
          <w:p>
            <w:pPr>
              <w:spacing w:after="0"/>
              <w:rPr>
                <w:sz w:val="19"/>
                <w:szCs w:val="19"/>
                <w:color w:val="auto"/>
              </w:rPr>
            </w:pPr>
          </w:p>
        </w:tc>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5,672,848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5,603,658</w:t>
            </w:r>
          </w:p>
        </w:tc>
      </w:tr>
      <w:tr>
        <w:trPr>
          <w:trHeight w:val="222"/>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7,220,561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7,111,649</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6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241,488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245,566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479,759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484,106</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w:t>
            </w:r>
          </w:p>
        </w:tc>
        <w:tc>
          <w:tcPr>
            <w:tcW w:w="0" w:type="dxa"/>
            <w:vAlign w:val="bottom"/>
          </w:tcPr>
          <w:p>
            <w:pPr>
              <w:spacing w:after="0"/>
              <w:rPr>
                <w:sz w:val="1"/>
                <w:szCs w:val="1"/>
                <w:color w:val="auto"/>
              </w:rPr>
            </w:pPr>
          </w:p>
        </w:tc>
      </w:tr>
      <w:tr>
        <w:trPr>
          <w:trHeight w:val="222"/>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497,481</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108,171</w:t>
            </w: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losses,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0" w:type="dxa"/>
            <w:vAlign w:val="bottom"/>
          </w:tcPr>
          <w:p>
            <w:pPr>
              <w:spacing w:after="0"/>
              <w:rPr>
                <w:sz w:val="1"/>
                <w:szCs w:val="1"/>
                <w:color w:val="auto"/>
              </w:rPr>
            </w:pPr>
          </w:p>
        </w:tc>
      </w:tr>
      <w:tr>
        <w:trPr>
          <w:trHeight w:val="222"/>
        </w:trPr>
        <w:tc>
          <w:tcPr>
            <w:tcW w:w="5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611,299</w:t>
            </w:r>
          </w:p>
        </w:tc>
        <w:tc>
          <w:tcPr>
            <w:tcW w:w="0" w:type="dxa"/>
            <w:vAlign w:val="bottom"/>
          </w:tcPr>
          <w:p>
            <w:pPr>
              <w:spacing w:after="0"/>
              <w:rPr>
                <w:sz w:val="1"/>
                <w:szCs w:val="1"/>
                <w:color w:val="auto"/>
              </w:rPr>
            </w:pPr>
          </w:p>
        </w:tc>
      </w:tr>
      <w:tr>
        <w:trPr>
          <w:trHeight w:val="236"/>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133,042</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15,711</w:t>
            </w:r>
          </w:p>
        </w:tc>
        <w:tc>
          <w:tcPr>
            <w:tcW w:w="0" w:type="dxa"/>
            <w:vAlign w:val="bottom"/>
          </w:tcPr>
          <w:p>
            <w:pPr>
              <w:spacing w:after="0"/>
              <w:rPr>
                <w:sz w:val="1"/>
                <w:szCs w:val="1"/>
                <w:color w:val="auto"/>
              </w:rPr>
            </w:pPr>
          </w:p>
        </w:tc>
      </w:tr>
      <w:tr>
        <w:trPr>
          <w:trHeight w:val="222"/>
        </w:trPr>
        <w:tc>
          <w:tcPr>
            <w:tcW w:w="5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losses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158,332</w:t>
            </w:r>
          </w:p>
        </w:tc>
        <w:tc>
          <w:tcPr>
            <w:tcW w:w="0" w:type="dxa"/>
            <w:vAlign w:val="bottom"/>
          </w:tcPr>
          <w:p>
            <w:pPr>
              <w:spacing w:after="0"/>
              <w:rPr>
                <w:sz w:val="1"/>
                <w:szCs w:val="1"/>
                <w:color w:val="auto"/>
              </w:rPr>
            </w:pPr>
          </w:p>
        </w:tc>
      </w:tr>
      <w:tr>
        <w:trPr>
          <w:trHeight w:val="236"/>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452,967</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67,639</w:t>
            </w:r>
          </w:p>
        </w:tc>
        <w:tc>
          <w:tcPr>
            <w:tcW w:w="0" w:type="dxa"/>
            <w:vAlign w:val="bottom"/>
          </w:tcPr>
          <w:p>
            <w:pPr>
              <w:spacing w:after="0"/>
              <w:rPr>
                <w:sz w:val="1"/>
                <w:szCs w:val="1"/>
                <w:color w:val="auto"/>
              </w:rPr>
            </w:pPr>
          </w:p>
        </w:tc>
      </w:tr>
      <w:tr>
        <w:trPr>
          <w:trHeight w:val="247"/>
        </w:trPr>
        <w:tc>
          <w:tcPr>
            <w:tcW w:w="5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105,677</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106,774</w:t>
            </w:r>
          </w:p>
        </w:tc>
        <w:tc>
          <w:tcPr>
            <w:tcW w:w="0" w:type="dxa"/>
            <w:vAlign w:val="bottom"/>
          </w:tcPr>
          <w:p>
            <w:pPr>
              <w:spacing w:after="0"/>
              <w:rPr>
                <w:sz w:val="1"/>
                <w:szCs w:val="1"/>
                <w:color w:val="auto"/>
              </w:rPr>
            </w:pPr>
          </w:p>
        </w:tc>
      </w:tr>
      <w:tr>
        <w:trPr>
          <w:trHeight w:val="256"/>
        </w:trPr>
        <w:tc>
          <w:tcPr>
            <w:tcW w:w="5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385,328</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80" w:type="dxa"/>
            <w:vAlign w:val="bottom"/>
            <w:gridSpan w:val="2"/>
          </w:tcPr>
          <w:p>
            <w:pPr>
              <w:ind w:left="340"/>
              <w:spacing w:after="0" w:line="175" w:lineRule="exact"/>
              <w:rPr>
                <w:sz w:val="20"/>
                <w:szCs w:val="20"/>
                <w:color w:val="auto"/>
              </w:rPr>
            </w:pPr>
            <w:r>
              <w:rPr>
                <w:rFonts w:ascii="Times New Roman" w:cs="Times New Roman" w:eastAsia="Times New Roman" w:hAnsi="Times New Roman"/>
                <w:sz w:val="18"/>
                <w:szCs w:val="18"/>
                <w:color w:val="auto"/>
              </w:rPr>
              <w:t>Change in unrealized appreciation (depreciation) of investments,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80" w:type="dxa"/>
            <w:vAlign w:val="bottom"/>
            <w:gridSpan w:val="2"/>
          </w:tcPr>
          <w:p>
            <w:pPr>
              <w:ind w:left="340"/>
              <w:spacing w:after="0" w:line="175" w:lineRule="exact"/>
              <w:rPr>
                <w:sz w:val="20"/>
                <w:szCs w:val="20"/>
                <w:color w:val="auto"/>
              </w:rPr>
            </w:pPr>
            <w:r>
              <w:rPr>
                <w:rFonts w:ascii="Times New Roman" w:cs="Times New Roman" w:eastAsia="Times New Roman" w:hAnsi="Times New Roman"/>
                <w:sz w:val="18"/>
                <w:szCs w:val="18"/>
                <w:color w:val="auto"/>
              </w:rPr>
              <w:t>net of tax expense (benefit) of $2,070 and ($1,592) in the three</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80" w:type="dxa"/>
            <w:vAlign w:val="bottom"/>
            <w:gridSpan w:val="2"/>
          </w:tcPr>
          <w:p>
            <w:pPr>
              <w:ind w:left="340"/>
              <w:spacing w:after="0" w:line="183" w:lineRule="exact"/>
              <w:rPr>
                <w:sz w:val="20"/>
                <w:szCs w:val="20"/>
                <w:color w:val="auto"/>
              </w:rPr>
            </w:pPr>
            <w:r>
              <w:rPr>
                <w:rFonts w:ascii="Times New Roman" w:cs="Times New Roman" w:eastAsia="Times New Roman" w:hAnsi="Times New Roman"/>
                <w:sz w:val="18"/>
                <w:szCs w:val="18"/>
                <w:color w:val="auto"/>
              </w:rPr>
              <w:t>months ended June 30, 2025 and 2024, and $13,365 and ($4,714)</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in the six months ended June 30, 2025 and 2024, respectively.</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88,318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0" w:type="dxa"/>
            <w:vAlign w:val="bottom"/>
          </w:tcPr>
          <w:p>
            <w:pPr>
              <w:spacing w:after="0"/>
              <w:rPr>
                <w:sz w:val="1"/>
                <w:szCs w:val="1"/>
                <w:color w:val="auto"/>
              </w:rPr>
            </w:pPr>
          </w:p>
        </w:tc>
      </w:tr>
      <w:tr>
        <w:trPr>
          <w:trHeight w:val="222"/>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0" w:type="dxa"/>
            <w:vAlign w:val="bottom"/>
          </w:tcPr>
          <w:p>
            <w:pPr>
              <w:spacing w:after="0"/>
              <w:rPr>
                <w:sz w:val="1"/>
                <w:szCs w:val="1"/>
                <w:color w:val="auto"/>
              </w:rPr>
            </w:pPr>
          </w:p>
        </w:tc>
      </w:tr>
      <w:tr>
        <w:trPr>
          <w:trHeight w:val="222"/>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211,919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358,187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34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Forfeiture of management incentive shares</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1,293,424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1,299,869</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29"/>
        </w:trPr>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Forfeiture of management incentive shares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(35,539)</w:t>
            </w:r>
          </w:p>
        </w:tc>
        <w:tc>
          <w:tcPr>
            <w:tcW w:w="0" w:type="dxa"/>
            <w:vAlign w:val="bottom"/>
          </w:tcPr>
          <w:p>
            <w:pPr>
              <w:spacing w:after="0"/>
              <w:rPr>
                <w:sz w:val="1"/>
                <w:szCs w:val="1"/>
                <w:color w:val="auto"/>
              </w:rPr>
            </w:pPr>
          </w:p>
        </w:tc>
      </w:tr>
      <w:tr>
        <w:trPr>
          <w:trHeight w:val="22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1,278,918</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(280,496)</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0" w:type="dxa"/>
            <w:vAlign w:val="bottom"/>
          </w:tcPr>
          <w:p>
            <w:pPr>
              <w:spacing w:after="0"/>
              <w:rPr>
                <w:sz w:val="1"/>
                <w:szCs w:val="1"/>
                <w:color w:val="auto"/>
              </w:rPr>
            </w:pPr>
          </w:p>
        </w:tc>
      </w:tr>
      <w:tr>
        <w:trPr>
          <w:trHeight w:val="22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(307,637)</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4,834,675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4,233,391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4,691,111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4,081,578</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385,328</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(59,993)</w:t>
            </w:r>
          </w:p>
        </w:tc>
        <w:tc>
          <w:tcPr>
            <w:tcW w:w="0" w:type="dxa"/>
            <w:vAlign w:val="bottom"/>
          </w:tcPr>
          <w:p>
            <w:pPr>
              <w:spacing w:after="0"/>
              <w:rPr>
                <w:sz w:val="1"/>
                <w:szCs w:val="1"/>
                <w:color w:val="auto"/>
              </w:rPr>
            </w:pPr>
          </w:p>
        </w:tc>
      </w:tr>
      <w:tr>
        <w:trPr>
          <w:trHeight w:val="222"/>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4,998,684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4,406,913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4,998,684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4,406,913</w:t>
            </w:r>
          </w:p>
        </w:tc>
        <w:tc>
          <w:tcPr>
            <w:tcW w:w="0" w:type="dxa"/>
            <w:vAlign w:val="bottom"/>
          </w:tcPr>
          <w:p>
            <w:pPr>
              <w:spacing w:after="0"/>
              <w:rPr>
                <w:sz w:val="1"/>
                <w:szCs w:val="1"/>
                <w:color w:val="auto"/>
              </w:rPr>
            </w:pP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Treasury stock acquired</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(35,549)</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35,549</w:t>
            </w:r>
          </w:p>
        </w:tc>
        <w:tc>
          <w:tcPr>
            <w:tcW w:w="0" w:type="dxa"/>
            <w:vAlign w:val="bottom"/>
          </w:tcPr>
          <w:p>
            <w:pPr>
              <w:spacing w:after="0"/>
              <w:rPr>
                <w:sz w:val="1"/>
                <w:szCs w:val="1"/>
                <w:color w:val="auto"/>
              </w:rPr>
            </w:pPr>
          </w:p>
        </w:tc>
      </w:tr>
      <w:tr>
        <w:trPr>
          <w:trHeight w:val="22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5,672,848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5,379,790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5,672,848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5,379,790</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8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5"/>
        </w:trPr>
        <w:tc>
          <w:tcPr>
            <w:tcW w:w="7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370,772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385,328</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Realized investment losses,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from other invested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Distribution of income from other invested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13,792</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premium on investment securities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9,675</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20,623</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Accrued investment income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w:t>
            </w:r>
          </w:p>
        </w:tc>
        <w:tc>
          <w:tcPr>
            <w:tcW w:w="0" w:type="dxa"/>
            <w:vAlign w:val="bottom"/>
          </w:tcPr>
          <w:p>
            <w:pPr>
              <w:spacing w:after="0"/>
              <w:rPr>
                <w:sz w:val="1"/>
                <w:szCs w:val="1"/>
                <w:color w:val="auto"/>
              </w:rPr>
            </w:pPr>
          </w:p>
        </w:tc>
      </w:tr>
      <w:tr>
        <w:trPr>
          <w:trHeight w:val="213"/>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federal income tax</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(16,810)</w:t>
            </w:r>
          </w:p>
        </w:tc>
        <w:tc>
          <w:tcPr>
            <w:tcW w:w="0" w:type="dxa"/>
            <w:vAlign w:val="bottom"/>
          </w:tcPr>
          <w:p>
            <w:pPr>
              <w:spacing w:after="0"/>
              <w:rPr>
                <w:sz w:val="1"/>
                <w:szCs w:val="1"/>
                <w:color w:val="auto"/>
              </w:rPr>
            </w:pPr>
          </w:p>
        </w:tc>
      </w:tr>
      <w:tr>
        <w:trPr>
          <w:trHeight w:val="213"/>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Reserve for losses and LAE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13"/>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Unearned premium reserve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(13,347)</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(16,449)</w:t>
            </w:r>
          </w:p>
        </w:tc>
        <w:tc>
          <w:tcPr>
            <w:tcW w:w="0" w:type="dxa"/>
            <w:vAlign w:val="bottom"/>
          </w:tcPr>
          <w:p>
            <w:pPr>
              <w:spacing w:after="0"/>
              <w:rPr>
                <w:sz w:val="1"/>
                <w:szCs w:val="1"/>
                <w:color w:val="auto"/>
              </w:rPr>
            </w:pPr>
          </w:p>
        </w:tc>
      </w:tr>
      <w:tr>
        <w:trPr>
          <w:trHeight w:val="206"/>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411,104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405,626</w:t>
            </w:r>
          </w:p>
        </w:tc>
        <w:tc>
          <w:tcPr>
            <w:tcW w:w="0" w:type="dxa"/>
            <w:vAlign w:val="bottom"/>
          </w:tcPr>
          <w:p>
            <w:pPr>
              <w:spacing w:after="0"/>
              <w:rPr>
                <w:sz w:val="1"/>
                <w:szCs w:val="1"/>
                <w:color w:val="auto"/>
              </w:rPr>
            </w:pPr>
          </w:p>
        </w:tc>
      </w:tr>
      <w:tr>
        <w:trPr>
          <w:trHeight w:val="90"/>
        </w:trPr>
        <w:tc>
          <w:tcPr>
            <w:tcW w:w="7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change in short-term investments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(594,781)</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investments available for sale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(602,313)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(63,548)</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maturity and paydowns of investments available for sale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245,491</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sales of investments available for sale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174,121</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other invested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(12,816)</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Return of investment from other invested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(5,542)</w:t>
            </w:r>
          </w:p>
        </w:tc>
        <w:tc>
          <w:tcPr>
            <w:tcW w:w="0" w:type="dxa"/>
            <w:vAlign w:val="bottom"/>
          </w:tcPr>
          <w:p>
            <w:pPr>
              <w:spacing w:after="0"/>
              <w:rPr>
                <w:sz w:val="1"/>
                <w:szCs w:val="1"/>
                <w:color w:val="auto"/>
              </w:rPr>
            </w:pPr>
          </w:p>
        </w:tc>
      </w:tr>
      <w:tr>
        <w:trPr>
          <w:trHeight w:val="206"/>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(48,576)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(255,272)</w:t>
            </w:r>
          </w:p>
        </w:tc>
        <w:tc>
          <w:tcPr>
            <w:tcW w:w="0" w:type="dxa"/>
            <w:vAlign w:val="bottom"/>
          </w:tcPr>
          <w:p>
            <w:pPr>
              <w:spacing w:after="0"/>
              <w:rPr>
                <w:sz w:val="1"/>
                <w:szCs w:val="1"/>
                <w:color w:val="auto"/>
              </w:rPr>
            </w:pPr>
          </w:p>
        </w:tc>
      </w:tr>
      <w:tr>
        <w:trPr>
          <w:trHeight w:val="90"/>
        </w:trPr>
        <w:tc>
          <w:tcPr>
            <w:tcW w:w="7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acquired</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(35,549)</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(59,190)</w:t>
            </w:r>
          </w:p>
        </w:tc>
        <w:tc>
          <w:tcPr>
            <w:tcW w:w="0" w:type="dxa"/>
            <w:vAlign w:val="bottom"/>
          </w:tcPr>
          <w:p>
            <w:pPr>
              <w:spacing w:after="0"/>
              <w:rPr>
                <w:sz w:val="1"/>
                <w:szCs w:val="1"/>
                <w:color w:val="auto"/>
              </w:rPr>
            </w:pPr>
          </w:p>
        </w:tc>
      </w:tr>
      <w:tr>
        <w:trPr>
          <w:trHeight w:val="209"/>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(401,892)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(94,739)</w:t>
            </w:r>
          </w:p>
        </w:tc>
        <w:tc>
          <w:tcPr>
            <w:tcW w:w="0" w:type="dxa"/>
            <w:vAlign w:val="bottom"/>
          </w:tcPr>
          <w:p>
            <w:pPr>
              <w:spacing w:after="0"/>
              <w:rPr>
                <w:sz w:val="1"/>
                <w:szCs w:val="1"/>
                <w:color w:val="auto"/>
              </w:rPr>
            </w:pPr>
          </w:p>
        </w:tc>
      </w:tr>
      <w:tr>
        <w:trPr>
          <w:trHeight w:val="90"/>
        </w:trPr>
        <w:tc>
          <w:tcPr>
            <w:tcW w:w="7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55,615</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at beginning of year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141,787</w:t>
            </w:r>
          </w:p>
        </w:tc>
        <w:tc>
          <w:tcPr>
            <w:tcW w:w="0" w:type="dxa"/>
            <w:vAlign w:val="bottom"/>
          </w:tcPr>
          <w:p>
            <w:pPr>
              <w:spacing w:after="0"/>
              <w:rPr>
                <w:sz w:val="1"/>
                <w:szCs w:val="1"/>
                <w:color w:val="auto"/>
              </w:rPr>
            </w:pPr>
          </w:p>
        </w:tc>
      </w:tr>
      <w:tr>
        <w:trPr>
          <w:trHeight w:val="23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at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197,402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payments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(53,737)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(51,526)</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payments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(15,444)</w:t>
            </w:r>
          </w:p>
        </w:tc>
        <w:tc>
          <w:tcPr>
            <w:tcW w:w="0" w:type="dxa"/>
            <w:vAlign w:val="bottom"/>
          </w:tcPr>
          <w:p>
            <w:pPr>
              <w:spacing w:after="0"/>
              <w:rPr>
                <w:sz w:val="1"/>
                <w:szCs w:val="1"/>
                <w:color w:val="auto"/>
              </w:rPr>
            </w:pPr>
          </w:p>
        </w:tc>
      </w:tr>
      <w:tr>
        <w:trPr>
          <w:trHeight w:val="108"/>
        </w:trPr>
        <w:tc>
          <w:tcPr>
            <w:tcW w:w="7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Transactions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Excise taxes payable for share repurchases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520" w:firstLine="646"/>
        <w:spacing w:after="0" w:line="280" w:lineRule="auto"/>
        <w:rPr>
          <w:sz w:val="20"/>
          <w:szCs w:val="20"/>
          <w:color w:val="auto"/>
        </w:rPr>
      </w:pPr>
      <w:r>
        <w:rPr>
          <w:rFonts w:ascii="Times New Roman" w:cs="Times New Roman" w:eastAsia="Times New Roman" w:hAnsi="Times New Roman"/>
          <w:sz w:val="18"/>
          <w:szCs w:val="18"/>
          <w:color w:val="auto"/>
        </w:rPr>
        <w:t>In these notes to condensed consolidated financial statements, “Essent”, “Company”, “we”, “us”, and “our” refer to Essent Group Ltd. and its subsidiaries, unless the context otherwise requires.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7" w:lineRule="exact"/>
        <w:rPr>
          <w:sz w:val="20"/>
          <w:szCs w:val="20"/>
          <w:color w:val="auto"/>
        </w:rPr>
      </w:pPr>
    </w:p>
    <w:p>
      <w:pPr>
        <w:ind w:right="220" w:firstLine="646"/>
        <w:spacing w:after="0" w:line="259" w:lineRule="auto"/>
        <w:rPr>
          <w:sz w:val="20"/>
          <w:szCs w:val="20"/>
          <w:color w:val="auto"/>
        </w:rPr>
      </w:pPr>
      <w:r>
        <w:rPr>
          <w:rFonts w:ascii="Times New Roman" w:cs="Times New Roman" w:eastAsia="Times New Roman" w:hAnsi="Times New Roman"/>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10" w:lineRule="exact"/>
        <w:rPr>
          <w:sz w:val="20"/>
          <w:szCs w:val="20"/>
          <w:color w:val="auto"/>
        </w:rPr>
      </w:pPr>
    </w:p>
    <w:p>
      <w:pPr>
        <w:ind w:right="220" w:firstLine="646"/>
        <w:spacing w:after="0" w:line="287" w:lineRule="auto"/>
        <w:rPr>
          <w:sz w:val="20"/>
          <w:szCs w:val="20"/>
          <w:color w:val="auto"/>
        </w:rPr>
      </w:pPr>
      <w:r>
        <w:rPr>
          <w:rFonts w:ascii="Times New Roman" w:cs="Times New Roman" w:eastAsia="Times New Roman" w:hAnsi="Times New Roman"/>
          <w:sz w:val="17"/>
          <w:szCs w:val="17"/>
          <w:color w:val="auto"/>
        </w:rPr>
        <w:t>The primary mortgage insurance operations are conducted through Essent Guaranty, Inc. (“Essent Guaranty”), which is domiciled in the state of Pennsylvania. Essent Guaranty is headquartered in Radnor, Pennsylvania and maintains an operations center in Winston-Salem, North Carolina. Essent Guaranty is approved as a qualified mortgage insurer by the GSEs and is licensed to write mortgage insurance in all 50 states and the District of Columbia.</w:t>
      </w:r>
    </w:p>
    <w:p>
      <w:pPr>
        <w:spacing w:after="0" w:line="187" w:lineRule="exact"/>
        <w:rPr>
          <w:sz w:val="20"/>
          <w:szCs w:val="20"/>
          <w:color w:val="auto"/>
        </w:rPr>
      </w:pPr>
    </w:p>
    <w:p>
      <w:pPr>
        <w:ind w:right="200" w:firstLine="646"/>
        <w:spacing w:after="0" w:line="259" w:lineRule="auto"/>
        <w:rPr>
          <w:sz w:val="20"/>
          <w:szCs w:val="20"/>
          <w:color w:val="auto"/>
        </w:rPr>
      </w:pPr>
      <w:r>
        <w:rPr>
          <w:rFonts w:ascii="Times New Roman" w:cs="Times New Roman" w:eastAsia="Times New Roman" w:hAnsi="Times New Roman"/>
          <w:sz w:val="18"/>
          <w:szCs w:val="18"/>
          <w:color w:val="auto"/>
        </w:rPr>
        <w:t>Essent Guaranty reinsures new insurance written ("NIW") to Essent Reinsurance Ltd. (“Essent Re”), an affiliated Bermuda domiciled Class 3B Insurer licensed pursuant to Section 4 of the Bermuda Insurance Act 1978 that provides insurance and reinsurance coverage of mortgage credit risk. Essent Re also provides insurance and reinsurance to Freddie Mac and Fannie Mae. The following table summarizes the quota share reinsurance coverage that Essent Re has provided to Essent Guaranty for the respective NIW periods:</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9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NIW Period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Ceding</w:t>
            </w:r>
          </w:p>
        </w:tc>
        <w:tc>
          <w:tcPr>
            <w:tcW w:w="0" w:type="dxa"/>
            <w:vAlign w:val="bottom"/>
          </w:tcPr>
          <w:p>
            <w:pPr>
              <w:spacing w:after="0"/>
              <w:rPr>
                <w:sz w:val="1"/>
                <w:szCs w:val="1"/>
                <w:color w:val="auto"/>
              </w:rPr>
            </w:pPr>
          </w:p>
        </w:tc>
      </w:tr>
      <w:tr>
        <w:trPr>
          <w:trHeight w:val="194"/>
        </w:trPr>
        <w:tc>
          <w:tcPr>
            <w:tcW w:w="960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8"/>
        </w:trPr>
        <w:tc>
          <w:tcPr>
            <w:tcW w:w="9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2025 to Present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9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1, 2021 to December 31, 2024</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0" w:type="dxa"/>
            <w:vAlign w:val="bottom"/>
          </w:tcPr>
          <w:p>
            <w:pPr>
              <w:spacing w:after="0"/>
              <w:rPr>
                <w:sz w:val="1"/>
                <w:szCs w:val="1"/>
                <w:color w:val="auto"/>
              </w:rPr>
            </w:pPr>
          </w:p>
        </w:tc>
      </w:tr>
      <w:tr>
        <w:trPr>
          <w:trHeight w:val="229"/>
        </w:trPr>
        <w:tc>
          <w:tcPr>
            <w:tcW w:w="9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Prior to January 1, 2021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280" w:firstLine="646"/>
        <w:spacing w:after="0" w:line="280" w:lineRule="auto"/>
        <w:rPr>
          <w:sz w:val="20"/>
          <w:szCs w:val="20"/>
          <w:color w:val="auto"/>
        </w:rPr>
      </w:pPr>
      <w:r>
        <w:rPr>
          <w:rFonts w:ascii="Times New Roman" w:cs="Times New Roman" w:eastAsia="Times New Roman" w:hAnsi="Times New Roman"/>
          <w:sz w:val="18"/>
          <w:szCs w:val="18"/>
          <w:color w:val="auto"/>
        </w:rPr>
        <w:t>In 2016, Essent Re formed Essent Agency (Bermuda) Ltd., a wholly-owned subsidiary, which provides underwriting consulting services to third-party reinsurers.</w:t>
      </w:r>
    </w:p>
    <w:p>
      <w:pPr>
        <w:spacing w:after="0" w:line="190" w:lineRule="exact"/>
        <w:rPr>
          <w:sz w:val="20"/>
          <w:szCs w:val="20"/>
          <w:color w:val="auto"/>
        </w:rPr>
      </w:pPr>
    </w:p>
    <w:p>
      <w:pPr>
        <w:ind w:right="120" w:firstLine="646"/>
        <w:spacing w:after="0" w:line="257" w:lineRule="auto"/>
        <w:rPr>
          <w:sz w:val="20"/>
          <w:szCs w:val="20"/>
          <w:color w:val="auto"/>
        </w:rPr>
      </w:pPr>
      <w:r>
        <w:rPr>
          <w:rFonts w:ascii="Times New Roman" w:cs="Times New Roman" w:eastAsia="Times New Roman" w:hAnsi="Times New Roman"/>
          <w:sz w:val="18"/>
          <w:szCs w:val="18"/>
          <w:color w:val="auto"/>
        </w:rPr>
        <w:t>Prior to December 31, 2024, Essent Guaranty also reinsured that portion of the risk that is in excess of 25% of the mortgage balance with respect to any loan insured prior to April 1, 2019, after consideration of other reinsurance, to Essent Guaranty of PA, Inc. (“Essent PA”), an affiliate domiciled in the state of Pennsylvania. On December 31, 2024, Essent Guaranty and Essent PA entered into a commutation and release agreement in which all outstanding risk in force assumed by Essent PA was commuted back to Essent Guaranty in exchange for cash. Upon the commutation and release, Essent PA surrendered its insurance license and is no longer an insurance subsidiary of Essent Group Ltd. as of December 31, 2024.</w:t>
      </w:r>
    </w:p>
    <w:p>
      <w:pPr>
        <w:spacing w:after="0" w:line="210" w:lineRule="exact"/>
        <w:rPr>
          <w:sz w:val="20"/>
          <w:szCs w:val="20"/>
          <w:color w:val="auto"/>
        </w:rPr>
      </w:pPr>
    </w:p>
    <w:p>
      <w:pPr>
        <w:ind w:right="380" w:firstLine="646"/>
        <w:spacing w:after="0" w:line="259" w:lineRule="auto"/>
        <w:rPr>
          <w:sz w:val="20"/>
          <w:szCs w:val="20"/>
          <w:color w:val="auto"/>
        </w:rPr>
      </w:pPr>
      <w:r>
        <w:rPr>
          <w:rFonts w:ascii="Times New Roman" w:cs="Times New Roman" w:eastAsia="Times New Roman" w:hAnsi="Times New Roman"/>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an operations center in Winston-Salem, North Carolina that is subleased from Essent Guaranty.</w:t>
      </w:r>
    </w:p>
    <w:p>
      <w:pPr>
        <w:spacing w:after="0" w:line="210" w:lineRule="exact"/>
        <w:rPr>
          <w:sz w:val="20"/>
          <w:szCs w:val="20"/>
          <w:color w:val="auto"/>
        </w:rPr>
      </w:pPr>
    </w:p>
    <w:p>
      <w:pPr>
        <w:jc w:val="both"/>
        <w:ind w:right="340" w:firstLine="646"/>
        <w:spacing w:after="0" w:line="287" w:lineRule="auto"/>
        <w:rPr>
          <w:sz w:val="20"/>
          <w:szCs w:val="20"/>
          <w:color w:val="auto"/>
        </w:rPr>
      </w:pPr>
      <w:r>
        <w:rPr>
          <w:rFonts w:ascii="Times New Roman" w:cs="Times New Roman" w:eastAsia="Times New Roman" w:hAnsi="Times New Roman"/>
          <w:sz w:val="17"/>
          <w:szCs w:val="17"/>
          <w:color w:val="auto"/>
        </w:rPr>
        <w:t>As a result of our acquisitions of Agents National Title Insurance Company (renamed Essent Title Insurance, Inc. effective January 1, 2025) and Boston National Holdings LLC on July 1, 2023, we now offer title insurance products and title and settlement services. Our title insurance operations are headquartered in Radnor, Pennsylvania, with additional locations in Charlotte, North Carolina, Columbia, Missouri and Pittsburgh, Pennsylvania.</w:t>
      </w: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1" w:lineRule="exact"/>
        <w:rPr>
          <w:sz w:val="20"/>
          <w:szCs w:val="20"/>
          <w:color w:val="auto"/>
        </w:rPr>
      </w:pPr>
    </w:p>
    <w:p>
      <w:pPr>
        <w:ind w:right="20" w:firstLine="404"/>
        <w:spacing w:after="0" w:line="257" w:lineRule="auto"/>
        <w:rPr>
          <w:sz w:val="20"/>
          <w:szCs w:val="20"/>
          <w:color w:val="auto"/>
        </w:rPr>
      </w:pPr>
      <w:r>
        <w:rPr>
          <w:rFonts w:ascii="Times New Roman" w:cs="Times New Roman" w:eastAsia="Times New Roman" w:hAnsi="Times New Roman"/>
          <w:sz w:val="18"/>
          <w:szCs w:val="18"/>
          <w:color w:val="auto"/>
        </w:rPr>
        <w:t>We have one reportable business segment: Mortgage Insurance. Our Mortgage Insurance segment offers private mortgage insurance and reinsurance for mortgages secured by residential properties located in the United States. We provide private mortgage insurance on residential first-lien mortgage loans (“U.S. mortgage insurance”) through our U.S. mortgage insurance subsidiary, Essent Guaranty, and also offer other credit risk management solutions, including contract underwriting, to our customers. Through our Bermuda-based reinsurance subsidiary, Essent Re, we reinsure U.S. mortgage risk primarily through the GSE credit risk transfer market (“GSE and other risk share”) and provide underwriting consulting services to third-party reinsurers.</w:t>
      </w:r>
    </w:p>
    <w:p>
      <w:pPr>
        <w:spacing w:after="0" w:line="102" w:lineRule="exact"/>
        <w:rPr>
          <w:sz w:val="20"/>
          <w:szCs w:val="20"/>
          <w:color w:val="auto"/>
        </w:rPr>
      </w:pPr>
    </w:p>
    <w:p>
      <w:pPr>
        <w:ind w:right="60" w:firstLine="646"/>
        <w:spacing w:after="0" w:line="253" w:lineRule="auto"/>
        <w:rPr>
          <w:sz w:val="20"/>
          <w:szCs w:val="20"/>
          <w:color w:val="auto"/>
        </w:rPr>
      </w:pPr>
      <w:r>
        <w:rPr>
          <w:rFonts w:ascii="Times New Roman" w:cs="Times New Roman" w:eastAsia="Times New Roman" w:hAnsi="Times New Roman"/>
          <w:sz w:val="18"/>
          <w:szCs w:val="18"/>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2024,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June 30, 2025 prior to the issuance of these condensed consolidated financial statements.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 prior years have been reclassified to conform to the current year presentation.</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45" w:lineRule="exact"/>
        <w:rPr>
          <w:sz w:val="20"/>
          <w:szCs w:val="20"/>
          <w:color w:val="auto"/>
        </w:rPr>
      </w:pPr>
    </w:p>
    <w:p>
      <w:pPr>
        <w:ind w:right="40" w:firstLine="404"/>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The standard requires disaggregated information about a reporting entity’s effective tax rate reconciliation as well as information on income taxes paid, including taxes paid by jurisdiction. The ASU will be effective for annual periods beginning after December 15, 2024. The guidance will be applied on a prospective basis with the option to apply the standard retrospectively, with early adoption permitted. The Company is currently evaluating the impact that the ASU will have on our consolidated financial statements.</w:t>
      </w:r>
    </w:p>
    <w:p>
      <w:pPr>
        <w:spacing w:after="0" w:line="116"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included in certain expense captions in the Consolidated Statements of Operations, as well as qualitatively describe remaining amounts included in those captions. ASU 2024-03 will also require the Company to disclose both the amount and the Company’s definition of selling expenses. The ASU is effective for annual reporting periods beginning after December 15, 2026 and interim reporting periods within annual reporting periods beginning after December 15, 2027. The Company is currently evaluating the impact that the ASU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Investments available for sale consist of the following:</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 (In thousands)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4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398,591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391,461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1,265,904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(95,835)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1,172,715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645,877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72,261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1,968,972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1,908,167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484,715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454,381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801,867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580,964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580,964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4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6,219,151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(270,206)</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5,966,537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(In thousands)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4"/>
        </w:trPr>
        <w:tc>
          <w:tcPr>
            <w:tcW w:w="444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4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561,853</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(14,888)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547,290</w:t>
            </w:r>
          </w:p>
        </w:tc>
        <w:tc>
          <w:tcPr>
            <w:tcW w:w="1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1,249,259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(123,865)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631,015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(49,110)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1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(11,833)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1,887,647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(105,665)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1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519,613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(42,054)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642,395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(11,037)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1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44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6,231,018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(358,452)</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5,876,721</w:t>
            </w:r>
          </w:p>
        </w:tc>
        <w:tc>
          <w:tcPr>
            <w:tcW w:w="18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center"/>
              <w:ind w:left="3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revenue bonds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obligation bonds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center"/>
              <w:ind w:left="3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gridSpan w:val="6"/>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non-cyclical</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cyclical</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Materials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40" w:firstLine="646"/>
        <w:spacing w:after="0" w:line="259" w:lineRule="auto"/>
        <w:rPr>
          <w:sz w:val="20"/>
          <w:szCs w:val="20"/>
          <w:color w:val="auto"/>
        </w:rPr>
      </w:pPr>
      <w:r>
        <w:rPr>
          <w:rFonts w:ascii="Times New Roman" w:cs="Times New Roman" w:eastAsia="Times New Roman" w:hAnsi="Times New Roman"/>
          <w:sz w:val="18"/>
          <w:szCs w:val="18"/>
          <w:color w:val="auto"/>
        </w:rPr>
        <w:t>The amortized cost and fair value of investments available for sale at June 30, 2025,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3"/>
                <w:szCs w:val="13"/>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60" w:type="dxa"/>
            <w:vAlign w:val="bottom"/>
          </w:tcPr>
          <w:p>
            <w:pPr>
              <w:spacing w:after="0"/>
              <w:rPr>
                <w:sz w:val="13"/>
                <w:szCs w:val="13"/>
                <w:color w:val="auto"/>
              </w:rPr>
            </w:pP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72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Pr>
          <w:p>
            <w:pPr>
              <w:spacing w:after="0"/>
              <w:rPr>
                <w:sz w:val="16"/>
                <w:szCs w:val="16"/>
                <w:color w:val="auto"/>
              </w:rPr>
            </w:pPr>
          </w:p>
        </w:tc>
        <w:tc>
          <w:tcPr>
            <w:tcW w:w="148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7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92,725</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265,801</w:t>
            </w: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20,340</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398,591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391,461</w:t>
            </w:r>
          </w:p>
        </w:tc>
        <w:tc>
          <w:tcPr>
            <w:tcW w:w="0" w:type="dxa"/>
            <w:vAlign w:val="bottom"/>
          </w:tcPr>
          <w:p>
            <w:pPr>
              <w:spacing w:after="0"/>
              <w:rPr>
                <w:sz w:val="1"/>
                <w:szCs w:val="1"/>
                <w:color w:val="auto"/>
              </w:rPr>
            </w:pPr>
          </w:p>
        </w:tc>
      </w:tr>
      <w:tr>
        <w:trPr>
          <w:trHeight w:val="20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20,575</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89,634</w:t>
            </w: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140,145</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386,505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350,264</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600,618</w:t>
            </w:r>
          </w:p>
        </w:tc>
        <w:tc>
          <w:tcPr>
            <w:tcW w:w="0" w:type="dxa"/>
            <w:vAlign w:val="bottom"/>
          </w:tcPr>
          <w:p>
            <w:pPr>
              <w:spacing w:after="0"/>
              <w:rPr>
                <w:sz w:val="1"/>
                <w:szCs w:val="1"/>
                <w:color w:val="auto"/>
              </w:rPr>
            </w:pPr>
          </w:p>
        </w:tc>
      </w:tr>
      <w:tr>
        <w:trPr>
          <w:trHeight w:val="20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23,826</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62,166</w:t>
            </w:r>
          </w:p>
        </w:tc>
        <w:tc>
          <w:tcPr>
            <w:tcW w:w="0" w:type="dxa"/>
            <w:vAlign w:val="bottom"/>
          </w:tcPr>
          <w:p>
            <w:pPr>
              <w:spacing w:after="0"/>
              <w:rPr>
                <w:sz w:val="1"/>
                <w:szCs w:val="1"/>
                <w:color w:val="auto"/>
              </w:rPr>
            </w:pPr>
          </w:p>
        </w:tc>
      </w:tr>
      <w:tr>
        <w:trPr>
          <w:trHeight w:val="20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164,573</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597,076</w:t>
            </w: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973,327</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200,700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173,191</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1,968,972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1,908,167</w:t>
            </w:r>
          </w:p>
        </w:tc>
        <w:tc>
          <w:tcPr>
            <w:tcW w:w="0" w:type="dxa"/>
            <w:vAlign w:val="bottom"/>
          </w:tcPr>
          <w:p>
            <w:pPr>
              <w:spacing w:after="0"/>
              <w:rPr>
                <w:sz w:val="1"/>
                <w:szCs w:val="1"/>
                <w:color w:val="auto"/>
              </w:rPr>
            </w:pPr>
          </w:p>
        </w:tc>
      </w:tr>
      <w:tr>
        <w:trPr>
          <w:trHeight w:val="222"/>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1,265,904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1,172,715</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454,381</w:t>
            </w:r>
          </w:p>
        </w:tc>
        <w:tc>
          <w:tcPr>
            <w:tcW w:w="0" w:type="dxa"/>
            <w:vAlign w:val="bottom"/>
          </w:tcPr>
          <w:p>
            <w:pPr>
              <w:spacing w:after="0"/>
              <w:rPr>
                <w:sz w:val="1"/>
                <w:szCs w:val="1"/>
                <w:color w:val="auto"/>
              </w:rPr>
            </w:pPr>
          </w:p>
        </w:tc>
      </w:tr>
      <w:tr>
        <w:trPr>
          <w:trHeight w:val="222"/>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801,867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796,065</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580,964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580,964</w:t>
            </w:r>
          </w:p>
        </w:tc>
        <w:tc>
          <w:tcPr>
            <w:tcW w:w="0" w:type="dxa"/>
            <w:vAlign w:val="bottom"/>
          </w:tcPr>
          <w:p>
            <w:pPr>
              <w:spacing w:after="0"/>
              <w:rPr>
                <w:sz w:val="1"/>
                <w:szCs w:val="1"/>
                <w:color w:val="auto"/>
              </w:rPr>
            </w:pPr>
          </w:p>
        </w:tc>
      </w:tr>
      <w:tr>
        <w:trPr>
          <w:trHeight w:val="247"/>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6,219,151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5,966,537</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realized investment (losses) gains, net on the condensed consolidated statements of comprehensive income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8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gross gains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gross losses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260" w:firstLine="646"/>
        <w:spacing w:after="0" w:line="280" w:lineRule="auto"/>
        <w:rPr>
          <w:sz w:val="20"/>
          <w:szCs w:val="20"/>
          <w:color w:val="auto"/>
        </w:rPr>
      </w:pPr>
      <w:r>
        <w:rPr>
          <w:rFonts w:ascii="Times New Roman" w:cs="Times New Roman" w:eastAsia="Times New Roman" w:hAnsi="Times New Roman"/>
          <w:sz w:val="18"/>
          <w:szCs w:val="18"/>
          <w:color w:val="auto"/>
        </w:rPr>
        <w:t>The fair value of investments available for sale in an unrealized loss position and the related unrealized losses for which no allowance for credit loss has been recorded were as follows:</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6"/>
                <w:szCs w:val="16"/>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40" w:type="dxa"/>
            <w:vAlign w:val="bottom"/>
          </w:tcPr>
          <w:p>
            <w:pPr>
              <w:spacing w:after="0"/>
              <w:rPr>
                <w:sz w:val="16"/>
                <w:szCs w:val="16"/>
                <w:color w:val="auto"/>
              </w:rPr>
            </w:pPr>
          </w:p>
        </w:tc>
        <w:tc>
          <w:tcPr>
            <w:tcW w:w="12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8"/>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 (In thousands)</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6"/>
                <w:szCs w:val="16"/>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9"/>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239,569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(95,835)</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(46,993)</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(69,302)</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(30,980)</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0" w:type="dxa"/>
            <w:vAlign w:val="bottom"/>
          </w:tcPr>
          <w:p>
            <w:pPr>
              <w:spacing w:after="0"/>
              <w:rPr>
                <w:sz w:val="1"/>
                <w:szCs w:val="1"/>
                <w:color w:val="auto"/>
              </w:rPr>
            </w:pPr>
          </w:p>
        </w:tc>
      </w:tr>
      <w:tr>
        <w:trPr>
          <w:trHeight w:val="222"/>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1,354,340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2,301,705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(242,310)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3,656,045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(270,206)</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7"/>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24"/>
                <w:szCs w:val="24"/>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40" w:type="dxa"/>
            <w:vAlign w:val="bottom"/>
          </w:tcPr>
          <w:p>
            <w:pPr>
              <w:spacing w:after="0"/>
              <w:rPr>
                <w:sz w:val="24"/>
                <w:szCs w:val="24"/>
                <w:color w:val="auto"/>
              </w:rPr>
            </w:pPr>
          </w:p>
        </w:tc>
        <w:tc>
          <w:tcPr>
            <w:tcW w:w="12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6"/>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(In thousands)</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6"/>
        </w:trPr>
        <w:tc>
          <w:tcPr>
            <w:tcW w:w="3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7"/>
                <w:szCs w:val="17"/>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8"/>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420,932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1,105,731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(123,865)</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(49,110)</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(105,665)</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0" w:type="dxa"/>
            <w:vAlign w:val="bottom"/>
          </w:tcPr>
          <w:p>
            <w:pPr>
              <w:spacing w:after="0"/>
              <w:rPr>
                <w:sz w:val="1"/>
                <w:szCs w:val="1"/>
                <w:color w:val="auto"/>
              </w:rPr>
            </w:pPr>
          </w:p>
        </w:tc>
      </w:tr>
      <w:tr>
        <w:trPr>
          <w:trHeight w:val="222"/>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1,954,295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2,567,865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(308,438)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4,522,160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(358,452)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firstLine="646"/>
        <w:spacing w:after="0" w:line="253" w:lineRule="auto"/>
        <w:rPr>
          <w:sz w:val="20"/>
          <w:szCs w:val="20"/>
          <w:color w:val="auto"/>
        </w:rPr>
      </w:pPr>
      <w:r>
        <w:rPr>
          <w:rFonts w:ascii="Times New Roman" w:cs="Times New Roman" w:eastAsia="Times New Roman" w:hAnsi="Times New Roman"/>
          <w:sz w:val="18"/>
          <w:szCs w:val="18"/>
          <w:color w:val="auto"/>
        </w:rPr>
        <w:t>At June 30, 2025 and December 31, 2024, we held 2,178 and 2,481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June 30, 2025 of any of these securities resulted from a credit loss or other factors, we made inquiries of our investment managers to determine that each issuer was current on its scheduled interest and principal payments. We reviewed the credit rating of these securities noting that approximately 99% of the securities at June 30, 2025 had investment-grade ratings. We concluded that gross unrealized losses noted above were primarily associated with the changes in interest rates subsequent to purchase rather than due to credit impairment. There were no impairments recorded in the three and six months ended June 30, 2025. We recorded impairments of $0.5 million during the three and six months ended June 30, 2024 due to our intent to sell securities in an unrealized loss position.</w:t>
      </w:r>
    </w:p>
    <w:p>
      <w:pPr>
        <w:spacing w:after="0" w:line="216" w:lineRule="exact"/>
        <w:rPr>
          <w:sz w:val="20"/>
          <w:szCs w:val="20"/>
          <w:color w:val="auto"/>
        </w:rPr>
      </w:pPr>
    </w:p>
    <w:p>
      <w:pPr>
        <w:ind w:right="140" w:firstLine="646"/>
        <w:spacing w:after="0" w:line="254" w:lineRule="auto"/>
        <w:rPr>
          <w:sz w:val="20"/>
          <w:szCs w:val="20"/>
          <w:color w:val="auto"/>
        </w:rPr>
      </w:pPr>
      <w:r>
        <w:rPr>
          <w:rFonts w:ascii="Times New Roman" w:cs="Times New Roman" w:eastAsia="Times New Roman" w:hAnsi="Times New Roman"/>
          <w:sz w:val="18"/>
          <w:szCs w:val="18"/>
          <w:color w:val="auto"/>
        </w:rPr>
        <w:t>The Company's other invested assets at June 30, 2025 and December 31, 2024 totaled $359.8 million and $303.9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condensed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100" w:firstLine="646"/>
        <w:spacing w:after="0" w:line="273" w:lineRule="auto"/>
        <w:rPr>
          <w:sz w:val="20"/>
          <w:szCs w:val="20"/>
          <w:color w:val="auto"/>
        </w:rPr>
      </w:pPr>
      <w:r>
        <w:rPr>
          <w:rFonts w:ascii="Times New Roman" w:cs="Times New Roman" w:eastAsia="Times New Roman" w:hAnsi="Times New Roman"/>
          <w:sz w:val="17"/>
          <w:szCs w:val="17"/>
          <w:color w:val="auto"/>
        </w:rPr>
        <w:t>Other invested assets that are accounted for at fair value using the net asset value (or its equivalent) as a practical expedient totaled $179.7 million as of June 30, 2025 and $171.7 million as of December 31, 2024. The majority of these investments were in limited partnerships invested in real estate or consumer credit. At June 30, 2025, maximum future funding commitments were $44 million. For limited partnership investments that have a contractual expiration date, we expect the liquidation of the underlying assets to occur over the next one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the consent from the general partner of individual limited partnerships.</w:t>
      </w:r>
    </w:p>
    <w:p>
      <w:pPr>
        <w:spacing w:after="0" w:line="199" w:lineRule="exact"/>
        <w:rPr>
          <w:sz w:val="20"/>
          <w:szCs w:val="20"/>
          <w:color w:val="auto"/>
        </w:rPr>
      </w:pPr>
    </w:p>
    <w:p>
      <w:pPr>
        <w:ind w:right="60" w:firstLine="646"/>
        <w:spacing w:after="0" w:line="257" w:lineRule="auto"/>
        <w:rPr>
          <w:sz w:val="20"/>
          <w:szCs w:val="20"/>
          <w:color w:val="auto"/>
        </w:rPr>
      </w:pPr>
      <w:r>
        <w:rPr>
          <w:rFonts w:ascii="Times New Roman" w:cs="Times New Roman" w:eastAsia="Times New Roman" w:hAnsi="Times New Roman"/>
          <w:sz w:val="18"/>
          <w:szCs w:val="18"/>
          <w:color w:val="auto"/>
        </w:rPr>
        <w:t>The fair value of investments deposited with insurance regulatory authorities to meet statutory requirements was $8.7 million at June 30, 2025 and $9.3 million at December 31, 2024. In connection with its insurance and reinsurance activities, Essent Re is required to maintain assets in trusts for the benefit of its contractual counterparties. The fair value of the investments on deposit in these trusts was $1.0 billion at June 30, 2025 and $983.5 million at December 31, 2024. Essent Guaranty is also required to maintain assets on deposit for the benefit of the sponsor of a fixed income investment commitment. The fair value of the assets on deposit was $5.1 million at June 30, 2025 and $9.3 million at December 31, 2024.</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consists of:</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91,656</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18,974</w:t>
            </w:r>
          </w:p>
        </w:tc>
        <w:tc>
          <w:tcPr>
            <w:tcW w:w="0" w:type="dxa"/>
            <w:vAlign w:val="bottom"/>
          </w:tcPr>
          <w:p>
            <w:pPr>
              <w:spacing w:after="0"/>
              <w:rPr>
                <w:sz w:val="1"/>
                <w:szCs w:val="1"/>
                <w:color w:val="auto"/>
              </w:rPr>
            </w:pPr>
          </w:p>
        </w:tc>
      </w:tr>
      <w:tr>
        <w:trPr>
          <w:trHeight w:val="222"/>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110,630</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0" w:type="dxa"/>
            <w:vAlign w:val="bottom"/>
          </w:tcPr>
          <w:p>
            <w:pPr>
              <w:spacing w:after="0"/>
              <w:rPr>
                <w:sz w:val="1"/>
                <w:szCs w:val="1"/>
                <w:color w:val="auto"/>
              </w:rPr>
            </w:pPr>
          </w:p>
        </w:tc>
      </w:tr>
      <w:tr>
        <w:trPr>
          <w:trHeight w:val="247"/>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Reinsurance</w:t>
      </w:r>
    </w:p>
    <w:p>
      <w:pPr>
        <w:spacing w:after="0" w:line="227" w:lineRule="exact"/>
        <w:rPr>
          <w:sz w:val="20"/>
          <w:szCs w:val="20"/>
          <w:color w:val="auto"/>
        </w:rPr>
      </w:pPr>
    </w:p>
    <w:p>
      <w:pPr>
        <w:ind w:right="240" w:firstLine="646"/>
        <w:spacing w:after="0" w:line="259" w:lineRule="auto"/>
        <w:rPr>
          <w:sz w:val="20"/>
          <w:szCs w:val="20"/>
          <w:color w:val="auto"/>
        </w:rPr>
      </w:pPr>
      <w:r>
        <w:rPr>
          <w:rFonts w:ascii="Times New Roman" w:cs="Times New Roman" w:eastAsia="Times New Roman" w:hAnsi="Times New Roman"/>
          <w:sz w:val="18"/>
          <w:szCs w:val="18"/>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 of reinsurance on net premiums written and earned is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2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r>
      <w:tr>
        <w:trPr>
          <w:trHeight w:val="193"/>
        </w:trPr>
        <w:tc>
          <w:tcPr>
            <w:tcW w:w="21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5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5"/>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29"/>
        </w:trPr>
        <w:tc>
          <w:tcPr>
            <w:tcW w:w="5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274,872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272,910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547,266</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541,841</w:t>
            </w:r>
          </w:p>
        </w:tc>
      </w:tr>
      <w:tr>
        <w:trPr>
          <w:trHeight w:val="229"/>
        </w:trPr>
        <w:tc>
          <w:tcPr>
            <w:tcW w:w="5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(33,384)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(27,344)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(67,507)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(57,735)</w:t>
            </w:r>
          </w:p>
        </w:tc>
      </w:tr>
      <w:tr>
        <w:trPr>
          <w:trHeight w:val="222"/>
        </w:trPr>
        <w:tc>
          <w:tcPr>
            <w:tcW w:w="5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Net premiums written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241,488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245,566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479,759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484,106</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6"/>
        </w:trPr>
        <w:tc>
          <w:tcPr>
            <w:tcW w:w="218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282,193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279,235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562,164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555,216</w:t>
            </w:r>
          </w:p>
        </w:tc>
      </w:tr>
      <w:tr>
        <w:trPr>
          <w:trHeight w:val="229"/>
        </w:trPr>
        <w:tc>
          <w:tcPr>
            <w:tcW w:w="52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(33,384)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(27,344)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(67,507)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(57,735)</w:t>
            </w:r>
          </w:p>
        </w:tc>
      </w:tr>
      <w:tr>
        <w:trPr>
          <w:trHeight w:val="247"/>
        </w:trPr>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248,809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251,891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494,657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497,481</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Net of profit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Quota Share Reinsurance</w:t>
      </w:r>
    </w:p>
    <w:p>
      <w:pPr>
        <w:spacing w:after="0" w:line="254" w:lineRule="exact"/>
        <w:rPr>
          <w:sz w:val="20"/>
          <w:szCs w:val="20"/>
          <w:color w:val="auto"/>
        </w:rPr>
      </w:pPr>
    </w:p>
    <w:p>
      <w:pPr>
        <w:ind w:right="340" w:firstLine="179"/>
        <w:spacing w:after="0" w:line="255" w:lineRule="auto"/>
        <w:rPr>
          <w:sz w:val="20"/>
          <w:szCs w:val="20"/>
          <w:color w:val="auto"/>
        </w:rPr>
      </w:pPr>
      <w:r>
        <w:rPr>
          <w:rFonts w:ascii="Times New Roman" w:cs="Times New Roman" w:eastAsia="Times New Roman" w:hAnsi="Times New Roman"/>
          <w:sz w:val="18"/>
          <w:szCs w:val="18"/>
          <w:color w:val="auto"/>
        </w:rPr>
        <w:t>Essent Guaranty has entered into quota share reinsurance agreements with panels of third-party reinsurers ("QSR" agreements). Each of the third-party reinsurers has an insurer financial strength rating of A- or better by S&amp;P Global Ratings, A.M. Best Ratings Services, Inc. or both. Under each QSR agreement, Essent Guaranty will cede premiums earned on all eligible policies written during a specified period, in exchange for reimbursement of ceded claims and claims expenses on covered policies, a specified ceding commission, and a profit commission that varies directly and inversely with ceded claims. Essent Guaranty has certain termination rights under each QSR agreement, including the option to terminate each QSR agreement subject to a termination fee.</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Essent Guaranty's quota share reinsurance agreements as of June 30, 2025:</w:t>
      </w:r>
    </w:p>
    <w:p>
      <w:pPr>
        <w:spacing w:after="0" w:line="271"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QSR Agreement</w:t>
            </w:r>
          </w:p>
        </w:tc>
        <w:tc>
          <w:tcPr>
            <w:tcW w:w="8080" w:type="dxa"/>
            <w:vAlign w:val="bottom"/>
            <w:gridSpan w:val="3"/>
            <w:vMerge w:val="restart"/>
          </w:tcPr>
          <w:p>
            <w:pPr>
              <w:ind w:left="3480"/>
              <w:spacing w:after="0"/>
              <w:rPr>
                <w:sz w:val="20"/>
                <w:szCs w:val="20"/>
                <w:color w:val="auto"/>
              </w:rPr>
            </w:pPr>
            <w:r>
              <w:rPr>
                <w:rFonts w:ascii="Times New Roman" w:cs="Times New Roman" w:eastAsia="Times New Roman" w:hAnsi="Times New Roman"/>
                <w:sz w:val="14"/>
                <w:szCs w:val="14"/>
                <w:b w:val="1"/>
                <w:bCs w:val="1"/>
                <w:color w:val="auto"/>
              </w:rPr>
              <w:t>Coverage Period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Ceding</w:t>
            </w:r>
          </w:p>
        </w:tc>
        <w:tc>
          <w:tcPr>
            <w:tcW w:w="0" w:type="dxa"/>
            <w:vAlign w:val="bottom"/>
          </w:tcPr>
          <w:p>
            <w:pPr>
              <w:spacing w:after="0"/>
              <w:rPr>
                <w:sz w:val="1"/>
                <w:szCs w:val="1"/>
                <w:color w:val="auto"/>
              </w:rPr>
            </w:pPr>
          </w:p>
        </w:tc>
      </w:tr>
      <w:tr>
        <w:trPr>
          <w:trHeight w:val="194"/>
        </w:trPr>
        <w:tc>
          <w:tcPr>
            <w:tcW w:w="1780" w:type="dxa"/>
            <w:vAlign w:val="bottom"/>
            <w:gridSpan w:val="2"/>
            <w:vMerge w:val="continue"/>
          </w:tcPr>
          <w:p>
            <w:pPr>
              <w:spacing w:after="0"/>
              <w:rPr>
                <w:sz w:val="16"/>
                <w:szCs w:val="16"/>
                <w:color w:val="auto"/>
              </w:rPr>
            </w:pPr>
          </w:p>
        </w:tc>
        <w:tc>
          <w:tcPr>
            <w:tcW w:w="8080" w:type="dxa"/>
            <w:vAlign w:val="bottom"/>
            <w:gridSpan w:val="3"/>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28"/>
        </w:trPr>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QSR-2019</w:t>
            </w:r>
          </w:p>
        </w:tc>
        <w:tc>
          <w:tcPr>
            <w:tcW w:w="100" w:type="dxa"/>
            <w:vAlign w:val="bottom"/>
            <w:tcBorders>
              <w:top w:val="single" w:sz="8" w:color="CCEEFF"/>
            </w:tcBorders>
            <w:shd w:val="clear" w:color="auto" w:fill="CCEEFF"/>
          </w:tcPr>
          <w:p>
            <w:pPr>
              <w:spacing w:after="0"/>
              <w:rPr>
                <w:sz w:val="19"/>
                <w:szCs w:val="19"/>
                <w:color w:val="auto"/>
              </w:rPr>
            </w:pPr>
          </w:p>
        </w:tc>
        <w:tc>
          <w:tcPr>
            <w:tcW w:w="3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 2019</w:t>
            </w:r>
          </w:p>
        </w:tc>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9"/>
        </w:trPr>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QSR-2022</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2022 -</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QSR-2023</w:t>
            </w:r>
          </w:p>
        </w:tc>
        <w:tc>
          <w:tcPr>
            <w:tcW w:w="3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2023 -</w:t>
            </w: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0" w:type="dxa"/>
            <w:vAlign w:val="bottom"/>
          </w:tcPr>
          <w:p>
            <w:pPr>
              <w:spacing w:after="0"/>
              <w:rPr>
                <w:sz w:val="1"/>
                <w:szCs w:val="1"/>
                <w:color w:val="auto"/>
              </w:rPr>
            </w:pPr>
          </w:p>
        </w:tc>
      </w:tr>
      <w:tr>
        <w:trPr>
          <w:trHeight w:val="229"/>
        </w:trPr>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QSR-2024</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2024 -</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QSR-2025</w:t>
            </w:r>
          </w:p>
        </w:tc>
        <w:tc>
          <w:tcPr>
            <w:tcW w:w="3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2025 -</w:t>
            </w: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QSR-2019, Essent Guaranty cedes 40% of premiums on singles policies and 20% on all other policies.</w:t>
      </w:r>
    </w:p>
    <w:p>
      <w:pPr>
        <w:spacing w:after="0" w:line="7"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color w:val="auto"/>
        </w:rPr>
        <w:t>Total risk in force (RIF) ceded under the QSR agreements was $9.5 billion as of June 30, 2025. During the first quarter of 2025, Essent also entered into a forward quota share transaction covering 25% of the risk of all eligible policies written by Essent Guaranty, Inc. in calendar year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of Loss Reinsurance</w:t>
      </w:r>
    </w:p>
    <w:p>
      <w:pPr>
        <w:spacing w:after="0" w:line="254" w:lineRule="exact"/>
        <w:rPr>
          <w:sz w:val="20"/>
          <w:szCs w:val="20"/>
          <w:color w:val="auto"/>
        </w:rPr>
      </w:pPr>
    </w:p>
    <w:p>
      <w:pPr>
        <w:ind w:right="120" w:firstLine="646"/>
        <w:spacing w:after="0" w:line="252"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219" w:lineRule="exact"/>
        <w:rPr>
          <w:sz w:val="20"/>
          <w:szCs w:val="20"/>
          <w:color w:val="auto"/>
        </w:rPr>
      </w:pPr>
    </w:p>
    <w:p>
      <w:pPr>
        <w:ind w:right="200" w:firstLine="404"/>
        <w:spacing w:after="0" w:line="257" w:lineRule="auto"/>
        <w:rPr>
          <w:sz w:val="20"/>
          <w:szCs w:val="20"/>
          <w:color w:val="auto"/>
        </w:rPr>
      </w:pPr>
      <w:r>
        <w:rPr>
          <w:rFonts w:ascii="Times New Roman" w:cs="Times New Roman" w:eastAsia="Times New Roman" w:hAnsi="Times New Roman"/>
          <w:sz w:val="18"/>
          <w:szCs w:val="18"/>
          <w:color w:val="auto"/>
        </w:rPr>
        <w:t>Essent Guaranty has also entered into reinsurance agreements with panels of reinsurers that provide excess of loss coverage on new insurance written from January 1, 2018 through August 31, 2019 and from October 1, 2021 through December 31, 2024. For the reinsurance coverage periods, Essent Guaranty and its affiliates retain the first layer of the respective aggregate losses, and the reinsurance panels will then provide second layer coverage up to the outstanding reinsurance coverage amounts. Essent Guaranty and its affiliates retain losses in excess of the outstanding reinsurance coverage amounts. Essent Guaranty has rights to terminate these reinsurance agreements.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Essent Guaranty's excess of loss coverages and retentions provided by insurance linked notes as of June 30, 2025:</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4"/>
                <w:szCs w:val="14"/>
                <w:color w:val="auto"/>
              </w:rPr>
            </w:pPr>
          </w:p>
        </w:tc>
        <w:tc>
          <w:tcPr>
            <w:tcW w:w="10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Deal Name</w:t>
            </w:r>
          </w:p>
        </w:tc>
        <w:tc>
          <w:tcPr>
            <w:tcW w:w="2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Vintage</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Risk</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Reinsurance in</w:t>
            </w:r>
          </w:p>
        </w:tc>
        <w:tc>
          <w:tcPr>
            <w:tcW w:w="160" w:type="dxa"/>
            <w:vAlign w:val="bottom"/>
          </w:tcPr>
          <w:p>
            <w:pPr>
              <w:spacing w:after="0"/>
              <w:rPr>
                <w:sz w:val="12"/>
                <w:szCs w:val="12"/>
                <w:color w:val="auto"/>
              </w:rPr>
            </w:pPr>
          </w:p>
        </w:tc>
        <w:tc>
          <w:tcPr>
            <w:tcW w:w="1020" w:type="dxa"/>
            <w:vAlign w:val="bottom"/>
          </w:tcPr>
          <w:p>
            <w:pPr>
              <w:jc w:val="center"/>
              <w:ind w:right="82"/>
              <w:spacing w:after="0" w:line="146" w:lineRule="exact"/>
              <w:rPr>
                <w:sz w:val="20"/>
                <w:szCs w:val="20"/>
                <w:color w:val="auto"/>
              </w:rPr>
            </w:pPr>
            <w:r>
              <w:rPr>
                <w:rFonts w:ascii="Times New Roman" w:cs="Times New Roman" w:eastAsia="Times New Roman" w:hAnsi="Times New Roman"/>
                <w:sz w:val="14"/>
                <w:szCs w:val="14"/>
                <w:b w:val="1"/>
                <w:bCs w:val="1"/>
                <w:color w:val="auto"/>
              </w:rPr>
              <w:t>First Layer</w:t>
            </w:r>
          </w:p>
        </w:tc>
        <w:tc>
          <w:tcPr>
            <w:tcW w:w="2240" w:type="dxa"/>
            <w:vAlign w:val="bottom"/>
            <w:vMerge w:val="restart"/>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c>
          <w:tcPr>
            <w:tcW w:w="0" w:type="dxa"/>
            <w:vAlign w:val="bottom"/>
          </w:tcPr>
          <w:p>
            <w:pPr>
              <w:spacing w:after="0"/>
              <w:rPr>
                <w:sz w:val="1"/>
                <w:szCs w:val="1"/>
                <w:color w:val="auto"/>
              </w:rPr>
            </w:pPr>
          </w:p>
        </w:tc>
      </w:tr>
      <w:tr>
        <w:trPr>
          <w:trHeight w:val="195"/>
        </w:trPr>
        <w:tc>
          <w:tcPr>
            <w:tcW w:w="1740" w:type="dxa"/>
            <w:vAlign w:val="bottom"/>
            <w:vMerge w:val="continue"/>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160" w:type="dxa"/>
            <w:vAlign w:val="bottom"/>
          </w:tcPr>
          <w:p>
            <w:pPr>
              <w:spacing w:after="0"/>
              <w:rPr>
                <w:sz w:val="16"/>
                <w:szCs w:val="16"/>
                <w:color w:val="auto"/>
              </w:rPr>
            </w:pPr>
          </w:p>
        </w:tc>
        <w:tc>
          <w:tcPr>
            <w:tcW w:w="10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Retention</w:t>
            </w: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Radnor Re 2021-1</w:t>
            </w: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 2020 - Mar. 2021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21,095,901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5,826,753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139,755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277,158</w:t>
            </w:r>
          </w:p>
        </w:tc>
        <w:tc>
          <w:tcPr>
            <w:tcW w:w="2240" w:type="dxa"/>
            <w:vAlign w:val="bottom"/>
            <w:tcBorders>
              <w:top w:val="single" w:sz="8" w:color="auto"/>
            </w:tcBorders>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rPr>
              <w:t>June 26, 2028</w:t>
            </w:r>
          </w:p>
        </w:tc>
        <w:tc>
          <w:tcPr>
            <w:tcW w:w="0" w:type="dxa"/>
            <w:vAlign w:val="bottom"/>
          </w:tcPr>
          <w:p>
            <w:pPr>
              <w:spacing w:after="0"/>
              <w:rPr>
                <w:sz w:val="1"/>
                <w:szCs w:val="1"/>
                <w:color w:val="auto"/>
              </w:rPr>
            </w:pPr>
          </w:p>
        </w:tc>
      </w:tr>
      <w:tr>
        <w:trPr>
          <w:trHeight w:val="213"/>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Radnor Re 2021-2</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Apr. 2021 - Sep. 2021</w:t>
            </w:r>
          </w:p>
        </w:tc>
        <w:tc>
          <w:tcPr>
            <w:tcW w:w="1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26,864,364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7,566,871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273,926</w:t>
            </w:r>
          </w:p>
        </w:tc>
        <w:tc>
          <w:tcPr>
            <w:tcW w:w="224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rPr>
              <w:t>November 25, 2027</w:t>
            </w:r>
          </w:p>
        </w:tc>
        <w:tc>
          <w:tcPr>
            <w:tcW w:w="0" w:type="dxa"/>
            <w:vAlign w:val="bottom"/>
          </w:tcPr>
          <w:p>
            <w:pPr>
              <w:spacing w:after="0"/>
              <w:rPr>
                <w:sz w:val="1"/>
                <w:szCs w:val="1"/>
                <w:color w:val="auto"/>
              </w:rPr>
            </w:pPr>
          </w:p>
        </w:tc>
      </w:tr>
      <w:tr>
        <w:trPr>
          <w:trHeight w:val="218"/>
        </w:trPr>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Radnor Re 2022-1</w:t>
            </w:r>
          </w:p>
        </w:tc>
        <w:tc>
          <w:tcPr>
            <w:tcW w:w="2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Oct. 2021 - Jul. 2022</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26,046,456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7,171,205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297,208</w:t>
            </w:r>
          </w:p>
        </w:tc>
        <w:tc>
          <w:tcPr>
            <w:tcW w:w="224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rPr>
              <w:t>September 25, 2028</w:t>
            </w:r>
          </w:p>
        </w:tc>
        <w:tc>
          <w:tcPr>
            <w:tcW w:w="0" w:type="dxa"/>
            <w:vAlign w:val="bottom"/>
          </w:tcPr>
          <w:p>
            <w:pPr>
              <w:spacing w:after="0"/>
              <w:rPr>
                <w:sz w:val="1"/>
                <w:szCs w:val="1"/>
                <w:color w:val="auto"/>
              </w:rPr>
            </w:pPr>
          </w:p>
        </w:tc>
      </w:tr>
      <w:tr>
        <w:trPr>
          <w:trHeight w:val="213"/>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Radnor Re 2023-1</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 2022 - Jun. 2023</w:t>
            </w:r>
          </w:p>
        </w:tc>
        <w:tc>
          <w:tcPr>
            <w:tcW w:w="1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26,469,770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7,268,636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235,647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278,466</w:t>
            </w:r>
          </w:p>
        </w:tc>
        <w:tc>
          <w:tcPr>
            <w:tcW w:w="224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rPr>
              <w:t>July 25, 2028</w:t>
            </w:r>
          </w:p>
        </w:tc>
        <w:tc>
          <w:tcPr>
            <w:tcW w:w="0" w:type="dxa"/>
            <w:vAlign w:val="bottom"/>
          </w:tcPr>
          <w:p>
            <w:pPr>
              <w:spacing w:after="0"/>
              <w:rPr>
                <w:sz w:val="1"/>
                <w:szCs w:val="1"/>
                <w:color w:val="auto"/>
              </w:rPr>
            </w:pPr>
          </w:p>
        </w:tc>
      </w:tr>
      <w:tr>
        <w:trPr>
          <w:trHeight w:val="215"/>
        </w:trPr>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Radnor Re 2024-1</w:t>
            </w:r>
          </w:p>
        </w:tc>
        <w:tc>
          <w:tcPr>
            <w:tcW w:w="2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Jul. 2023 - Jul. 2024</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27,346,263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7,567,326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297,147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256,437</w:t>
            </w:r>
          </w:p>
        </w:tc>
        <w:tc>
          <w:tcPr>
            <w:tcW w:w="224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rPr>
              <w:t>September 25, 2029</w:t>
            </w:r>
          </w:p>
        </w:tc>
        <w:tc>
          <w:tcPr>
            <w:tcW w:w="0" w:type="dxa"/>
            <w:vAlign w:val="bottom"/>
          </w:tcPr>
          <w:p>
            <w:pPr>
              <w:spacing w:after="0"/>
              <w:rPr>
                <w:sz w:val="1"/>
                <w:szCs w:val="1"/>
                <w:color w:val="auto"/>
              </w:rPr>
            </w:pPr>
          </w:p>
        </w:tc>
      </w:tr>
      <w:tr>
        <w:trPr>
          <w:trHeight w:val="211"/>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127,822,754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35,400,791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1,048,209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1,383,195</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Essent Guaranty's excess of loss reinsurance coverages and retentions provided by panels of reinsurers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6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3"/>
                <w:szCs w:val="13"/>
                <w:color w:val="auto"/>
              </w:rPr>
            </w:pPr>
          </w:p>
        </w:tc>
        <w:tc>
          <w:tcPr>
            <w:tcW w:w="11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3"/>
                <w:szCs w:val="13"/>
                <w:color w:val="auto"/>
              </w:rPr>
            </w:pPr>
          </w:p>
        </w:tc>
        <w:tc>
          <w:tcPr>
            <w:tcW w:w="1000" w:type="dxa"/>
            <w:vAlign w:val="bottom"/>
          </w:tcPr>
          <w:p>
            <w:pPr>
              <w:jc w:val="center"/>
              <w:ind w:right="102"/>
              <w:spacing w:after="0" w:line="160"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Deal Name</w:t>
            </w: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Vintage</w:t>
            </w:r>
          </w:p>
        </w:tc>
        <w:tc>
          <w:tcPr>
            <w:tcW w:w="200" w:type="dxa"/>
            <w:vAlign w:val="bottom"/>
          </w:tcPr>
          <w:p>
            <w:pPr>
              <w:spacing w:after="0"/>
              <w:rPr>
                <w:sz w:val="11"/>
                <w:szCs w:val="11"/>
                <w:color w:val="auto"/>
              </w:rPr>
            </w:pPr>
          </w:p>
        </w:tc>
        <w:tc>
          <w:tcPr>
            <w:tcW w:w="11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Risk</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Reinsurance in</w:t>
            </w:r>
          </w:p>
        </w:tc>
        <w:tc>
          <w:tcPr>
            <w:tcW w:w="160" w:type="dxa"/>
            <w:vAlign w:val="bottom"/>
          </w:tcPr>
          <w:p>
            <w:pPr>
              <w:spacing w:after="0"/>
              <w:rPr>
                <w:sz w:val="11"/>
                <w:szCs w:val="11"/>
                <w:color w:val="auto"/>
              </w:rPr>
            </w:pPr>
          </w:p>
        </w:tc>
        <w:tc>
          <w:tcPr>
            <w:tcW w:w="1000" w:type="dxa"/>
            <w:vAlign w:val="bottom"/>
          </w:tcPr>
          <w:p>
            <w:pPr>
              <w:jc w:val="center"/>
              <w:ind w:right="102"/>
              <w:spacing w:after="0" w:line="137" w:lineRule="exact"/>
              <w:rPr>
                <w:sz w:val="20"/>
                <w:szCs w:val="20"/>
                <w:color w:val="auto"/>
              </w:rPr>
            </w:pPr>
            <w:r>
              <w:rPr>
                <w:rFonts w:ascii="Times New Roman" w:cs="Times New Roman" w:eastAsia="Times New Roman" w:hAnsi="Times New Roman"/>
                <w:sz w:val="14"/>
                <w:szCs w:val="14"/>
                <w:b w:val="1"/>
                <w:bCs w:val="1"/>
                <w:color w:val="auto"/>
              </w:rPr>
              <w:t>First Layer</w:t>
            </w:r>
          </w:p>
        </w:tc>
        <w:tc>
          <w:tcPr>
            <w:tcW w:w="2260" w:type="dxa"/>
            <w:vAlign w:val="bottom"/>
            <w:vMerge w:val="restart"/>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c>
          <w:tcPr>
            <w:tcW w:w="0" w:type="dxa"/>
            <w:vAlign w:val="bottom"/>
          </w:tcPr>
          <w:p>
            <w:pPr>
              <w:spacing w:after="0"/>
              <w:rPr>
                <w:sz w:val="1"/>
                <w:szCs w:val="1"/>
                <w:color w:val="auto"/>
              </w:rPr>
            </w:pPr>
          </w:p>
        </w:tc>
      </w:tr>
      <w:tr>
        <w:trPr>
          <w:trHeight w:val="188"/>
        </w:trPr>
        <w:tc>
          <w:tcPr>
            <w:tcW w:w="1660" w:type="dxa"/>
            <w:vAlign w:val="bottom"/>
            <w:vMerge w:val="continue"/>
          </w:tcPr>
          <w:p>
            <w:pPr>
              <w:spacing w:after="0"/>
              <w:rPr>
                <w:sz w:val="16"/>
                <w:szCs w:val="16"/>
                <w:color w:val="auto"/>
              </w:rPr>
            </w:pPr>
          </w:p>
        </w:tc>
        <w:tc>
          <w:tcPr>
            <w:tcW w:w="2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Force</w:t>
            </w:r>
          </w:p>
        </w:tc>
        <w:tc>
          <w:tcPr>
            <w:tcW w:w="160" w:type="dxa"/>
            <w:vAlign w:val="bottom"/>
          </w:tcPr>
          <w:p>
            <w:pPr>
              <w:spacing w:after="0"/>
              <w:rPr>
                <w:sz w:val="16"/>
                <w:szCs w:val="16"/>
                <w:color w:val="auto"/>
              </w:rPr>
            </w:pPr>
          </w:p>
        </w:tc>
        <w:tc>
          <w:tcPr>
            <w:tcW w:w="10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Retention</w:t>
            </w:r>
          </w:p>
        </w:tc>
        <w:tc>
          <w:tcPr>
            <w:tcW w:w="2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XOL 2019-1</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 2018 - Dec. 2018</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4,124,729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1,088,405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76,144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242,687</w:t>
            </w:r>
          </w:p>
        </w:tc>
        <w:tc>
          <w:tcPr>
            <w:tcW w:w="226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rPr>
              <w:t>February 25, 2026</w:t>
            </w:r>
          </w:p>
        </w:tc>
        <w:tc>
          <w:tcPr>
            <w:tcW w:w="0" w:type="dxa"/>
            <w:vAlign w:val="bottom"/>
          </w:tcPr>
          <w:p>
            <w:pPr>
              <w:spacing w:after="0"/>
              <w:rPr>
                <w:sz w:val="1"/>
                <w:szCs w:val="1"/>
                <w:color w:val="auto"/>
              </w:rPr>
            </w:pPr>
          </w:p>
        </w:tc>
      </w:tr>
      <w:tr>
        <w:trPr>
          <w:trHeight w:val="213"/>
        </w:trPr>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XOL 2020-1</w:t>
            </w: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 2019 - Aug. 2019</w:t>
            </w:r>
          </w:p>
        </w:tc>
        <w:tc>
          <w:tcPr>
            <w:tcW w:w="2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5,279,113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1,397,295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29,152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211,235</w:t>
            </w:r>
          </w:p>
        </w:tc>
        <w:tc>
          <w:tcPr>
            <w:tcW w:w="226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rPr>
              <w:t>January 25, 2027</w:t>
            </w:r>
          </w:p>
        </w:tc>
        <w:tc>
          <w:tcPr>
            <w:tcW w:w="0" w:type="dxa"/>
            <w:vAlign w:val="bottom"/>
          </w:tcPr>
          <w:p>
            <w:pPr>
              <w:spacing w:after="0"/>
              <w:rPr>
                <w:sz w:val="1"/>
                <w:szCs w:val="1"/>
                <w:color w:val="auto"/>
              </w:rPr>
            </w:pPr>
          </w:p>
        </w:tc>
      </w:tr>
      <w:tr>
        <w:trPr>
          <w:trHeight w:val="218"/>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XOL 2022-1</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 2021 - Dec. 2022</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59,046,810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16,186,034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141,992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489,255</w:t>
            </w:r>
          </w:p>
        </w:tc>
        <w:tc>
          <w:tcPr>
            <w:tcW w:w="226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rPr>
              <w:t>January 1, 2030</w:t>
            </w:r>
          </w:p>
        </w:tc>
        <w:tc>
          <w:tcPr>
            <w:tcW w:w="0" w:type="dxa"/>
            <w:vAlign w:val="bottom"/>
          </w:tcPr>
          <w:p>
            <w:pPr>
              <w:spacing w:after="0"/>
              <w:rPr>
                <w:sz w:val="1"/>
                <w:szCs w:val="1"/>
                <w:color w:val="auto"/>
              </w:rPr>
            </w:pPr>
          </w:p>
        </w:tc>
      </w:tr>
      <w:tr>
        <w:trPr>
          <w:trHeight w:val="213"/>
        </w:trPr>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XOL 2023-1</w:t>
            </w: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 2023 - Dec. 2023</w:t>
            </w:r>
          </w:p>
        </w:tc>
        <w:tc>
          <w:tcPr>
            <w:tcW w:w="2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34,703,053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9,630,585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36,627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364,437</w:t>
            </w:r>
          </w:p>
        </w:tc>
        <w:tc>
          <w:tcPr>
            <w:tcW w:w="226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rPr>
              <w:t>January 1, 2028</w:t>
            </w:r>
          </w:p>
        </w:tc>
        <w:tc>
          <w:tcPr>
            <w:tcW w:w="0" w:type="dxa"/>
            <w:vAlign w:val="bottom"/>
          </w:tcPr>
          <w:p>
            <w:pPr>
              <w:spacing w:after="0"/>
              <w:rPr>
                <w:sz w:val="1"/>
                <w:szCs w:val="1"/>
                <w:color w:val="auto"/>
              </w:rPr>
            </w:pPr>
          </w:p>
        </w:tc>
      </w:tr>
      <w:tr>
        <w:trPr>
          <w:trHeight w:val="215"/>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XOL 2024-1</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 2024 - Dec. 2024</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38,318,310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10,531,084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58,005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331,178</w:t>
            </w:r>
          </w:p>
        </w:tc>
        <w:tc>
          <w:tcPr>
            <w:tcW w:w="226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rPr>
              <w:t>January 1, 2030</w:t>
            </w:r>
          </w:p>
        </w:tc>
        <w:tc>
          <w:tcPr>
            <w:tcW w:w="0" w:type="dxa"/>
            <w:vAlign w:val="bottom"/>
          </w:tcPr>
          <w:p>
            <w:pPr>
              <w:spacing w:after="0"/>
              <w:rPr>
                <w:sz w:val="1"/>
                <w:szCs w:val="1"/>
                <w:color w:val="auto"/>
              </w:rPr>
            </w:pPr>
          </w:p>
        </w:tc>
      </w:tr>
      <w:tr>
        <w:trPr>
          <w:trHeight w:val="211"/>
        </w:trPr>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2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141,472,015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38,833,403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341,920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1,638,792</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In April 2025, Essent entered into two excess of loss transactions, effective July 1 of each year, with panels of highly rated third-party reinsurers covering 20% of all eligible policies written by Essent Guaranty, Inc. in calendar years 2025 and 2026.</w:t>
      </w:r>
    </w:p>
    <w:p>
      <w:pPr>
        <w:spacing w:after="0" w:line="202" w:lineRule="exact"/>
        <w:rPr>
          <w:sz w:val="20"/>
          <w:szCs w:val="20"/>
          <w:color w:val="auto"/>
        </w:rPr>
      </w:pPr>
    </w:p>
    <w:p>
      <w:pPr>
        <w:ind w:right="160" w:firstLine="646"/>
        <w:spacing w:after="0" w:line="259" w:lineRule="auto"/>
        <w:rPr>
          <w:sz w:val="20"/>
          <w:szCs w:val="20"/>
          <w:color w:val="auto"/>
        </w:rPr>
      </w:pPr>
      <w:r>
        <w:rPr>
          <w:rFonts w:ascii="Times New Roman" w:cs="Times New Roman" w:eastAsia="Times New Roman" w:hAnsi="Times New Roman"/>
          <w:sz w:val="18"/>
          <w:szCs w:val="18"/>
          <w:color w:val="auto"/>
        </w:rPr>
        <w:t>The amount of monthly reinsurance premiums ceded to the Radnor Re entities will fluctuate due to changes in one-month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 The change in the fair value of the embedded derivatives is reported in earnings and included in other income.</w:t>
      </w:r>
    </w:p>
    <w:p>
      <w:pPr>
        <w:spacing w:after="0" w:line="210" w:lineRule="exact"/>
        <w:rPr>
          <w:sz w:val="20"/>
          <w:szCs w:val="20"/>
          <w:color w:val="auto"/>
        </w:rPr>
      </w:pPr>
    </w:p>
    <w:p>
      <w:pPr>
        <w:ind w:right="40" w:firstLine="646"/>
        <w:spacing w:after="0" w:line="252" w:lineRule="auto"/>
        <w:rPr>
          <w:sz w:val="20"/>
          <w:szCs w:val="20"/>
          <w:color w:val="auto"/>
        </w:rPr>
      </w:pPr>
      <w:r>
        <w:rPr>
          <w:rFonts w:ascii="Times New Roman" w:cs="Times New Roman" w:eastAsia="Times New Roman" w:hAnsi="Times New Roman"/>
          <w:sz w:val="18"/>
          <w:szCs w:val="18"/>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20" w:firstLine="646"/>
        <w:spacing w:after="0" w:line="259" w:lineRule="auto"/>
        <w:rPr>
          <w:sz w:val="20"/>
          <w:szCs w:val="20"/>
          <w:color w:val="auto"/>
        </w:rPr>
      </w:pPr>
      <w:r>
        <w:rPr>
          <w:rFonts w:ascii="Times New Roman" w:cs="Times New Roman" w:eastAsia="Times New Roman" w:hAnsi="Times New Roman"/>
          <w:sz w:val="18"/>
          <w:szCs w:val="18"/>
          <w:color w:val="auto"/>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assets (other accrued liabilities) on our condensed consolidated balance sheet and the estimated net present value of investment earnings on the assets in the reinsurance trusts, each as of June 30,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8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Maximum Exposure to Loss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
                <w:szCs w:val="2"/>
                <w:color w:val="auto"/>
              </w:rPr>
            </w:pPr>
          </w:p>
        </w:tc>
        <w:tc>
          <w:tcPr>
            <w:tcW w:w="146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 VIE Assets</w:t>
            </w: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1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On - Balance Sheet</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Off - Balance Sheet</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2021-1 Ltd.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Radnor Re 2021-2 Ltd.</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228,819</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2022-1 Ltd.</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146,841</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Radnor Re 2023-1 Ltd.</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235,647</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2024-1 Ltd.</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297,147</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2"/>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1,048,209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240" w:firstLine="404"/>
        <w:spacing w:after="0" w:line="311" w:lineRule="auto"/>
        <w:rPr>
          <w:sz w:val="20"/>
          <w:szCs w:val="20"/>
          <w:color w:val="auto"/>
        </w:rPr>
      </w:pPr>
      <w:r>
        <w:rPr>
          <w:rFonts w:ascii="Times New Roman" w:cs="Times New Roman" w:eastAsia="Times New Roman" w:hAnsi="Times New Roman"/>
          <w:sz w:val="17"/>
          <w:szCs w:val="17"/>
          <w:color w:val="auto"/>
        </w:rPr>
        <w:t>The assets of the Radnor Re entities are the source of reinsurance claim payments to Essent Guaranty and provide capital relief under the PMIERs financial strength requirements (see Note 14). A decline in the assets available to pay claims would reduce the capital relief available to Essent Guaranty.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Reserve for Losses and Loss Adjustment Expenses</w:t>
      </w:r>
    </w:p>
    <w:p>
      <w:pPr>
        <w:spacing w:after="0" w:line="227" w:lineRule="exact"/>
        <w:rPr>
          <w:sz w:val="20"/>
          <w:szCs w:val="20"/>
          <w:color w:val="auto"/>
        </w:rPr>
      </w:pPr>
    </w:p>
    <w:p>
      <w:pPr>
        <w:ind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(“LAE”) for the six months ended June 30:</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7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260,095</w:t>
            </w:r>
          </w:p>
        </w:tc>
      </w:tr>
      <w:tr>
        <w:trPr>
          <w:trHeight w:val="229"/>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24,104</w:t>
            </w:r>
          </w:p>
        </w:tc>
      </w:tr>
      <w:tr>
        <w:trPr>
          <w:trHeight w:val="222"/>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235,991</w:t>
            </w:r>
          </w:p>
        </w:tc>
      </w:tr>
      <w:tr>
        <w:trPr>
          <w:trHeight w:val="20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net of reinsurance, occurring in:</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70,584</w:t>
            </w:r>
          </w:p>
        </w:tc>
      </w:tr>
      <w:tr>
        <w:trPr>
          <w:trHeight w:val="229"/>
        </w:trPr>
        <w:tc>
          <w:tcPr>
            <w:tcW w:w="78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(61,005)</w:t>
            </w:r>
          </w:p>
        </w:tc>
      </w:tr>
      <w:tr>
        <w:trPr>
          <w:trHeight w:val="222"/>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incurred losses and LAE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r>
      <w:tr>
        <w:trPr>
          <w:trHeight w:val="20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net of reinsurance, occurring in:</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29"/>
        </w:trPr>
        <w:tc>
          <w:tcPr>
            <w:tcW w:w="78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10,118</w:t>
            </w:r>
          </w:p>
        </w:tc>
      </w:tr>
      <w:tr>
        <w:trPr>
          <w:trHeight w:val="222"/>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LAE payments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w:t>
            </w:r>
          </w:p>
        </w:tc>
      </w:tr>
      <w:tr>
        <w:trPr>
          <w:trHeight w:val="222"/>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234,567</w:t>
            </w: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26,121</w:t>
            </w:r>
          </w:p>
        </w:tc>
      </w:tr>
      <w:tr>
        <w:trPr>
          <w:trHeight w:val="222"/>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364,749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260,668</w:t>
            </w: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firstLine="646"/>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2025, $17.4 million was paid for incurred claims and claim adjustment expenses attributable to insured events of prior years. There has been $48.1 million of favorable prior year development during the six months ended June 30, 2025. Net reserves remaining as of June 30, 2025 for prior years are $226.6 million as a result of re-estimation of unpaid losses and loss adjustment expenses. For the six months ended June 30, 2024, $10.1 million was paid for incurred claims and claim adjustment expenses attributable to insured events of prior years. There was $61.0 million of favorable prior year development during the six months ended June 30, 2024. Reserves remaining as of June 30, 2024 for prior years were $164.9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1" w:lineRule="exact"/>
        <w:rPr>
          <w:sz w:val="20"/>
          <w:szCs w:val="20"/>
          <w:color w:val="auto"/>
        </w:rPr>
      </w:pPr>
    </w:p>
    <w:p>
      <w:pPr>
        <w:ind w:right="60" w:firstLine="404"/>
        <w:spacing w:after="0" w:line="252"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at December 31, 2024 included 2,119 defaults that we identified as hurricane-related defaults.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2024, we applied a lower estimated claim rate to new default notices received in the fourth quarter of 2024 from the affected areas than the claim rate we apply to other notices in our default inventory. The impact on our reserves in future periods will be dependent upon the performance of the hurricane-related defaults and our expectations for the amount of ultimate losses on these delinquencies. As of June 30, 2025, the reserves established for the Hurricane Milton and Helene defaults are materially unchanged from December 31, 2024 as this amount continues to be our best estimate of the ultimate losses to be incurred for claims associated with those defaults.</w:t>
      </w:r>
    </w:p>
    <w:p>
      <w:pPr>
        <w:spacing w:after="0" w:line="109" w:lineRule="exact"/>
        <w:rPr>
          <w:sz w:val="20"/>
          <w:szCs w:val="20"/>
          <w:color w:val="auto"/>
        </w:rPr>
      </w:pPr>
    </w:p>
    <w:p>
      <w:pPr>
        <w:jc w:val="both"/>
        <w:ind w:right="140" w:firstLine="404"/>
        <w:spacing w:after="0" w:line="265" w:lineRule="auto"/>
        <w:rPr>
          <w:sz w:val="20"/>
          <w:szCs w:val="20"/>
          <w:color w:val="auto"/>
        </w:rPr>
      </w:pPr>
      <w:r>
        <w:rPr>
          <w:rFonts w:ascii="Times New Roman" w:cs="Times New Roman" w:eastAsia="Times New Roman" w:hAnsi="Times New Roman"/>
          <w:sz w:val="18"/>
          <w:szCs w:val="18"/>
          <w:color w:val="auto"/>
        </w:rPr>
        <w:t>In January 2025, several wildfires caused property damage in Southern California. As of June 30, 2025, our insurance in force in areas with Federal Emergency Management Agency ("FEMA") disaster declarations due to these wildfires was less than 0.1% of our total insurance in force. These wildfires have not materially affected our reserves as of June 30, 2025.</w:t>
      </w:r>
    </w:p>
    <w:p>
      <w:pPr>
        <w:spacing w:after="0" w:line="108" w:lineRule="exact"/>
        <w:rPr>
          <w:sz w:val="20"/>
          <w:szCs w:val="20"/>
          <w:color w:val="auto"/>
        </w:rPr>
      </w:pPr>
    </w:p>
    <w:p>
      <w:pPr>
        <w:ind w:right="40" w:firstLine="404"/>
        <w:spacing w:after="0" w:line="257"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As a result of progress on inflation, the Federal Reserve reduced the target federal funds rate by 100 basis points since September 2024. Mortgage interest rates remain elevated which has reduced home sale activity and may affect the options available to delinquent borrowers. It is reasonably possible that our estimate of losses could change in the near term as a result of changes in the economic environment, the impact of elevated mortgage interest rates on home sale activity, housing inventory and home prices.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 Obligations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54" w:lineRule="exact"/>
        <w:rPr>
          <w:sz w:val="20"/>
          <w:szCs w:val="20"/>
          <w:color w:val="auto"/>
        </w:rPr>
      </w:pPr>
    </w:p>
    <w:p>
      <w:pPr>
        <w:ind w:firstLine="404"/>
        <w:spacing w:after="0" w:line="252" w:lineRule="auto"/>
        <w:rPr>
          <w:sz w:val="20"/>
          <w:szCs w:val="20"/>
          <w:color w:val="auto"/>
        </w:rPr>
      </w:pPr>
      <w:r>
        <w:rPr>
          <w:rFonts w:ascii="Times New Roman" w:cs="Times New Roman" w:eastAsia="Times New Roman" w:hAnsi="Times New Roman"/>
          <w:sz w:val="18"/>
          <w:szCs w:val="18"/>
          <w:color w:val="auto"/>
        </w:rPr>
        <w:t>Through June 30, 2024, Essent Group and its subsidiaries, Essent Irish Intermediate Holdings Limited and Essent US Holdings, Inc. (collectively, the "Borrowers"), were parties to a five-year secured credit facility with a committed capacity of $825 million (the "Existing Credit Facility"). The Existing Credit Facility also provided for up to $175 million aggregate principal amount of uncommitted incremental term loan and/or revolving credit facilities that may be exercised at the Borrowers’ option so long as the Borrowers receive commitments from the lenders. Borrowings under the Existing Credit Facility may have been used for working capital and general corporate purposes, including, without limitation, capital contributions to Essent’s insurance and reinsurance subsidiaries. Borrowings accrued interest at a floating rate tied to a standard short-term borrowing index, selected at the Company’s option, plus an applicable margin. A commitment fee was due quarterly on the average daily amount of the undrawn revolving commitment. The applicable margin and the commitment fee were based on the senior unsecured debt rating or long-term issuer rating of Essent Group to the extent available, or the insurer financial strength rating of Essent Guaranty. The obligations under the Existing Credit Facility were secured by certain assets of the Borrowers, excluding the stock and assets of its insurance and reinsurance subsidiaries. The Credit Facility contained several covenants, including financial covenants relating to minimum net worth, capital and liquidity levels, maximum debt to capitalization level and Essent Guaranty's compliance with the PMIERs (see Note 14). As of June 30, 2024, the Company was in compliance with the covenants and $425 million had been borrowed under the term loan portion of the Existing Credit Facility with a weighted average interest rate of 7.07%.</w:t>
      </w:r>
    </w:p>
    <w:p>
      <w:pPr>
        <w:spacing w:after="0" w:line="215" w:lineRule="exact"/>
        <w:rPr>
          <w:sz w:val="20"/>
          <w:szCs w:val="20"/>
          <w:color w:val="auto"/>
        </w:rPr>
      </w:pPr>
    </w:p>
    <w:p>
      <w:pPr>
        <w:ind w:right="100" w:firstLine="404"/>
        <w:spacing w:after="0" w:line="254" w:lineRule="auto"/>
        <w:rPr>
          <w:sz w:val="20"/>
          <w:szCs w:val="20"/>
          <w:color w:val="auto"/>
        </w:rPr>
      </w:pPr>
      <w:r>
        <w:rPr>
          <w:rFonts w:ascii="Times New Roman" w:cs="Times New Roman" w:eastAsia="Times New Roman" w:hAnsi="Times New Roman"/>
          <w:sz w:val="18"/>
          <w:szCs w:val="18"/>
          <w:color w:val="auto"/>
        </w:rPr>
        <w:t>On July 1, 2024, Essent Group completed an underwritten public offering of $500 million principal amount of 6.25% Senior Notes due 2029 (the “Senior Notes"). Interest on the Senior Notes will be payable semi-annually in arrears on January 1 and July 1 of each year, beginning on January 1, 2025. The Senior Notes will mature on July 1, 2029. At any time prior to June 1, 2029 (one month prior to the maturity date), the Company may redeem the Senior Notes, at its option, in whole or in part, at any time and from time to time, at a redemption price described in the Supplemental Indenture plus accrued and unpaid interest, if any, to, but excluding, the redemption date. At any time and from time to time on or after June 1, 2029, the Company may redeem, at its option, in whole or in part, the Senior Notes at a redemption price equal to 100% of the principal amount of the Senior Notes to be redeemed plus accrued and unpaid interest, if any, to, but excluding, the redemption date. The net proceeds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sale of the Senior Notes, after deducting the underwriting discounts and commissions and estimated offering expenses, were approximately</w:t>
      </w:r>
    </w:p>
    <w:p>
      <w:pPr>
        <w:spacing w:after="0" w:line="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$495.3 million. The Company used the net proceeds from the sale of the Senior Notes to repay all of the borrowings outstanding under the term loan portion of the Existing Credit Facility described above, and intends to use the remaining net proceeds for general corporate purposes.</w:t>
      </w:r>
    </w:p>
    <w:p>
      <w:pPr>
        <w:spacing w:after="0" w:line="207" w:lineRule="exact"/>
        <w:rPr>
          <w:sz w:val="20"/>
          <w:szCs w:val="20"/>
          <w:color w:val="auto"/>
        </w:rPr>
      </w:pPr>
    </w:p>
    <w:p>
      <w:pPr>
        <w:ind w:right="60" w:firstLine="404"/>
        <w:spacing w:after="0" w:line="254" w:lineRule="auto"/>
        <w:rPr>
          <w:sz w:val="20"/>
          <w:szCs w:val="20"/>
          <w:color w:val="auto"/>
        </w:rPr>
      </w:pPr>
      <w:r>
        <w:rPr>
          <w:rFonts w:ascii="Times New Roman" w:cs="Times New Roman" w:eastAsia="Times New Roman" w:hAnsi="Times New Roman"/>
          <w:sz w:val="18"/>
          <w:szCs w:val="18"/>
          <w:color w:val="auto"/>
        </w:rPr>
        <w:t>On July 1, 2024, concurrently with the closing of the Offering of the Senior Notes and the repayment of all of the borrowings outstanding under the term loan portion of its Existing Credit Agreement, the Fourth Amended and Restated Credit Agreement (the “Revolving Credit Agreement”) became effective and amends and restates the Existing Credit Facility. Under the Revolving Credit Agreement, the Refinancing Agreement Revolving Lenders (as defined therein) agreed to provide the Company with a five-year unsecured revolving credit facility of up to $500 million of senior unsecured revolving loans (the “Revolving Credit Facility”). A commitment fee is due quarterly on the average daily amount of the undrawn revolving commitment. The annual commitment fee rate at June 30, 2025 was 0.225%. The Revolving Credit Facility also provides for an aggregate principal amount of up to $250 million in uncommitted incremental revolving credit facilities that may be exercised at the Company’s option, so long as the Company receives sufficient commitments from the bank lenders.</w:t>
      </w:r>
    </w:p>
    <w:p>
      <w:pPr>
        <w:spacing w:after="0" w:line="117" w:lineRule="exact"/>
        <w:rPr>
          <w:sz w:val="20"/>
          <w:szCs w:val="20"/>
          <w:color w:val="auto"/>
        </w:rPr>
      </w:pPr>
    </w:p>
    <w:p>
      <w:pPr>
        <w:ind w:right="500" w:firstLine="404"/>
        <w:spacing w:after="0" w:line="280" w:lineRule="auto"/>
        <w:rPr>
          <w:sz w:val="20"/>
          <w:szCs w:val="20"/>
          <w:color w:val="auto"/>
        </w:rPr>
      </w:pPr>
      <w:r>
        <w:rPr>
          <w:rFonts w:ascii="Times New Roman" w:cs="Times New Roman" w:eastAsia="Times New Roman" w:hAnsi="Times New Roman"/>
          <w:sz w:val="18"/>
          <w:szCs w:val="18"/>
          <w:color w:val="auto"/>
        </w:rPr>
        <w:t>The Senior Notes are presented on the consolidated balance sheets net of an unamortized issuance discount of $1.5 million and $1.7 million and deferred issuance costs of $3.9 million and $4.4 million as of June 30, 2025 and December 31, 2024, respectively.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under Guarantees</w:t>
      </w:r>
    </w:p>
    <w:p>
      <w:pPr>
        <w:spacing w:after="0" w:line="227" w:lineRule="exact"/>
        <w:rPr>
          <w:sz w:val="20"/>
          <w:szCs w:val="20"/>
          <w:color w:val="auto"/>
        </w:rPr>
      </w:pPr>
    </w:p>
    <w:p>
      <w:pPr>
        <w:ind w:right="100" w:firstLine="646"/>
        <w:spacing w:after="0" w:line="255" w:lineRule="auto"/>
        <w:rPr>
          <w:sz w:val="20"/>
          <w:szCs w:val="20"/>
          <w:color w:val="auto"/>
        </w:rPr>
      </w:pPr>
      <w:r>
        <w:rPr>
          <w:rFonts w:ascii="Times New Roman" w:cs="Times New Roman" w:eastAsia="Times New Roman" w:hAnsi="Times New Roman"/>
          <w:sz w:val="18"/>
          <w:szCs w:val="18"/>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less than $0.1 million in the six months ended June 30, 2025 and 2024, respectively. As of June 30, 2025, management believes any potential claims for indemnification related to contract underwriting services through June 30, 2025 are not material to our consolidated financial position or results of operations.</w:t>
      </w:r>
    </w:p>
    <w:p>
      <w:pPr>
        <w:spacing w:after="0" w:line="187" w:lineRule="exact"/>
        <w:rPr>
          <w:sz w:val="20"/>
          <w:szCs w:val="20"/>
          <w:color w:val="auto"/>
        </w:rPr>
      </w:pPr>
    </w:p>
    <w:p>
      <w:pPr>
        <w:ind w:right="40" w:firstLine="646"/>
        <w:spacing w:after="0" w:line="251" w:lineRule="auto"/>
        <w:rPr>
          <w:sz w:val="20"/>
          <w:szCs w:val="20"/>
          <w:color w:val="auto"/>
        </w:rPr>
      </w:pPr>
      <w:r>
        <w:rPr>
          <w:rFonts w:ascii="Times New Roman" w:cs="Times New Roman" w:eastAsia="Times New Roman" w:hAnsi="Times New Roman"/>
          <w:sz w:val="18"/>
          <w:szCs w:val="18"/>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June 30, 2025,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Capital Stock</w:t>
      </w:r>
    </w:p>
    <w:p>
      <w:pPr>
        <w:spacing w:after="0" w:line="227" w:lineRule="exact"/>
        <w:rPr>
          <w:sz w:val="20"/>
          <w:szCs w:val="20"/>
          <w:color w:val="auto"/>
        </w:rPr>
      </w:pPr>
    </w:p>
    <w:p>
      <w:pPr>
        <w:ind w:right="60" w:firstLine="646"/>
        <w:spacing w:after="0" w:line="253" w:lineRule="auto"/>
        <w:rPr>
          <w:sz w:val="20"/>
          <w:szCs w:val="20"/>
          <w:color w:val="auto"/>
        </w:rPr>
      </w:pPr>
      <w:r>
        <w:rPr>
          <w:rFonts w:ascii="Times New Roman" w:cs="Times New Roman" w:eastAsia="Times New Roman" w:hAnsi="Times New Roman"/>
          <w:sz w:val="18"/>
          <w:szCs w:val="18"/>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w:t>
      </w:r>
    </w:p>
    <w:p>
      <w:pPr>
        <w:spacing w:after="0" w:line="4"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18"/>
          <w:szCs w:val="18"/>
          <w:color w:val="auto"/>
        </w:rPr>
        <w:t>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amounts declared and paid per common share each quarter:</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20" w:type="dxa"/>
            <w:vAlign w:val="bottom"/>
          </w:tcPr>
          <w:p>
            <w:pPr>
              <w:spacing w:after="0"/>
              <w:rPr>
                <w:sz w:val="13"/>
                <w:szCs w:val="13"/>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2"/>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9"/>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30</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9"/>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9"/>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47"/>
        </w:trPr>
        <w:tc>
          <w:tcPr>
            <w:tcW w:w="76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dividends per common share declared and paid</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right="760" w:firstLine="646"/>
        <w:spacing w:after="0" w:line="280" w:lineRule="auto"/>
        <w:rPr>
          <w:sz w:val="20"/>
          <w:szCs w:val="20"/>
          <w:color w:val="auto"/>
        </w:rPr>
      </w:pPr>
      <w:r>
        <w:rPr>
          <w:rFonts w:ascii="Times New Roman" w:cs="Times New Roman" w:eastAsia="Times New Roman" w:hAnsi="Times New Roman"/>
          <w:sz w:val="18"/>
          <w:szCs w:val="18"/>
          <w:color w:val="auto"/>
        </w:rPr>
        <w:t>In August 2025, the Board of Directors declared a quarterly cash dividend of $0.31 per common share payable on September 10, 2025 to shareholders of record on August 29,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160" w:lineRule="exact"/>
        <w:rPr>
          <w:sz w:val="20"/>
          <w:szCs w:val="20"/>
          <w:color w:val="auto"/>
        </w:rPr>
      </w:pPr>
    </w:p>
    <w:p>
      <w:pPr>
        <w:ind w:right="40" w:firstLine="404"/>
        <w:spacing w:after="0" w:line="255" w:lineRule="auto"/>
        <w:rPr>
          <w:sz w:val="20"/>
          <w:szCs w:val="20"/>
          <w:color w:val="auto"/>
        </w:rPr>
      </w:pPr>
      <w:r>
        <w:rPr>
          <w:rFonts w:ascii="Times New Roman" w:cs="Times New Roman" w:eastAsia="Times New Roman" w:hAnsi="Times New Roman"/>
          <w:sz w:val="18"/>
          <w:szCs w:val="18"/>
          <w:color w:val="auto"/>
        </w:rPr>
        <w:t>In October 2023, the Board of Directors approved a share repurchase plan that authorized the Company to repurchase $250 million of common shares in the open market between January 1, 2024 and December 31, 2025. Through the year ended December 31, 2024, the Company repurchased 1,859,695 common shares at a cost of $102.7 million. In February 2025, the Board of Directors approved a share repurchase plan that authorizes the Company to repurchase an additional $500 million of common shares in the open market through December 31, 2026. From January 1, 2025 through June 30, 2025 the Company purchased 5,755,400 common shares at a cost of $328.5 million. The shares repurchased were recorded at cost and included in treasury stock. All treasury stock has been cancelled as of June 30, 2025.</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7" w:lineRule="exact"/>
        <w:rPr>
          <w:sz w:val="20"/>
          <w:szCs w:val="20"/>
          <w:color w:val="auto"/>
        </w:rPr>
      </w:pPr>
    </w:p>
    <w:p>
      <w:pPr>
        <w:ind w:right="100" w:firstLine="646"/>
        <w:spacing w:after="0" w:line="253" w:lineRule="auto"/>
        <w:rPr>
          <w:sz w:val="20"/>
          <w:szCs w:val="20"/>
          <w:color w:val="auto"/>
        </w:rPr>
      </w:pPr>
      <w:r>
        <w:rPr>
          <w:rFonts w:ascii="Times New Roman" w:cs="Times New Roman" w:eastAsia="Times New Roman" w:hAnsi="Times New Roman"/>
          <w:sz w:val="18"/>
          <w:szCs w:val="18"/>
          <w:color w:val="auto"/>
        </w:rPr>
        <w:t xml:space="preserve">In 2013, Essent Group's Board of Directors adopted, and Essent Group's shareholders </w:t>
      </w:r>
      <w:r>
        <w:rPr>
          <w:rFonts w:ascii="Times New Roman" w:cs="Times New Roman" w:eastAsia="Times New Roman" w:hAnsi="Times New Roman"/>
          <w:sz w:val="18"/>
          <w:szCs w:val="18"/>
          <w:color w:val="242021"/>
        </w:rPr>
        <w:t>approved, the Essent Group Ltd. 2013 Long-Term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021"/>
        </w:rPr>
        <w:t>Plan (the "2013 Plan"), which was effective upon completion of the initial public offering. The 2013 Plan was most recently amended effective upon shareholder approval in May 2023 to increase the number of shares available for issuance under the 2013 Plan by 2 million shares. The types of awards available under the 2013 Plan include nonvested shares, nonvested share units, non-</w:t>
      </w:r>
      <w:r>
        <w:rPr>
          <w:rFonts w:ascii="Times New Roman" w:cs="Times New Roman" w:eastAsia="Times New Roman" w:hAnsi="Times New Roman"/>
          <w:sz w:val="18"/>
          <w:szCs w:val="18"/>
          <w:color w:val="000000"/>
        </w:rPr>
        <w:t>qualified share options, incentive stock options, share appreciation</w:t>
      </w:r>
      <w:r>
        <w:rPr>
          <w:rFonts w:ascii="Times New Roman" w:cs="Times New Roman" w:eastAsia="Times New Roman" w:hAnsi="Times New Roman"/>
          <w:sz w:val="18"/>
          <w:szCs w:val="18"/>
          <w:color w:val="242021"/>
        </w:rPr>
        <w:t xml:space="preserve"> </w:t>
      </w:r>
      <w:r>
        <w:rPr>
          <w:rFonts w:ascii="Times New Roman" w:cs="Times New Roman" w:eastAsia="Times New Roman" w:hAnsi="Times New Roman"/>
          <w:sz w:val="18"/>
          <w:szCs w:val="18"/>
          <w:color w:val="000000"/>
        </w:rPr>
        <w:t>rights, and other 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7.5 million under the 2013 Plan, as amended. As of June 30, 2025, there were 3.0 million common shares available for future grant under the 2013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nonvested common share, nonvested common share unit and DEU activity for the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gridSpan w:val="3"/>
          </w:tcPr>
          <w:p>
            <w:pPr>
              <w:jc w:val="center"/>
              <w:ind w:right="65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20" w:type="dxa"/>
            <w:vAlign w:val="bottom"/>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720" w:type="dxa"/>
            <w:vAlign w:val="bottom"/>
          </w:tcPr>
          <w:p>
            <w:pPr>
              <w:spacing w:after="0"/>
              <w:rPr>
                <w:sz w:val="11"/>
                <w:szCs w:val="11"/>
                <w:color w:val="auto"/>
              </w:rPr>
            </w:pPr>
          </w:p>
        </w:tc>
        <w:tc>
          <w:tcPr>
            <w:tcW w:w="1900" w:type="dxa"/>
            <w:vAlign w:val="bottom"/>
            <w:gridSpan w:val="5"/>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rPr>
              <w:t>Time and Performance-</w:t>
            </w:r>
          </w:p>
        </w:tc>
        <w:tc>
          <w:tcPr>
            <w:tcW w:w="1900" w:type="dxa"/>
            <w:vAlign w:val="bottom"/>
            <w:gridSpan w:val="5"/>
          </w:tcPr>
          <w:p>
            <w:pPr>
              <w:jc w:val="center"/>
              <w:ind w:right="140"/>
              <w:spacing w:after="0" w:line="128" w:lineRule="exact"/>
              <w:rPr>
                <w:sz w:val="20"/>
                <w:szCs w:val="20"/>
                <w:color w:val="auto"/>
              </w:rPr>
            </w:pPr>
            <w:r>
              <w:rPr>
                <w:rFonts w:ascii="Times New Roman" w:cs="Times New Roman" w:eastAsia="Times New Roman" w:hAnsi="Times New Roman"/>
                <w:sz w:val="14"/>
                <w:szCs w:val="14"/>
                <w:b w:val="1"/>
                <w:bCs w:val="1"/>
                <w:color w:val="auto"/>
              </w:rPr>
              <w:t>Time-Based</w:t>
            </w:r>
          </w:p>
        </w:tc>
        <w:tc>
          <w:tcPr>
            <w:tcW w:w="1900" w:type="dxa"/>
            <w:vAlign w:val="bottom"/>
            <w:gridSpan w:val="5"/>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rPr>
              <w:t>Time and Performance-</w:t>
            </w:r>
          </w:p>
        </w:tc>
        <w:tc>
          <w:tcPr>
            <w:tcW w:w="19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Time-Based Share Units</w:t>
            </w: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DEUs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19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Based Share Awards</w:t>
            </w:r>
          </w:p>
        </w:tc>
        <w:tc>
          <w:tcPr>
            <w:tcW w:w="19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19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Based Share Units</w:t>
            </w:r>
          </w:p>
        </w:tc>
        <w:tc>
          <w:tcPr>
            <w:tcW w:w="1900" w:type="dxa"/>
            <w:vAlign w:val="bottom"/>
            <w:gridSpan w:val="5"/>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5"/>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9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100" w:type="dxa"/>
            <w:vAlign w:val="bottom"/>
          </w:tcPr>
          <w:p>
            <w:pPr>
              <w:spacing w:after="0"/>
              <w:rPr>
                <w:sz w:val="12"/>
                <w:szCs w:val="12"/>
                <w:color w:val="auto"/>
              </w:rPr>
            </w:pPr>
          </w:p>
        </w:tc>
        <w:tc>
          <w:tcPr>
            <w:tcW w:w="8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1720" w:type="dxa"/>
            <w:vAlign w:val="bottom"/>
            <w:vMerge w:val="continue"/>
          </w:tcPr>
          <w:p>
            <w:pPr>
              <w:spacing w:after="0"/>
              <w:rPr>
                <w:sz w:val="16"/>
                <w:szCs w:val="16"/>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61"/>
        </w:trPr>
        <w:tc>
          <w:tcPr>
            <w:tcW w:w="1720" w:type="dxa"/>
            <w:vAlign w:val="bottom"/>
            <w:tcBorders>
              <w:top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Outstanding at</w:t>
            </w: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beginning of year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96"/>
              </w:rPr>
              <w:t>763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780" w:type="dxa"/>
            <w:vAlign w:val="bottom"/>
          </w:tcPr>
          <w:p>
            <w:pPr>
              <w:jc w:val="center"/>
              <w:ind w:left="277"/>
              <w:spacing w:after="0"/>
              <w:rPr>
                <w:sz w:val="20"/>
                <w:szCs w:val="20"/>
                <w:color w:val="auto"/>
              </w:rPr>
            </w:pPr>
            <w:r>
              <w:rPr>
                <w:rFonts w:ascii="Times New Roman" w:cs="Times New Roman" w:eastAsia="Times New Roman" w:hAnsi="Times New Roman"/>
                <w:sz w:val="18"/>
                <w:szCs w:val="18"/>
                <w:color w:val="auto"/>
                <w:w w:val="96"/>
              </w:rPr>
              <w:t>123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237"/>
              <w:spacing w:after="0"/>
              <w:rPr>
                <w:sz w:val="20"/>
                <w:szCs w:val="20"/>
                <w:color w:val="auto"/>
              </w:rPr>
            </w:pPr>
            <w:r>
              <w:rPr>
                <w:rFonts w:ascii="Times New Roman" w:cs="Times New Roman" w:eastAsia="Times New Roman" w:hAnsi="Times New Roman"/>
                <w:sz w:val="18"/>
                <w:szCs w:val="18"/>
                <w:color w:val="auto"/>
                <w:w w:val="97"/>
              </w:rPr>
              <w:t>(229)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0" w:type="dxa"/>
            <w:vAlign w:val="bottom"/>
          </w:tcPr>
          <w:p>
            <w:pPr>
              <w:spacing w:after="0"/>
              <w:rPr>
                <w:sz w:val="1"/>
                <w:szCs w:val="1"/>
                <w:color w:val="auto"/>
              </w:rPr>
            </w:pPr>
          </w:p>
        </w:tc>
      </w:tr>
      <w:tr>
        <w:trPr>
          <w:trHeight w:val="229"/>
        </w:trPr>
        <w:tc>
          <w:tcPr>
            <w:tcW w:w="1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8"/>
                <w:szCs w:val="18"/>
                <w:color w:val="auto"/>
                <w:w w:val="97"/>
              </w:rPr>
              <w:t>(104)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0" w:type="dxa"/>
            <w:vAlign w:val="bottom"/>
          </w:tcPr>
          <w:p>
            <w:pPr>
              <w:spacing w:after="0"/>
              <w:rPr>
                <w:sz w:val="1"/>
                <w:szCs w:val="1"/>
                <w:color w:val="auto"/>
              </w:rPr>
            </w:pPr>
          </w:p>
        </w:tc>
      </w:tr>
      <w:tr>
        <w:trPr>
          <w:trHeight w:val="155"/>
        </w:trPr>
        <w:tc>
          <w:tcPr>
            <w:tcW w:w="17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7"/>
                <w:szCs w:val="17"/>
                <w:color w:val="auto"/>
              </w:rPr>
              <w:t>Outstanding at end of</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96"/>
              </w:rPr>
              <w:t>553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firstLine="444"/>
        <w:spacing w:after="0" w:line="255" w:lineRule="auto"/>
        <w:rPr>
          <w:sz w:val="20"/>
          <w:szCs w:val="20"/>
          <w:color w:val="auto"/>
        </w:rPr>
      </w:pPr>
      <w:r>
        <w:rPr>
          <w:rFonts w:ascii="Times New Roman" w:cs="Times New Roman" w:eastAsia="Times New Roman" w:hAnsi="Times New Roman"/>
          <w:sz w:val="18"/>
          <w:szCs w:val="18"/>
          <w:color w:val="auto"/>
        </w:rPr>
        <w:t>In February 2025, certain members of senior management were granted nonvested common shares under the 2013 Plan that are subject to time-based and performance-based vesting. The time-based share awards granted in February 2025 vest annually in three equal installments commencing on March 1 of the year following the grant year. The performance-based share awards granted in February 2025 vest based upon our compounded annual book value per share growth percentage and relative total shareholder return during a three-year performance period that commenced on January 1, 2025, and they vest on March 1, 2028. Shares were issued at the maximum 200% of target. The portion of these nonvested performance-based share awards that will be earned is as follows:</w:t>
      </w:r>
    </w:p>
    <w:p>
      <w:pPr>
        <w:spacing w:after="0" w:line="23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Relative Total Shareholder Return</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vs. S&amp;P 1500 Financial Services Index</w:t>
            </w: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20" w:type="dxa"/>
            <w:vAlign w:val="bottom"/>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50th percentile</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≥75th percentile</w:t>
            </w:r>
          </w:p>
        </w:tc>
        <w:tc>
          <w:tcPr>
            <w:tcW w:w="0" w:type="dxa"/>
            <w:vAlign w:val="bottom"/>
          </w:tcPr>
          <w:p>
            <w:pPr>
              <w:spacing w:after="0"/>
              <w:rPr>
                <w:sz w:val="1"/>
                <w:szCs w:val="1"/>
                <w:color w:val="auto"/>
              </w:rPr>
            </w:pPr>
          </w:p>
        </w:tc>
      </w:tr>
      <w:tr>
        <w:trPr>
          <w:trHeight w:val="249"/>
        </w:trPr>
        <w:tc>
          <w:tcPr>
            <w:tcW w:w="2020" w:type="dxa"/>
            <w:vAlign w:val="bottom"/>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11%</w:t>
            </w:r>
          </w:p>
        </w:tc>
        <w:tc>
          <w:tcPr>
            <w:tcW w:w="17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100%</w:t>
            </w:r>
          </w:p>
        </w:tc>
        <w:tc>
          <w:tcPr>
            <w:tcW w:w="25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150%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78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69"/>
        </w:trPr>
        <w:tc>
          <w:tcPr>
            <w:tcW w:w="20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Three-Year Book</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6"/>
              </w:rPr>
              <w:t>75%</w:t>
            </w:r>
          </w:p>
        </w:tc>
        <w:tc>
          <w:tcPr>
            <w:tcW w:w="25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49"/>
        </w:trPr>
        <w:tc>
          <w:tcPr>
            <w:tcW w:w="20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w:t>
            </w:r>
          </w:p>
        </w:tc>
        <w:tc>
          <w:tcPr>
            <w:tcW w:w="172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50%</w:t>
            </w:r>
          </w:p>
        </w:tc>
        <w:tc>
          <w:tcPr>
            <w:tcW w:w="2540" w:type="dxa"/>
            <w:vAlign w:val="bottom"/>
            <w:tcBorders>
              <w:bottom w:val="single" w:sz="8" w:color="CCEEFF"/>
            </w:tcBorders>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184"/>
        </w:trPr>
        <w:tc>
          <w:tcPr>
            <w:tcW w:w="2020" w:type="dxa"/>
            <w:vAlign w:val="bottom"/>
          </w:tcPr>
          <w:p>
            <w:pPr>
              <w:jc w:val="center"/>
              <w:ind w:right="590"/>
              <w:spacing w:after="0" w:line="184" w:lineRule="exact"/>
              <w:rPr>
                <w:sz w:val="20"/>
                <w:szCs w:val="20"/>
                <w:color w:val="auto"/>
              </w:rPr>
            </w:pPr>
            <w:r>
              <w:rPr>
                <w:rFonts w:ascii="Times New Roman" w:cs="Times New Roman" w:eastAsia="Times New Roman" w:hAnsi="Times New Roman"/>
                <w:sz w:val="18"/>
                <w:szCs w:val="18"/>
                <w:b w:val="1"/>
                <w:bCs w:val="1"/>
                <w:color w:val="auto"/>
              </w:rPr>
              <w:t>CAGR</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w:t>
            </w:r>
          </w:p>
        </w:tc>
        <w:tc>
          <w:tcPr>
            <w:tcW w:w="172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w w:val="96"/>
              </w:rPr>
              <w:t>25%</w:t>
            </w:r>
          </w:p>
        </w:tc>
        <w:tc>
          <w:tcPr>
            <w:tcW w:w="2540" w:type="dxa"/>
            <w:vAlign w:val="bottom"/>
            <w:gridSpan w:val="3"/>
            <w:vMerge w:val="restart"/>
          </w:tcPr>
          <w:p>
            <w:pPr>
              <w:jc w:val="center"/>
              <w:ind w:left="250"/>
              <w:spacing w:after="0"/>
              <w:rPr>
                <w:sz w:val="20"/>
                <w:szCs w:val="20"/>
                <w:color w:val="auto"/>
              </w:rPr>
            </w:pPr>
            <w:r>
              <w:rPr>
                <w:rFonts w:ascii="Times New Roman" w:cs="Times New Roman" w:eastAsia="Times New Roman" w:hAnsi="Times New Roman"/>
                <w:sz w:val="18"/>
                <w:szCs w:val="18"/>
                <w:color w:val="auto"/>
                <w:w w:val="96"/>
              </w:rPr>
              <w:t>75%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85"/>
        </w:trPr>
        <w:tc>
          <w:tcPr>
            <w:tcW w:w="202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5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20" w:type="dxa"/>
            <w:vAlign w:val="bottom"/>
          </w:tcPr>
          <w:p>
            <w:pPr>
              <w:spacing w:after="0"/>
              <w:rPr>
                <w:sz w:val="23"/>
                <w:szCs w:val="23"/>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w:t>
            </w:r>
          </w:p>
        </w:tc>
        <w:tc>
          <w:tcPr>
            <w:tcW w:w="17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0%</w:t>
            </w:r>
          </w:p>
        </w:tc>
        <w:tc>
          <w:tcPr>
            <w:tcW w:w="254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78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60" w:firstLine="646"/>
        <w:spacing w:after="0" w:line="265" w:lineRule="auto"/>
        <w:rPr>
          <w:sz w:val="20"/>
          <w:szCs w:val="20"/>
          <w:color w:val="auto"/>
        </w:rPr>
      </w:pPr>
      <w:r>
        <w:rPr>
          <w:rFonts w:ascii="Times New Roman" w:cs="Times New Roman" w:eastAsia="Times New Roman" w:hAnsi="Times New Roman"/>
          <w:sz w:val="18"/>
          <w:szCs w:val="18"/>
          <w:color w:val="auto"/>
        </w:rPr>
        <w:t>Certain time-and-performance based share awards and units granted in 2022 and subsequent periods include retirement provisions under which the service requirements are considered satisfied when the employee with a required minimum years of continuous service reaches the eligible retirement age. Under these provisions, stock-based compensation is expensed from the grant date through the date that the employee will satisfy these conditions.</w:t>
      </w:r>
    </w:p>
    <w:p>
      <w:pPr>
        <w:spacing w:after="0" w:line="202" w:lineRule="exact"/>
        <w:rPr>
          <w:sz w:val="20"/>
          <w:szCs w:val="20"/>
          <w:color w:val="auto"/>
        </w:rPr>
      </w:pPr>
    </w:p>
    <w:p>
      <w:pPr>
        <w:ind w:right="160" w:firstLine="646"/>
        <w:spacing w:after="0" w:line="280" w:lineRule="auto"/>
        <w:rPr>
          <w:sz w:val="20"/>
          <w:szCs w:val="20"/>
          <w:color w:val="auto"/>
        </w:rPr>
      </w:pPr>
      <w:r>
        <w:rPr>
          <w:rFonts w:ascii="Times New Roman" w:cs="Times New Roman" w:eastAsia="Times New Roman" w:hAnsi="Times New Roman"/>
          <w:sz w:val="18"/>
          <w:szCs w:val="18"/>
          <w:color w:val="auto"/>
        </w:rPr>
        <w:t>In the event that the compounded annual book value per share growth or the relative total shareholder return falls between the performance levels shown above, the nonvested common shares earned will be determined on a straight-line basis between the respective levels shown.</w:t>
      </w:r>
    </w:p>
    <w:p>
      <w:pPr>
        <w:spacing w:after="0" w:line="163" w:lineRule="exact"/>
        <w:rPr>
          <w:sz w:val="20"/>
          <w:szCs w:val="20"/>
          <w:color w:val="auto"/>
        </w:rPr>
      </w:pPr>
    </w:p>
    <w:p>
      <w:pPr>
        <w:ind w:right="60" w:firstLine="444"/>
        <w:spacing w:after="0" w:line="280" w:lineRule="auto"/>
        <w:rPr>
          <w:sz w:val="20"/>
          <w:szCs w:val="20"/>
          <w:color w:val="auto"/>
        </w:rPr>
      </w:pPr>
      <w:r>
        <w:rPr>
          <w:rFonts w:ascii="Times New Roman" w:cs="Times New Roman" w:eastAsia="Times New Roman" w:hAnsi="Times New Roman"/>
          <w:sz w:val="18"/>
          <w:szCs w:val="18"/>
          <w:color w:val="auto"/>
        </w:rPr>
        <w:t>In connection with our incentive program covering bonus awards for performance year 2024, in February 2025, time-based share units were issued to certain employees that vest in three equal installments on March 1, 2026, 2027 and 2028.</w:t>
      </w:r>
    </w:p>
    <w:p>
      <w:pPr>
        <w:spacing w:after="0" w:line="190" w:lineRule="exact"/>
        <w:rPr>
          <w:sz w:val="20"/>
          <w:szCs w:val="20"/>
          <w:color w:val="auto"/>
        </w:rPr>
      </w:pPr>
    </w:p>
    <w:p>
      <w:pPr>
        <w:ind w:right="940" w:firstLine="646"/>
        <w:spacing w:after="0" w:line="280" w:lineRule="auto"/>
        <w:rPr>
          <w:sz w:val="20"/>
          <w:szCs w:val="20"/>
          <w:color w:val="auto"/>
        </w:rPr>
      </w:pPr>
      <w:r>
        <w:rPr>
          <w:rFonts w:ascii="Times New Roman" w:cs="Times New Roman" w:eastAsia="Times New Roman" w:hAnsi="Times New Roman"/>
          <w:sz w:val="18"/>
          <w:szCs w:val="18"/>
          <w:color w:val="auto"/>
        </w:rPr>
        <w:t>Quoted market prices are used for the valuation of common shares granted that do not contain a market condition under ASC 718. The performance-based share awards granted in February 2023, 2024 and 2025 contain a market condition and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valued based on analysis provided by a third-party valuation firm using a risk-neutral simulation taking into effect the vesting conditions of the grant.</w:t>
      </w:r>
    </w:p>
    <w:p>
      <w:pPr>
        <w:spacing w:after="0" w:line="250"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total fair value on the vesting date of nonvested shares, share units or DEUs that vested was $32.8 million and $24.3 million for the six months ended June 30, 2025 and 2024, respectively. As of June 30, 2025, there was $24.6 million of total unrecognized compensation expense related to nonvested shares or share units outstanding at June 30, 2025 and we expect to recognize the expense over a weighted average period of 2.2 years.</w:t>
      </w:r>
    </w:p>
    <w:p>
      <w:pPr>
        <w:spacing w:after="0" w:line="202" w:lineRule="exact"/>
        <w:rPr>
          <w:sz w:val="20"/>
          <w:szCs w:val="20"/>
          <w:color w:val="auto"/>
        </w:rPr>
      </w:pPr>
    </w:p>
    <w:p>
      <w:pPr>
        <w:jc w:val="both"/>
        <w:ind w:right="380" w:firstLine="646"/>
        <w:spacing w:after="0" w:line="265" w:lineRule="auto"/>
        <w:rPr>
          <w:sz w:val="20"/>
          <w:szCs w:val="20"/>
          <w:color w:val="auto"/>
        </w:rPr>
      </w:pPr>
      <w:r>
        <w:rPr>
          <w:rFonts w:ascii="Times New Roman" w:cs="Times New Roman" w:eastAsia="Times New Roman" w:hAnsi="Times New Roman"/>
          <w:sz w:val="18"/>
          <w:szCs w:val="18"/>
          <w:color w:val="auto"/>
        </w:rPr>
        <w:t>Employees have the option to tender shares to Essent Group to pay the minimum employee statutory withholding taxes associated with shares upon vesting. Common shares tendered by employees to pay employee withholding taxes totaled 206,984 in the six months ended June 30, 2025. The tendered shares were recorded at cost and included in treasury stock. All treasury stock has been cancelled as of June 30, 2025.</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expense, net of forfeitures, and related tax effects recognized in connection with nonvested shares and share units was as follows:</w:t>
      </w:r>
    </w:p>
    <w:p>
      <w:pPr>
        <w:spacing w:after="0" w:line="42" w:lineRule="exact"/>
        <w:rPr>
          <w:sz w:val="20"/>
          <w:szCs w:val="20"/>
          <w:color w:val="auto"/>
        </w:rPr>
      </w:pPr>
    </w:p>
    <w:tbl>
      <w:tblPr>
        <w:tblLayout w:type="fixed"/>
        <w:tblInd w:w="680" w:type="dxa"/>
        <w:tblCellMar>
          <w:top w:w="0" w:type="dxa"/>
          <w:left w:w="0" w:type="dxa"/>
          <w:bottom w:w="0" w:type="dxa"/>
          <w:right w:w="0" w:type="dxa"/>
        </w:tblCellMar>
      </w:tblPr>
      <w:tr>
        <w:trPr>
          <w:trHeight w:val="188"/>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60" w:type="dxa"/>
            <w:vAlign w:val="bottom"/>
            <w:gridSpan w:val="2"/>
            <w:vMerge w:val="continue"/>
          </w:tcPr>
          <w:p>
            <w:pPr>
              <w:spacing w:after="0"/>
              <w:rPr>
                <w:sz w:val="16"/>
                <w:szCs w:val="16"/>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0" w:type="dxa"/>
            <w:vAlign w:val="bottom"/>
          </w:tcPr>
          <w:p>
            <w:pPr>
              <w:spacing w:after="0"/>
              <w:rPr>
                <w:sz w:val="1"/>
                <w:szCs w:val="1"/>
                <w:color w:val="auto"/>
              </w:rPr>
            </w:pPr>
          </w:p>
        </w:tc>
      </w:tr>
      <w:tr>
        <w:trPr>
          <w:trHeight w:val="234"/>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Dividends Restrictions</w:t>
      </w:r>
    </w:p>
    <w:p>
      <w:pPr>
        <w:spacing w:after="0" w:line="254" w:lineRule="exact"/>
        <w:rPr>
          <w:sz w:val="20"/>
          <w:szCs w:val="20"/>
          <w:color w:val="auto"/>
        </w:rPr>
      </w:pPr>
    </w:p>
    <w:p>
      <w:pPr>
        <w:ind w:right="40" w:firstLine="646"/>
        <w:spacing w:after="0" w:line="253" w:lineRule="auto"/>
        <w:rPr>
          <w:sz w:val="20"/>
          <w:szCs w:val="20"/>
          <w:color w:val="auto"/>
        </w:rPr>
      </w:pPr>
      <w:r>
        <w:rPr>
          <w:rFonts w:ascii="Times New Roman" w:cs="Times New Roman" w:eastAsia="Times New Roman" w:hAnsi="Times New Roman"/>
          <w:sz w:val="18"/>
          <w:szCs w:val="18"/>
          <w:color w:val="auto"/>
        </w:rPr>
        <w:t>Our U.S. insurance subsidiaries are subject to certain capital and dividend rules and regulations as prescribed by jurisdictions in which they are authorized to operate. Under the insurance laws of the Commonwealth of Pennsylvania, an insurance company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June 30, 2025, Essent Guaranty had unassigned surplus of approximately $444.8 million. As of June 30, 2025, Essent Guaranty could pay additional ordinary dividends in 2025 of $365.5 million. In three and six months ended June 30, 2025, Essent Guaranty paid dividends of $65 million and</w:t>
      </w:r>
    </w:p>
    <w:p>
      <w:pPr>
        <w:spacing w:after="0" w:line="1" w:lineRule="exact"/>
        <w:rPr>
          <w:sz w:val="20"/>
          <w:szCs w:val="20"/>
          <w:color w:val="auto"/>
        </w:rPr>
      </w:pPr>
    </w:p>
    <w:p>
      <w:pPr>
        <w:ind w:right="700"/>
        <w:spacing w:after="0" w:line="259" w:lineRule="auto"/>
        <w:rPr>
          <w:sz w:val="20"/>
          <w:szCs w:val="20"/>
          <w:color w:val="auto"/>
        </w:rPr>
      </w:pPr>
      <w:r>
        <w:rPr>
          <w:rFonts w:ascii="Times New Roman" w:cs="Times New Roman" w:eastAsia="Times New Roman" w:hAnsi="Times New Roman"/>
          <w:sz w:val="18"/>
          <w:szCs w:val="18"/>
          <w:color w:val="auto"/>
        </w:rPr>
        <w:t>$130 million, respectively, to its parent, Essent US Holdings, Inc. In three and six months ended June 30, 2024, Essent Guaranty paid dividends of $62.5 million and $107.5 million, respectively, to its parent, Essent US Holdings, Inc.</w:t>
      </w:r>
    </w:p>
    <w:p>
      <w:pPr>
        <w:spacing w:after="0" w:line="207"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June 30, 2025, Essent Re had total equity of $1.8 billion. In the three and six months ended June 30, 2025, Essent Re paid dividends of $120.0 million and $220.0 million, respectively, to its parent, Essent Group Ltd. In the three and six months ended June 30, 2024, Essent Re paid dividends of $87.5 million and $125.0 million, respectively, to its parent, Essent Group Ltd.</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2025, our insurance subsidiaries were in compliance with these rules, regulations and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 (EPS)</w:t>
      </w:r>
    </w:p>
    <w:p>
      <w:pPr>
        <w:spacing w:after="0" w:line="227" w:lineRule="exact"/>
        <w:rPr>
          <w:sz w:val="20"/>
          <w:szCs w:val="20"/>
          <w:color w:val="auto"/>
        </w:rPr>
      </w:pPr>
    </w:p>
    <w:p>
      <w:pPr>
        <w:ind w:right="100"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 reconciles the net income and the weighted average common shares outstanding used in the computations of basic and diluted earnings per common share: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r>
      <w:tr>
        <w:trPr>
          <w:trHeight w:val="195"/>
        </w:trPr>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5"/>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2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195,339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370,772</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385,328</w:t>
            </w:r>
          </w:p>
        </w:tc>
      </w:tr>
      <w:tr>
        <w:trPr>
          <w:trHeight w:val="54"/>
        </w:trPr>
        <w:tc>
          <w:tcPr>
            <w:tcW w:w="5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29"/>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105,677</w:t>
            </w:r>
          </w:p>
        </w:tc>
      </w:tr>
      <w:tr>
        <w:trPr>
          <w:trHeight w:val="22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nonvested shares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29"/>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106,774</w:t>
            </w:r>
          </w:p>
        </w:tc>
      </w:tr>
      <w:tr>
        <w:trPr>
          <w:trHeight w:val="54"/>
        </w:trPr>
        <w:tc>
          <w:tcPr>
            <w:tcW w:w="5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29"/>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4"/>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bl>
    <w:p>
      <w:pPr>
        <w:spacing w:after="0" w:line="273" w:lineRule="exact"/>
        <w:rPr>
          <w:sz w:val="20"/>
          <w:szCs w:val="20"/>
          <w:color w:val="auto"/>
        </w:rPr>
      </w:pPr>
    </w:p>
    <w:p>
      <w:pPr>
        <w:ind w:right="560" w:firstLine="646"/>
        <w:spacing w:after="0" w:line="280" w:lineRule="auto"/>
        <w:rPr>
          <w:sz w:val="20"/>
          <w:szCs w:val="20"/>
          <w:color w:val="auto"/>
        </w:rPr>
      </w:pPr>
      <w:r>
        <w:rPr>
          <w:rFonts w:ascii="Times New Roman" w:cs="Times New Roman" w:eastAsia="Times New Roman" w:hAnsi="Times New Roman"/>
          <w:sz w:val="18"/>
          <w:szCs w:val="18"/>
          <w:color w:val="auto"/>
        </w:rPr>
        <w:t>There were 24,270 and 37,219 antidilutive shares for the three months ended June 30, 2025 and 2024, respectively, and 68,254 and 102,475 antidilutive shares for the six months ended June 30, 2025 and 2024, respectively</w:t>
      </w:r>
    </w:p>
    <w:p>
      <w:pPr>
        <w:spacing w:after="0" w:line="163" w:lineRule="exact"/>
        <w:rPr>
          <w:sz w:val="20"/>
          <w:szCs w:val="20"/>
          <w:color w:val="auto"/>
        </w:rPr>
      </w:pPr>
    </w:p>
    <w:p>
      <w:pPr>
        <w:ind w:right="280" w:firstLine="646"/>
        <w:spacing w:after="0" w:line="259" w:lineRule="auto"/>
        <w:rPr>
          <w:sz w:val="20"/>
          <w:szCs w:val="20"/>
          <w:color w:val="auto"/>
        </w:rPr>
      </w:pPr>
      <w:r>
        <w:rPr>
          <w:rFonts w:ascii="Times New Roman" w:cs="Times New Roman" w:eastAsia="Times New Roman" w:hAnsi="Times New Roman"/>
          <w:sz w:val="18"/>
          <w:szCs w:val="18"/>
          <w:color w:val="auto"/>
        </w:rPr>
        <w:t>Nonvested performance-based share awards are considered contingently issuable for purposes of the EPS calculation. The 2025, 2024 and 2023 performance-based share awards vest based upon our compounded annual book value per share growth percentage and relative total shareholder return during a three-year performance period. The following table summarizes the performance-based shares issuable if the reporting date was the end of the contingency period: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2025 Performance-Based</w:t>
            </w:r>
          </w:p>
        </w:tc>
        <w:tc>
          <w:tcPr>
            <w:tcW w:w="20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2024 Performance-Based</w:t>
            </w:r>
          </w:p>
        </w:tc>
        <w:tc>
          <w:tcPr>
            <w:tcW w:w="19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2023 Performance-Based</w:t>
            </w: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2022 Performance-Based</w:t>
            </w: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gridSpan w:val="4"/>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740" w:type="dxa"/>
            <w:vAlign w:val="bottom"/>
          </w:tcPr>
          <w:p>
            <w:pPr>
              <w:spacing w:after="0"/>
              <w:rPr>
                <w:sz w:val="16"/>
                <w:szCs w:val="16"/>
                <w:color w:val="auto"/>
              </w:rPr>
            </w:pPr>
          </w:p>
        </w:tc>
        <w:tc>
          <w:tcPr>
            <w:tcW w:w="128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680" w:type="dxa"/>
            <w:vAlign w:val="bottom"/>
          </w:tcPr>
          <w:p>
            <w:pPr>
              <w:spacing w:after="0"/>
              <w:rPr>
                <w:sz w:val="16"/>
                <w:szCs w:val="16"/>
                <w:color w:val="auto"/>
              </w:rPr>
            </w:pPr>
          </w:p>
        </w:tc>
        <w:tc>
          <w:tcPr>
            <w:tcW w:w="1220" w:type="dxa"/>
            <w:vAlign w:val="bottom"/>
            <w:gridSpan w:val="4"/>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760" w:type="dxa"/>
            <w:vAlign w:val="bottom"/>
          </w:tcPr>
          <w:p>
            <w:pPr>
              <w:spacing w:after="0"/>
              <w:rPr>
                <w:sz w:val="16"/>
                <w:szCs w:val="16"/>
                <w:color w:val="auto"/>
              </w:rPr>
            </w:pPr>
          </w:p>
        </w:tc>
        <w:tc>
          <w:tcPr>
            <w:tcW w:w="1200" w:type="dxa"/>
            <w:vAlign w:val="bottom"/>
            <w:gridSpan w:val="3"/>
          </w:tcPr>
          <w:p>
            <w:pPr>
              <w:jc w:val="center"/>
              <w:ind w:right="697"/>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0" w:type="dxa"/>
            <w:vAlign w:val="bottom"/>
          </w:tcPr>
          <w:p>
            <w:pPr>
              <w:spacing w:after="0"/>
              <w:rPr>
                <w:sz w:val="1"/>
                <w:szCs w:val="1"/>
                <w:color w:val="auto"/>
              </w:rPr>
            </w:pPr>
          </w:p>
        </w:tc>
      </w:tr>
      <w:tr>
        <w:trPr>
          <w:trHeight w:val="127"/>
        </w:trPr>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jc w:val="center"/>
              <w:ind w:left="91"/>
              <w:spacing w:after="0" w:line="128"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jc w:val="center"/>
              <w:ind w:left="108"/>
              <w:spacing w:after="0" w:line="128"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jc w:val="center"/>
              <w:ind w:left="48"/>
              <w:spacing w:after="0" w:line="128"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jc w:val="center"/>
              <w:ind w:left="71"/>
              <w:spacing w:after="0" w:line="128"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left="91"/>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As a Percent of</w:t>
            </w:r>
          </w:p>
        </w:tc>
        <w:tc>
          <w:tcPr>
            <w:tcW w:w="740" w:type="dxa"/>
            <w:vAlign w:val="bottom"/>
          </w:tcPr>
          <w:p>
            <w:pPr>
              <w:jc w:val="center"/>
              <w:ind w:left="108"/>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As a Percent of</w:t>
            </w:r>
          </w:p>
        </w:tc>
        <w:tc>
          <w:tcPr>
            <w:tcW w:w="680" w:type="dxa"/>
            <w:vAlign w:val="bottom"/>
          </w:tcPr>
          <w:p>
            <w:pPr>
              <w:jc w:val="center"/>
              <w:ind w:left="48"/>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As a Percent of</w:t>
            </w:r>
          </w:p>
        </w:tc>
        <w:tc>
          <w:tcPr>
            <w:tcW w:w="760" w:type="dxa"/>
            <w:vAlign w:val="bottom"/>
          </w:tcPr>
          <w:p>
            <w:pPr>
              <w:jc w:val="center"/>
              <w:ind w:left="91"/>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As a Percent of</w:t>
            </w:r>
          </w:p>
        </w:tc>
        <w:tc>
          <w:tcPr>
            <w:tcW w:w="0" w:type="dxa"/>
            <w:vAlign w:val="bottom"/>
          </w:tcPr>
          <w:p>
            <w:pPr>
              <w:spacing w:after="0"/>
              <w:rPr>
                <w:sz w:val="1"/>
                <w:szCs w:val="1"/>
                <w:color w:val="auto"/>
              </w:rPr>
            </w:pPr>
          </w:p>
        </w:tc>
      </w:tr>
      <w:tr>
        <w:trPr>
          <w:trHeight w:val="121"/>
        </w:trPr>
        <w:tc>
          <w:tcPr>
            <w:tcW w:w="328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Reporting Date</w:t>
            </w:r>
          </w:p>
        </w:tc>
        <w:tc>
          <w:tcPr>
            <w:tcW w:w="100" w:type="dxa"/>
            <w:vAlign w:val="bottom"/>
            <w:vMerge w:val="restart"/>
          </w:tcPr>
          <w:p>
            <w:pPr>
              <w:spacing w:after="0"/>
              <w:rPr>
                <w:sz w:val="10"/>
                <w:szCs w:val="10"/>
                <w:color w:val="auto"/>
              </w:rPr>
            </w:pPr>
          </w:p>
        </w:tc>
        <w:tc>
          <w:tcPr>
            <w:tcW w:w="720" w:type="dxa"/>
            <w:vAlign w:val="bottom"/>
          </w:tcPr>
          <w:p>
            <w:pPr>
              <w:jc w:val="center"/>
              <w:ind w:left="71"/>
              <w:spacing w:after="0" w:line="121"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40" w:type="dxa"/>
            <w:vAlign w:val="bottom"/>
          </w:tcPr>
          <w:p>
            <w:pPr>
              <w:jc w:val="center"/>
              <w:ind w:left="108"/>
              <w:spacing w:after="0" w:line="121" w:lineRule="exact"/>
              <w:rPr>
                <w:sz w:val="20"/>
                <w:szCs w:val="20"/>
                <w:color w:val="auto"/>
              </w:rPr>
            </w:pPr>
            <w:r>
              <w:rPr>
                <w:rFonts w:ascii="Times New Roman" w:cs="Times New Roman" w:eastAsia="Times New Roman" w:hAnsi="Times New Roman"/>
                <w:sz w:val="13"/>
                <w:szCs w:val="13"/>
                <w:b w:val="1"/>
                <w:bCs w:val="1"/>
                <w:color w:val="auto"/>
                <w:w w:val="93"/>
              </w:rPr>
              <w:t>Relative to</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80" w:type="dxa"/>
            <w:vAlign w:val="bottom"/>
          </w:tcPr>
          <w:p>
            <w:pPr>
              <w:jc w:val="center"/>
              <w:ind w:left="28"/>
              <w:spacing w:after="0" w:line="121"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760" w:type="dxa"/>
            <w:vAlign w:val="bottom"/>
          </w:tcPr>
          <w:p>
            <w:pPr>
              <w:jc w:val="center"/>
              <w:ind w:left="71"/>
              <w:spacing w:after="0" w:line="121"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2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Shares Issued</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Shares Issued</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Shares Issued</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Shares Issued</w:t>
            </w:r>
          </w:p>
        </w:tc>
        <w:tc>
          <w:tcPr>
            <w:tcW w:w="0" w:type="dxa"/>
            <w:vAlign w:val="bottom"/>
          </w:tcPr>
          <w:p>
            <w:pPr>
              <w:spacing w:after="0"/>
              <w:rPr>
                <w:sz w:val="1"/>
                <w:szCs w:val="1"/>
                <w:color w:val="auto"/>
              </w:rPr>
            </w:pPr>
          </w:p>
        </w:tc>
      </w:tr>
      <w:tr>
        <w:trPr>
          <w:trHeight w:val="227"/>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Pr>
          <w:p>
            <w:pPr>
              <w:spacing w:after="0"/>
              <w:rPr>
                <w:sz w:val="19"/>
                <w:szCs w:val="19"/>
                <w:color w:val="auto"/>
              </w:rPr>
            </w:pPr>
          </w:p>
        </w:tc>
        <w:tc>
          <w:tcPr>
            <w:tcW w:w="7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200%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740" w:type="dxa"/>
            <w:vAlign w:val="bottom"/>
          </w:tcPr>
          <w:p>
            <w:pPr>
              <w:jc w:val="center"/>
              <w:ind w:left="108"/>
              <w:spacing w:after="0"/>
              <w:rPr>
                <w:sz w:val="20"/>
                <w:szCs w:val="20"/>
                <w:color w:val="auto"/>
              </w:rPr>
            </w:pPr>
            <w:r>
              <w:rPr>
                <w:rFonts w:ascii="Times New Roman" w:cs="Times New Roman" w:eastAsia="Times New Roman" w:hAnsi="Times New Roman"/>
                <w:sz w:val="18"/>
                <w:szCs w:val="18"/>
                <w:color w:val="auto"/>
                <w:w w:val="95"/>
              </w:rPr>
              <w:t>128%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680" w:type="dxa"/>
            <w:vAlign w:val="bottom"/>
          </w:tcPr>
          <w:p>
            <w:pPr>
              <w:jc w:val="center"/>
              <w:ind w:left="28"/>
              <w:spacing w:after="0"/>
              <w:rPr>
                <w:sz w:val="20"/>
                <w:szCs w:val="20"/>
                <w:color w:val="auto"/>
              </w:rPr>
            </w:pPr>
            <w:r>
              <w:rPr>
                <w:rFonts w:ascii="Times New Roman" w:cs="Times New Roman" w:eastAsia="Times New Roman" w:hAnsi="Times New Roman"/>
                <w:sz w:val="18"/>
                <w:szCs w:val="18"/>
                <w:color w:val="auto"/>
                <w:w w:val="99"/>
              </w:rPr>
              <w:t>195%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w:t>
            </w:r>
          </w:p>
        </w:tc>
        <w:tc>
          <w:tcPr>
            <w:tcW w:w="1200" w:type="dxa"/>
            <w:vAlign w:val="bottom"/>
            <w:gridSpan w:val="3"/>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June 30, 2024</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8"/>
                <w:szCs w:val="18"/>
                <w:color w:val="auto"/>
                <w:w w:val="95"/>
              </w:rPr>
              <w:t>190%</w:t>
            </w:r>
          </w:p>
        </w:tc>
        <w:tc>
          <w:tcPr>
            <w:tcW w:w="1180" w:type="dxa"/>
            <w:vAlign w:val="bottom"/>
            <w:gridSpan w:val="3"/>
            <w:shd w:val="clear" w:color="auto" w:fill="CCEEFF"/>
          </w:tcPr>
          <w:p>
            <w:pPr>
              <w:jc w:val="center"/>
              <w:ind w:left="199"/>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8"/>
                <w:szCs w:val="18"/>
                <w:color w:val="auto"/>
                <w:w w:val="99"/>
              </w:rPr>
              <w:t>200%</w:t>
            </w:r>
          </w:p>
        </w:tc>
        <w:tc>
          <w:tcPr>
            <w:tcW w:w="112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1200" w:type="dxa"/>
            <w:vAlign w:val="bottom"/>
            <w:gridSpan w:val="3"/>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The 2022 performance based awards vested at 168% relative to target on March 1, 2025.</w:t>
      </w: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42" w:lineRule="exact"/>
        <w:rPr>
          <w:rFonts w:ascii="Times New Roman" w:cs="Times New Roman" w:eastAsia="Times New Roman" w:hAnsi="Times New Roman"/>
          <w:sz w:val="14"/>
          <w:szCs w:val="14"/>
          <w:b w:val="1"/>
          <w:bCs w:val="1"/>
          <w:color w:val="auto"/>
        </w:rPr>
      </w:pPr>
    </w:p>
    <w:p>
      <w:pPr>
        <w:ind w:left="55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presents the rollforward of accumulated other comprehensive loss for the three and six months ended June 30, 2025 and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2"/>
        </w:trPr>
        <w:tc>
          <w:tcPr>
            <w:tcW w:w="2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
        </w:trPr>
        <w:tc>
          <w:tcPr>
            <w:tcW w:w="21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3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29"/>
        </w:trPr>
        <w:tc>
          <w:tcPr>
            <w:tcW w:w="3740" w:type="dxa"/>
            <w:vAlign w:val="bottom"/>
            <w:tcBorders>
              <w:top w:val="single" w:sz="8" w:color="auto"/>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(271,265)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(232,246)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(347,880)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(302,262)</w:t>
            </w:r>
          </w:p>
        </w:tc>
      </w:tr>
      <w:tr>
        <w:trPr>
          <w:trHeight w:val="209"/>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5"/>
        </w:trPr>
        <w:tc>
          <w:tcPr>
            <w:tcW w:w="3860" w:type="dxa"/>
            <w:vAlign w:val="bottom"/>
            <w:gridSpan w:val="3"/>
          </w:tcPr>
          <w:p>
            <w:pPr>
              <w:ind w:left="220"/>
              <w:spacing w:after="0" w:line="175" w:lineRule="exact"/>
              <w:rPr>
                <w:sz w:val="20"/>
                <w:szCs w:val="20"/>
                <w:color w:val="auto"/>
              </w:rPr>
            </w:pPr>
            <w:r>
              <w:rPr>
                <w:rFonts w:ascii="Times New Roman" w:cs="Times New Roman" w:eastAsia="Times New Roman" w:hAnsi="Times New Roman"/>
                <w:sz w:val="18"/>
                <w:szCs w:val="18"/>
                <w:color w:val="auto"/>
              </w:rPr>
              <w:t>Unrealized holding gains (losses) on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8"/>
        </w:trPr>
        <w:tc>
          <w:tcPr>
            <w:tcW w:w="3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79"/>
        </w:trPr>
        <w:tc>
          <w:tcPr>
            <w:tcW w:w="3860" w:type="dxa"/>
            <w:vAlign w:val="bottom"/>
            <w:gridSpan w:val="3"/>
            <w:shd w:val="clear" w:color="auto" w:fill="CCEEFF"/>
          </w:tcPr>
          <w:p>
            <w:pPr>
              <w:ind w:left="340"/>
              <w:spacing w:after="0" w:line="179" w:lineRule="exact"/>
              <w:rPr>
                <w:sz w:val="20"/>
                <w:szCs w:val="20"/>
                <w:color w:val="auto"/>
              </w:rPr>
            </w:pPr>
            <w:r>
              <w:rPr>
                <w:rFonts w:ascii="Times New Roman" w:cs="Times New Roman" w:eastAsia="Times New Roman" w:hAnsi="Times New Roman"/>
                <w:sz w:val="18"/>
                <w:szCs w:val="18"/>
                <w:color w:val="auto"/>
              </w:rPr>
              <w:t>Unrealized holding gains (losses) arising</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2"/>
        </w:trPr>
        <w:tc>
          <w:tcPr>
            <w:tcW w:w="38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during the period</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r>
      <w:tr>
        <w:trPr>
          <w:trHeight w:val="175"/>
        </w:trPr>
        <w:tc>
          <w:tcPr>
            <w:tcW w:w="3860" w:type="dxa"/>
            <w:vAlign w:val="bottom"/>
            <w:gridSpan w:val="3"/>
          </w:tcPr>
          <w:p>
            <w:pPr>
              <w:ind w:left="340"/>
              <w:spacing w:after="0" w:line="175" w:lineRule="exact"/>
              <w:rPr>
                <w:sz w:val="20"/>
                <w:szCs w:val="20"/>
                <w:color w:val="auto"/>
              </w:rPr>
            </w:pPr>
            <w:r>
              <w:rPr>
                <w:rFonts w:ascii="Times New Roman" w:cs="Times New Roman" w:eastAsia="Times New Roman" w:hAnsi="Times New Roman"/>
                <w:sz w:val="18"/>
                <w:szCs w:val="18"/>
                <w:color w:val="auto"/>
              </w:rPr>
              <w:t>Less: Reclassification adjustment for (gains)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2"/>
        </w:trPr>
        <w:tc>
          <w:tcPr>
            <w:tcW w:w="3860" w:type="dxa"/>
            <w:vAlign w:val="bottom"/>
            <w:tcBorders>
              <w:bottom w:val="single" w:sz="8" w:color="CCEEFF"/>
            </w:tcBorders>
            <w:gridSpan w:val="3"/>
          </w:tcPr>
          <w:p>
            <w:pPr>
              <w:ind w:left="500"/>
              <w:spacing w:after="0"/>
              <w:rPr>
                <w:sz w:val="20"/>
                <w:szCs w:val="20"/>
                <w:color w:val="auto"/>
              </w:rPr>
            </w:pPr>
            <w:r>
              <w:rPr>
                <w:rFonts w:ascii="Times New Roman" w:cs="Times New Roman" w:eastAsia="Times New Roman" w:hAnsi="Times New Roman"/>
                <w:sz w:val="18"/>
                <w:szCs w:val="18"/>
                <w:color w:val="auto"/>
              </w:rPr>
              <w:t>losses included in net income (1)</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2"/>
        </w:trPr>
        <w:tc>
          <w:tcPr>
            <w:tcW w:w="38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r>
      <w:tr>
        <w:trPr>
          <w:trHeight w:val="222"/>
        </w:trPr>
        <w:tc>
          <w:tcPr>
            <w:tcW w:w="38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r>
      <w:tr>
        <w:trPr>
          <w:trHeight w:val="247"/>
        </w:trPr>
        <w:tc>
          <w:tcPr>
            <w:tcW w:w="3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(307,637)</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92"/>
        </w:trPr>
        <w:tc>
          <w:tcPr>
            <w:tcW w:w="2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2"/>
        </w:trPr>
        <w:tc>
          <w:tcPr>
            <w:tcW w:w="2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
        </w:trPr>
        <w:tc>
          <w:tcPr>
            <w:tcW w:w="21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3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29"/>
        </w:trPr>
        <w:tc>
          <w:tcPr>
            <w:tcW w:w="3740" w:type="dxa"/>
            <w:vAlign w:val="bottom"/>
            <w:tcBorders>
              <w:top w:val="single" w:sz="8" w:color="auto"/>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(354,298)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(303,984)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(322,992)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(280,496)</w:t>
            </w:r>
          </w:p>
        </w:tc>
      </w:tr>
      <w:tr>
        <w:trPr>
          <w:trHeight w:val="209"/>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5"/>
        </w:trPr>
        <w:tc>
          <w:tcPr>
            <w:tcW w:w="3860" w:type="dxa"/>
            <w:vAlign w:val="bottom"/>
            <w:gridSpan w:val="3"/>
          </w:tcPr>
          <w:p>
            <w:pPr>
              <w:ind w:left="220"/>
              <w:spacing w:after="0" w:line="175" w:lineRule="exact"/>
              <w:rPr>
                <w:sz w:val="20"/>
                <w:szCs w:val="20"/>
                <w:color w:val="auto"/>
              </w:rPr>
            </w:pPr>
            <w:r>
              <w:rPr>
                <w:rFonts w:ascii="Times New Roman" w:cs="Times New Roman" w:eastAsia="Times New Roman" w:hAnsi="Times New Roman"/>
                <w:sz w:val="18"/>
                <w:szCs w:val="18"/>
                <w:color w:val="auto"/>
              </w:rPr>
              <w:t>Unrealized holding gains (losses) on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8"/>
        </w:trPr>
        <w:tc>
          <w:tcPr>
            <w:tcW w:w="3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79"/>
        </w:trPr>
        <w:tc>
          <w:tcPr>
            <w:tcW w:w="3860" w:type="dxa"/>
            <w:vAlign w:val="bottom"/>
            <w:gridSpan w:val="3"/>
            <w:shd w:val="clear" w:color="auto" w:fill="CCEEFF"/>
          </w:tcPr>
          <w:p>
            <w:pPr>
              <w:ind w:left="340"/>
              <w:spacing w:after="0" w:line="179" w:lineRule="exact"/>
              <w:rPr>
                <w:sz w:val="20"/>
                <w:szCs w:val="20"/>
                <w:color w:val="auto"/>
              </w:rPr>
            </w:pPr>
            <w:r>
              <w:rPr>
                <w:rFonts w:ascii="Times New Roman" w:cs="Times New Roman" w:eastAsia="Times New Roman" w:hAnsi="Times New Roman"/>
                <w:sz w:val="18"/>
                <w:szCs w:val="18"/>
                <w:color w:val="auto"/>
              </w:rPr>
              <w:t>Unrealized holding gains (losses) arising</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2"/>
        </w:trPr>
        <w:tc>
          <w:tcPr>
            <w:tcW w:w="38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during the period</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(29,017)</w:t>
            </w:r>
          </w:p>
        </w:tc>
      </w:tr>
      <w:tr>
        <w:trPr>
          <w:trHeight w:val="175"/>
        </w:trPr>
        <w:tc>
          <w:tcPr>
            <w:tcW w:w="3860" w:type="dxa"/>
            <w:vAlign w:val="bottom"/>
            <w:gridSpan w:val="3"/>
          </w:tcPr>
          <w:p>
            <w:pPr>
              <w:ind w:left="340"/>
              <w:spacing w:after="0" w:line="175" w:lineRule="exact"/>
              <w:rPr>
                <w:sz w:val="20"/>
                <w:szCs w:val="20"/>
                <w:color w:val="auto"/>
              </w:rPr>
            </w:pPr>
            <w:r>
              <w:rPr>
                <w:rFonts w:ascii="Times New Roman" w:cs="Times New Roman" w:eastAsia="Times New Roman" w:hAnsi="Times New Roman"/>
                <w:sz w:val="18"/>
                <w:szCs w:val="18"/>
                <w:color w:val="auto"/>
              </w:rPr>
              <w:t>Less: Reclassification adjustment for (gains)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2"/>
        </w:trPr>
        <w:tc>
          <w:tcPr>
            <w:tcW w:w="3860" w:type="dxa"/>
            <w:vAlign w:val="bottom"/>
            <w:tcBorders>
              <w:bottom w:val="single" w:sz="8" w:color="CCEEFF"/>
            </w:tcBorders>
            <w:gridSpan w:val="3"/>
          </w:tcPr>
          <w:p>
            <w:pPr>
              <w:ind w:left="500"/>
              <w:spacing w:after="0"/>
              <w:rPr>
                <w:sz w:val="20"/>
                <w:szCs w:val="20"/>
                <w:color w:val="auto"/>
              </w:rPr>
            </w:pPr>
            <w:r>
              <w:rPr>
                <w:rFonts w:ascii="Times New Roman" w:cs="Times New Roman" w:eastAsia="Times New Roman" w:hAnsi="Times New Roman"/>
                <w:sz w:val="18"/>
                <w:szCs w:val="18"/>
                <w:color w:val="auto"/>
              </w:rPr>
              <w:t>losses included in net income (1)</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22"/>
        </w:trPr>
        <w:tc>
          <w:tcPr>
            <w:tcW w:w="38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(27,141)</w:t>
            </w:r>
          </w:p>
        </w:tc>
      </w:tr>
      <w:tr>
        <w:trPr>
          <w:trHeight w:val="222"/>
        </w:trPr>
        <w:tc>
          <w:tcPr>
            <w:tcW w:w="38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101,683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(27,141)</w:t>
            </w:r>
          </w:p>
        </w:tc>
      </w:tr>
      <w:tr>
        <w:trPr>
          <w:trHeight w:val="247"/>
        </w:trPr>
        <w:tc>
          <w:tcPr>
            <w:tcW w:w="3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(307,637)</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35"/>
        </w:trPr>
        <w:tc>
          <w:tcPr>
            <w:tcW w:w="2180" w:type="dxa"/>
            <w:vAlign w:val="bottom"/>
            <w:tcBorders>
              <w:bottom w:val="single" w:sz="8" w:color="auto"/>
            </w:tcBorders>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Included in net realized investment losses on our condensed consolidated statements of comprehensive income.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227" w:lineRule="exact"/>
        <w:rPr>
          <w:sz w:val="20"/>
          <w:szCs w:val="20"/>
          <w:color w:val="auto"/>
        </w:rPr>
      </w:pPr>
    </w:p>
    <w:p>
      <w:pPr>
        <w:ind w:right="160" w:firstLine="646"/>
        <w:spacing w:after="0" w:line="280" w:lineRule="auto"/>
        <w:rPr>
          <w:sz w:val="20"/>
          <w:szCs w:val="20"/>
          <w:color w:val="auto"/>
        </w:rPr>
      </w:pPr>
      <w:r>
        <w:rPr>
          <w:rFonts w:ascii="Times New Roman" w:cs="Times New Roman" w:eastAsia="Times New Roman" w:hAnsi="Times New Roman"/>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27" w:lineRule="exact"/>
        <w:rPr>
          <w:sz w:val="20"/>
          <w:szCs w:val="20"/>
          <w:color w:val="auto"/>
        </w:rPr>
      </w:pPr>
    </w:p>
    <w:p>
      <w:pPr>
        <w:ind w:right="280" w:firstLine="646"/>
        <w:spacing w:after="0" w:line="259" w:lineRule="auto"/>
        <w:rPr>
          <w:sz w:val="20"/>
          <w:szCs w:val="20"/>
          <w:color w:val="auto"/>
        </w:rPr>
      </w:pPr>
      <w:r>
        <w:rPr>
          <w:rFonts w:ascii="Times New Roman" w:cs="Times New Roman" w:eastAsia="Times New Roman" w:hAnsi="Times New Roman"/>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left="640" w:hanging="31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 accessible at the measurement date.</w:t>
      </w:r>
    </w:p>
    <w:p>
      <w:pPr>
        <w:spacing w:after="0" w:line="223" w:lineRule="exact"/>
        <w:rPr>
          <w:rFonts w:ascii="Times New Roman" w:cs="Times New Roman" w:eastAsia="Times New Roman" w:hAnsi="Times New Roman"/>
          <w:sz w:val="18"/>
          <w:szCs w:val="18"/>
          <w:color w:val="auto"/>
        </w:rPr>
      </w:pPr>
    </w:p>
    <w:p>
      <w:pPr>
        <w:jc w:val="both"/>
        <w:ind w:left="660" w:right="80" w:hanging="330"/>
        <w:spacing w:after="0" w:line="26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202"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one or more significant inputs that are unobservable.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227" w:lineRule="exact"/>
        <w:rPr>
          <w:sz w:val="20"/>
          <w:szCs w:val="20"/>
          <w:color w:val="auto"/>
        </w:rPr>
      </w:pPr>
    </w:p>
    <w:p>
      <w:pPr>
        <w:ind w:right="120" w:firstLine="646"/>
        <w:spacing w:after="0" w:line="276" w:lineRule="auto"/>
        <w:rPr>
          <w:sz w:val="20"/>
          <w:szCs w:val="20"/>
          <w:color w:val="auto"/>
        </w:rPr>
      </w:pPr>
      <w:r>
        <w:rPr>
          <w:rFonts w:ascii="Times New Roman" w:cs="Times New Roman" w:eastAsia="Times New Roman" w:hAnsi="Times New Roman"/>
          <w:sz w:val="17"/>
          <w:szCs w:val="17"/>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used the following methods and assumptions in estimating fair values of financial instruments:</w:t>
      </w:r>
    </w:p>
    <w:p>
      <w:pPr>
        <w:spacing w:after="0" w:line="250" w:lineRule="exact"/>
        <w:rPr>
          <w:sz w:val="20"/>
          <w:szCs w:val="20"/>
          <w:color w:val="auto"/>
        </w:rPr>
      </w:pPr>
    </w:p>
    <w:p>
      <w:pPr>
        <w:ind w:left="660" w:right="20" w:hanging="330"/>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87" w:lineRule="exact"/>
        <w:rPr>
          <w:rFonts w:ascii="Times New Roman" w:cs="Times New Roman" w:eastAsia="Times New Roman" w:hAnsi="Times New Roman"/>
          <w:sz w:val="18"/>
          <w:szCs w:val="18"/>
          <w:color w:val="auto"/>
        </w:rPr>
      </w:pPr>
    </w:p>
    <w:p>
      <w:pPr>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227" w:lineRule="exact"/>
        <w:rPr>
          <w:sz w:val="20"/>
          <w:szCs w:val="20"/>
          <w:color w:val="auto"/>
        </w:rPr>
      </w:pPr>
    </w:p>
    <w:p>
      <w:pPr>
        <w:ind w:right="40" w:firstLine="646"/>
        <w:spacing w:after="0" w:line="280" w:lineRule="auto"/>
        <w:rPr>
          <w:sz w:val="20"/>
          <w:szCs w:val="20"/>
          <w:color w:val="auto"/>
        </w:rPr>
      </w:pPr>
      <w:r>
        <w:rPr>
          <w:rFonts w:ascii="Times New Roman" w:cs="Times New Roman" w:eastAsia="Times New Roman" w:hAnsi="Times New Roman"/>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8"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 (In thousands)</w:t>
            </w: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40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391,461</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1,172,715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1,172,715</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600,618</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62,166</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1,908,167</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454,381</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796,065</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580,964</w:t>
            </w:r>
          </w:p>
        </w:tc>
        <w:tc>
          <w:tcPr>
            <w:tcW w:w="0" w:type="dxa"/>
            <w:vAlign w:val="bottom"/>
          </w:tcPr>
          <w:p>
            <w:pPr>
              <w:spacing w:after="0"/>
              <w:rPr>
                <w:sz w:val="1"/>
                <w:szCs w:val="1"/>
                <w:color w:val="auto"/>
              </w:rPr>
            </w:pPr>
          </w:p>
        </w:tc>
      </w:tr>
      <w:tr>
        <w:trPr>
          <w:trHeight w:val="247"/>
        </w:trPr>
        <w:tc>
          <w:tcPr>
            <w:tcW w:w="47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5,966,537</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8"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(In thousands)</w:t>
            </w:r>
          </w:p>
        </w:tc>
        <w:tc>
          <w:tcPr>
            <w:tcW w:w="220" w:type="dxa"/>
            <w:vAlign w:val="bottom"/>
          </w:tcPr>
          <w:p>
            <w:pPr>
              <w:spacing w:after="0"/>
              <w:rPr>
                <w:sz w:val="11"/>
                <w:szCs w:val="11"/>
                <w:color w:val="auto"/>
              </w:rPr>
            </w:pPr>
          </w:p>
        </w:tc>
        <w:tc>
          <w:tcPr>
            <w:tcW w:w="14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547,290</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1,125,436</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0" w:type="dxa"/>
            <w:vAlign w:val="bottom"/>
          </w:tcPr>
          <w:p>
            <w:pPr>
              <w:spacing w:after="0"/>
              <w:rPr>
                <w:sz w:val="1"/>
                <w:szCs w:val="1"/>
                <w:color w:val="auto"/>
              </w:rPr>
            </w:pPr>
          </w:p>
        </w:tc>
      </w:tr>
      <w:tr>
        <w:trPr>
          <w:trHeight w:val="247"/>
        </w:trPr>
        <w:tc>
          <w:tcPr>
            <w:tcW w:w="47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5,876,721</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180" w:type="dxa"/>
            <w:vAlign w:val="bottom"/>
            <w:tcBorders>
              <w:bottom w:val="single" w:sz="8" w:color="auto"/>
            </w:tcBorders>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40" w:hanging="330"/>
        <w:spacing w:after="0" w:line="260"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ind w:left="660" w:right="280" w:hanging="330"/>
        <w:spacing w:after="0" w:line="259"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certain other invested assets that are measured at fair value using the net asset value per share (or its equivalent) as a practical expedient, as applicable accounting standards do not provide for classification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Not Carried at Fair Value</w:t>
      </w:r>
    </w:p>
    <w:p>
      <w:pPr>
        <w:spacing w:after="0" w:line="25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Our senior notes are carried at amortized cost, net of issuance costs, on our condensed consolidated balance sheets. The carrying amount and estimated fair value of our senior notes was $494.3 million and $518.1 million, respectively, as of June 30, 2025. The carrying amount and estimated fair value of our senior notes was $494.0 million and $510.8 million, respectively, as of December 31, 2024. The fair value of our senior notes is estimated based on quoted market prices.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Statutory Accounting</w:t>
      </w:r>
    </w:p>
    <w:p>
      <w:pPr>
        <w:spacing w:after="0" w:line="227"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tables present Essent Guaranty’s statutory net income for the six months ended June 30, 2025 and 2024 as well as statutory surplus and contingency reserve liability at June 30, 2025 and December 31, 2024:</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120" w:type="dxa"/>
            <w:vAlign w:val="bottom"/>
          </w:tcPr>
          <w:p>
            <w:pPr>
              <w:jc w:val="right"/>
              <w:ind w:right="12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680" w:type="dxa"/>
            <w:vAlign w:val="bottom"/>
            <w:vMerge w:val="continue"/>
          </w:tcPr>
          <w:p>
            <w:pPr>
              <w:spacing w:after="0"/>
              <w:rPr>
                <w:sz w:val="15"/>
                <w:szCs w:val="15"/>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12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056120" cy="153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56120" cy="15367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Essent Guaranty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net income</w:t>
            </w:r>
          </w:p>
        </w:tc>
        <w:tc>
          <w:tcPr>
            <w:tcW w:w="1360" w:type="dxa"/>
            <w:vAlign w:val="bottom"/>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248,689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261,082</w:t>
            </w:r>
          </w:p>
        </w:tc>
      </w:tr>
      <w:tr>
        <w:trPr>
          <w:trHeight w:val="521"/>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2"/>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Essent Guaranty</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1360" w:type="dxa"/>
            <w:vAlign w:val="bottom"/>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1,150,106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1,101,894</w:t>
            </w:r>
          </w:p>
        </w:tc>
      </w:tr>
      <w:tr>
        <w:trPr>
          <w:trHeight w:val="22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1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2,564,039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2,492,487</w:t>
            </w:r>
          </w:p>
        </w:tc>
      </w:tr>
    </w:tbl>
    <w:p>
      <w:pPr>
        <w:spacing w:after="0" w:line="318"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Prior to December 31, 2024, Essent Guaranty reinsured that portion of the risk that is in excess of 25% of the mortgage balance with respect to any loan insured prior to April 1, 2019, after consideration of other reinsurance, to Essent Guaranty of PA, Inc. On December 31, 2024, Essent Guaranty and Essent PA entered into a commutation and release agreement in which all outstanding risk in force assumed by Essent PA was commuted back to Essent Guaranty in exchange for cash. Upon the commutation and release, Essent PA surrendered its insurance license and was no longer an insurance subsidiary of Essent Group Ltd. as of December 31, 2024.</w:t>
      </w:r>
    </w:p>
    <w:p>
      <w:pPr>
        <w:spacing w:after="0" w:line="210" w:lineRule="exact"/>
        <w:rPr>
          <w:sz w:val="20"/>
          <w:szCs w:val="20"/>
          <w:color w:val="auto"/>
        </w:rPr>
      </w:pPr>
    </w:p>
    <w:p>
      <w:pPr>
        <w:ind w:right="180" w:firstLine="646"/>
        <w:spacing w:after="0" w:line="275" w:lineRule="auto"/>
        <w:rPr>
          <w:sz w:val="20"/>
          <w:szCs w:val="20"/>
          <w:color w:val="auto"/>
        </w:rPr>
      </w:pPr>
      <w:r>
        <w:rPr>
          <w:rFonts w:ascii="Times New Roman" w:cs="Times New Roman" w:eastAsia="Times New Roman" w:hAnsi="Times New Roman"/>
          <w:sz w:val="17"/>
          <w:szCs w:val="17"/>
          <w:color w:val="auto"/>
        </w:rPr>
        <w:t>Net income determined in accordance with statutory accounting practices differs from GAAP. In 2025 and 2024, the more significant differences between net income determined under statutory accounting practices and GAAP for Essent Guaranty relate to policy acquisition costs and income</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as a result, increases statutory net income and surplus as compared to net income and equity determined in accordance with GAAP.</w:t>
      </w:r>
    </w:p>
    <w:p>
      <w:pPr>
        <w:spacing w:after="0" w:line="217" w:lineRule="exact"/>
        <w:rPr>
          <w:sz w:val="20"/>
          <w:szCs w:val="20"/>
          <w:color w:val="auto"/>
        </w:rPr>
      </w:pPr>
    </w:p>
    <w:p>
      <w:pPr>
        <w:ind w:right="840" w:firstLine="646"/>
        <w:spacing w:after="0" w:line="280" w:lineRule="auto"/>
        <w:rPr>
          <w:sz w:val="20"/>
          <w:szCs w:val="20"/>
          <w:color w:val="auto"/>
        </w:rPr>
      </w:pPr>
      <w:r>
        <w:rPr>
          <w:rFonts w:ascii="Times New Roman" w:cs="Times New Roman" w:eastAsia="Times New Roman" w:hAnsi="Times New Roman"/>
          <w:sz w:val="18"/>
          <w:szCs w:val="18"/>
          <w:color w:val="auto"/>
        </w:rPr>
        <w:t>At June 30, 2025 and December 31, 2024, the statutory capital of Essent Guaranty, which is defined as the total of statutory surplus and contingency reserves, was in excess of the statutory capital necessary to satisfy its regulatory requirements.</w:t>
      </w:r>
    </w:p>
    <w:p>
      <w:pPr>
        <w:spacing w:after="0" w:line="190"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Fannie Mae and Freddie Mac, at the direction of the Federal Housing Finance Agency,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color w:val="auto"/>
        </w:rPr>
        <w:t>performance expectations and define remedial actions that apply should an approved insurer fail to comply with these requirements. In August 2024, the GSEs issued updates to the PMIERs calculation of Available Assets. The updated PMIERs Available Asset requirements are subject to a phased-in implementation beginning with the quarter ending March 31, 2025, and will become fully effective on September 30, 2026. As of June 30, 2025, Essent Guaranty, our GSE-approved mortgage insurance company, was in compliance with the PMIERs.</w:t>
      </w:r>
    </w:p>
    <w:p>
      <w:pPr>
        <w:spacing w:after="0" w:line="208"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 xml:space="preserve">Statement of Statutory Accounting Principles No. 58, </w:t>
      </w:r>
      <w:r>
        <w:rPr>
          <w:rFonts w:ascii="Times New Roman" w:cs="Times New Roman" w:eastAsia="Times New Roman" w:hAnsi="Times New Roman"/>
          <w:sz w:val="18"/>
          <w:szCs w:val="18"/>
          <w:i w:val="1"/>
          <w:iCs w:val="1"/>
          <w:color w:val="auto"/>
        </w:rPr>
        <w:t>Mortgage Guaranty Insurance,</w:t>
      </w:r>
      <w:r>
        <w:rPr>
          <w:rFonts w:ascii="Times New Roman" w:cs="Times New Roman" w:eastAsia="Times New Roman" w:hAnsi="Times New Roman"/>
          <w:sz w:val="18"/>
          <w:szCs w:val="18"/>
          <w:color w:val="auto"/>
        </w:rPr>
        <w:t xml:space="preserve"> requires mortgage insurers to establish a special contingency reserve for statutory accounting purposes included in total liabilities equal to 50% of earned premium for that year.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six months ended June 30, 2025, Essent Guaranty increased its contingency reserve by $71.6 million. During the six months ended June 30, 2025 and 2024, Essent Guaranty released contingency reserves of $70.7 million and $43.2 million, respectively, to unassigned funds upon completion of the 120 month holding period.</w:t>
      </w:r>
    </w:p>
    <w:p>
      <w:pPr>
        <w:spacing w:after="0" w:line="211"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June 30, 2025, all such requirements were met.</w:t>
      </w:r>
    </w:p>
    <w:p>
      <w:pPr>
        <w:spacing w:after="0" w:line="210" w:lineRule="exact"/>
        <w:rPr>
          <w:sz w:val="20"/>
          <w:szCs w:val="20"/>
          <w:color w:val="auto"/>
        </w:rPr>
      </w:pPr>
    </w:p>
    <w:p>
      <w:pPr>
        <w:ind w:right="20" w:firstLine="646"/>
        <w:spacing w:after="0" w:line="259" w:lineRule="auto"/>
        <w:rPr>
          <w:sz w:val="20"/>
          <w:szCs w:val="20"/>
          <w:color w:val="auto"/>
        </w:rPr>
      </w:pPr>
      <w:r>
        <w:rPr>
          <w:rFonts w:ascii="Times New Roman" w:cs="Times New Roman" w:eastAsia="Times New Roman" w:hAnsi="Times New Roman"/>
          <w:sz w:val="18"/>
          <w:szCs w:val="18"/>
          <w:color w:val="auto"/>
        </w:rPr>
        <w:t>Essent Re's statutory capital and surplus was $1.7 billion as of June 30, 2025 and $1.8 billion as of December 31, 2024. Essent Re's statutory net income was $161.7 million and $170.5 million for the six months ended June 30, 2025 and 2024, respectively. Statutory capital and surplus as of June 30, 2025 and December 31, 2024 and statutory net income in the six months ended June 30, 2025 and 2024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Reporting</w:t>
      </w:r>
    </w:p>
    <w:p>
      <w:pPr>
        <w:spacing w:after="0" w:line="160" w:lineRule="exact"/>
        <w:rPr>
          <w:sz w:val="20"/>
          <w:szCs w:val="20"/>
          <w:color w:val="auto"/>
        </w:rPr>
      </w:pPr>
    </w:p>
    <w:p>
      <w:pPr>
        <w:ind w:firstLine="404"/>
        <w:spacing w:after="0" w:line="254" w:lineRule="auto"/>
        <w:rPr>
          <w:sz w:val="20"/>
          <w:szCs w:val="20"/>
          <w:color w:val="auto"/>
        </w:rPr>
      </w:pPr>
      <w:r>
        <w:rPr>
          <w:rFonts w:ascii="Times New Roman" w:cs="Times New Roman" w:eastAsia="Times New Roman" w:hAnsi="Times New Roman"/>
          <w:sz w:val="18"/>
          <w:szCs w:val="18"/>
          <w:color w:val="auto"/>
        </w:rPr>
        <w:t>We have one reportable business segment: Mortgage Insurance. Our Mortgage Insurance segment offers private mortgage insurance and reinsurance for mortgages secured by residential properties located in the United States. We provide private mortgage insurance on residential first-lien mortgage loans (“U.S. mortgage insurance”) through our U.S. mortgage insurance subsidiary, Essent Guaranty, and also offer other credit risk management solutions, including contract underwriting, to our customers. Through our Bermuda-based reinsurance subsidiary, Essent Re, we reinsure U.S. mortgage risk primarily through the GSE credit risk transfer market (“GSE and other risk share”) and provide underwriting consulting services to third-party reinsurers. Our U.S. mortgage insurance business and GSE and other risk share business each represent operating segments that we have aggregated as one reportable segment based on their shared economic characteristics and the similarities between the two operating segments.</w:t>
      </w:r>
    </w:p>
    <w:p>
      <w:pPr>
        <w:spacing w:after="0" w:line="108" w:lineRule="exact"/>
        <w:rPr>
          <w:sz w:val="20"/>
          <w:szCs w:val="20"/>
          <w:color w:val="auto"/>
        </w:rPr>
      </w:pPr>
    </w:p>
    <w:p>
      <w:pPr>
        <w:ind w:right="180" w:firstLine="404"/>
        <w:spacing w:after="0" w:line="259" w:lineRule="auto"/>
        <w:rPr>
          <w:sz w:val="20"/>
          <w:szCs w:val="20"/>
          <w:color w:val="auto"/>
        </w:rPr>
      </w:pPr>
      <w:r>
        <w:rPr>
          <w:rFonts w:ascii="Times New Roman" w:cs="Times New Roman" w:eastAsia="Times New Roman" w:hAnsi="Times New Roman"/>
          <w:sz w:val="18"/>
          <w:szCs w:val="18"/>
          <w:color w:val="auto"/>
        </w:rPr>
        <w:t>In addition, our "Corporate &amp; Other" category is used to reconcile our reportable segment to consolidated results and includes business activities associated with our title insurance operations, income and losses from holding company treasury operations and general corporate operating expenses not attributable to our operating segments. Our title insurance operations are an operating segment that does not meet the quantitative thresholds of a separate reportable segment.</w:t>
      </w:r>
    </w:p>
    <w:p>
      <w:pPr>
        <w:spacing w:after="0" w:line="115" w:lineRule="exact"/>
        <w:rPr>
          <w:sz w:val="20"/>
          <w:szCs w:val="20"/>
          <w:color w:val="auto"/>
        </w:rPr>
      </w:pPr>
    </w:p>
    <w:p>
      <w:pPr>
        <w:jc w:val="both"/>
        <w:ind w:right="60" w:firstLine="404"/>
        <w:spacing w:after="0" w:line="265" w:lineRule="auto"/>
        <w:rPr>
          <w:sz w:val="20"/>
          <w:szCs w:val="20"/>
          <w:color w:val="auto"/>
        </w:rPr>
      </w:pPr>
      <w:r>
        <w:rPr>
          <w:rFonts w:ascii="Times New Roman" w:cs="Times New Roman" w:eastAsia="Times New Roman" w:hAnsi="Times New Roman"/>
          <w:sz w:val="18"/>
          <w:szCs w:val="18"/>
          <w:color w:val="auto"/>
        </w:rPr>
        <w:t>We allocate corporate management and support expenses to operating segments based on their percentage of total operating segment revenues, which approximates the estimated percentage of management time and resources spent on each operating segment. We view our borrowings as holding company capital and liquidity and as such, all interest expense is included in Corporate &amp; Other.</w:t>
      </w:r>
    </w:p>
    <w:p>
      <w:pPr>
        <w:spacing w:after="0" w:line="108" w:lineRule="exact"/>
        <w:rPr>
          <w:sz w:val="20"/>
          <w:szCs w:val="20"/>
          <w:color w:val="auto"/>
        </w:rPr>
      </w:pPr>
    </w:p>
    <w:p>
      <w:pPr>
        <w:ind w:right="80" w:firstLine="404"/>
        <w:spacing w:after="0" w:line="259" w:lineRule="auto"/>
        <w:rPr>
          <w:sz w:val="20"/>
          <w:szCs w:val="20"/>
          <w:color w:val="auto"/>
        </w:rPr>
      </w:pPr>
      <w:r>
        <w:rPr>
          <w:rFonts w:ascii="Times New Roman" w:cs="Times New Roman" w:eastAsia="Times New Roman" w:hAnsi="Times New Roman"/>
          <w:sz w:val="18"/>
          <w:szCs w:val="18"/>
          <w:color w:val="auto"/>
        </w:rPr>
        <w:t>Our senior management team, including our President &amp; Chief Executive Officer (Essent's chief operating decision maker or "CODM"), uses income (loss) before income taxes as the primary measure to evaluate the financial performance of the operating segments and to allocate resources to those segments, including capital allocations and assessing headcount. The CODM also assesses the profitability of our Mortgage Insurance segment through analysis of the loss ratio, expense ratio and combined ratio. We do not manage our segments by assets.</w:t>
      </w:r>
    </w:p>
    <w:p>
      <w:pPr>
        <w:spacing w:after="0" w:line="102" w:lineRule="exact"/>
        <w:rPr>
          <w:sz w:val="20"/>
          <w:szCs w:val="20"/>
          <w:color w:val="auto"/>
        </w:rPr>
      </w:pPr>
    </w:p>
    <w:p>
      <w:pPr>
        <w:ind w:right="80" w:firstLine="404"/>
        <w:spacing w:after="0" w:line="265" w:lineRule="auto"/>
        <w:rPr>
          <w:sz w:val="20"/>
          <w:szCs w:val="20"/>
          <w:color w:val="auto"/>
        </w:rPr>
      </w:pPr>
      <w:r>
        <w:rPr>
          <w:rFonts w:ascii="Times New Roman" w:cs="Times New Roman" w:eastAsia="Times New Roman" w:hAnsi="Times New Roman"/>
          <w:sz w:val="18"/>
          <w:szCs w:val="18"/>
          <w:color w:val="auto"/>
        </w:rPr>
        <w:t>As of June 30, 2025 and December 31, 2024, all goodwill is assigned to our Title operating segment, which is included in our Corporate &amp; Other category. Goodwill was $48.8 million at both June 30, 2025 and December 31, 2024. Goodwill decreased by $1.1 million and $1.2 million during the three and six months ended June 30, 2024, respectively, as a result of measurement period adjustments.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Segment Information: Profit &amp; Loss</w:t>
      </w:r>
    </w:p>
    <w:p>
      <w:pPr>
        <w:spacing w:after="0" w:line="158" w:lineRule="exact"/>
        <w:rPr>
          <w:sz w:val="20"/>
          <w:szCs w:val="20"/>
          <w:color w:val="auto"/>
        </w:rPr>
      </w:pPr>
    </w:p>
    <w:p>
      <w:pPr>
        <w:ind w:right="60" w:firstLine="646"/>
        <w:spacing w:after="0" w:line="257" w:lineRule="auto"/>
        <w:rPr>
          <w:sz w:val="20"/>
          <w:szCs w:val="20"/>
          <w:color w:val="auto"/>
        </w:rPr>
      </w:pPr>
      <w:r>
        <w:rPr>
          <w:rFonts w:ascii="Times New Roman" w:cs="Times New Roman" w:eastAsia="Times New Roman" w:hAnsi="Times New Roman"/>
          <w:sz w:val="18"/>
          <w:szCs w:val="18"/>
          <w:color w:val="auto"/>
        </w:rPr>
        <w:t>The following table reconciles the components of reportable segment profit and loss to consolidated profit and loss for the periods presented. Within the tables, we have disclosed significant segment expenses at a level of disaggregation that coincides with what is regularly provided to the CODM. Other underwriting and operating expenses in the Mortgage Insurance segment include software, professional fees, travel, and occupancy costs. The accounting policies of our operating segments are the same as those described in the summary of significant accounting policies in our Form 10-K. We do not have inter-segment transactions.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7"/>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7"/>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0" w:type="dxa"/>
            <w:vAlign w:val="bottom"/>
          </w:tcPr>
          <w:p>
            <w:pPr>
              <w:spacing w:after="0"/>
              <w:rPr>
                <w:sz w:val="1"/>
                <w:szCs w:val="1"/>
                <w:color w:val="auto"/>
              </w:rPr>
            </w:pPr>
          </w:p>
        </w:tc>
      </w:tr>
      <w:tr>
        <w:trPr>
          <w:trHeight w:val="158"/>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3"/>
                <w:szCs w:val="13"/>
                <w:color w:val="auto"/>
              </w:rPr>
            </w:pPr>
          </w:p>
        </w:tc>
        <w:tc>
          <w:tcPr>
            <w:tcW w:w="106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Mortgage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&amp;</w:t>
            </w:r>
          </w:p>
        </w:tc>
        <w:tc>
          <w:tcPr>
            <w:tcW w:w="14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Pr>
          <w:p>
            <w:pPr>
              <w:spacing w:after="0"/>
              <w:rPr>
                <w:sz w:val="13"/>
                <w:szCs w:val="13"/>
                <w:color w:val="auto"/>
              </w:rPr>
            </w:pPr>
          </w:p>
        </w:tc>
        <w:tc>
          <w:tcPr>
            <w:tcW w:w="106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Mortgage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&amp;</w:t>
            </w:r>
          </w:p>
        </w:tc>
        <w:tc>
          <w:tcPr>
            <w:tcW w:w="120" w:type="dxa"/>
            <w:vAlign w:val="bottom"/>
          </w:tcPr>
          <w:p>
            <w:pPr>
              <w:spacing w:after="0"/>
              <w:rPr>
                <w:sz w:val="13"/>
                <w:szCs w:val="13"/>
                <w:color w:val="auto"/>
              </w:rPr>
            </w:pPr>
          </w:p>
        </w:tc>
        <w:tc>
          <w:tcPr>
            <w:tcW w:w="11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premiums earned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233,907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248,809</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235,258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251,891</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48,892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46,708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56,086</w:t>
            </w: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Realized investment losses, net</w:t>
            </w: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other invested assets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13"/>
        </w:trPr>
        <w:tc>
          <w:tcPr>
            <w:tcW w:w="3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3,523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4,662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6,548</w:t>
            </w:r>
          </w:p>
        </w:tc>
        <w:tc>
          <w:tcPr>
            <w:tcW w:w="0" w:type="dxa"/>
            <w:vAlign w:val="bottom"/>
          </w:tcPr>
          <w:p>
            <w:pPr>
              <w:spacing w:after="0"/>
              <w:rPr>
                <w:sz w:val="1"/>
                <w:szCs w:val="1"/>
                <w:color w:val="auto"/>
              </w:rPr>
            </w:pPr>
          </w:p>
        </w:tc>
      </w:tr>
      <w:tr>
        <w:trPr>
          <w:trHeight w:val="209"/>
        </w:trPr>
        <w:tc>
          <w:tcPr>
            <w:tcW w:w="3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289,817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319,143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287,105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312,942</w:t>
            </w:r>
          </w:p>
        </w:tc>
        <w:tc>
          <w:tcPr>
            <w:tcW w:w="0" w:type="dxa"/>
            <w:vAlign w:val="bottom"/>
          </w:tcPr>
          <w:p>
            <w:pPr>
              <w:spacing w:after="0"/>
              <w:rPr>
                <w:sz w:val="1"/>
                <w:szCs w:val="1"/>
                <w:color w:val="auto"/>
              </w:rPr>
            </w:pPr>
          </w:p>
        </w:tc>
      </w:tr>
      <w:tr>
        <w:trPr>
          <w:trHeight w:val="252"/>
        </w:trPr>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Losses and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(benefit) for losses and LAE</w:t>
            </w:r>
          </w:p>
        </w:tc>
        <w:tc>
          <w:tcPr>
            <w:tcW w:w="2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151"/>
        </w:trPr>
        <w:tc>
          <w:tcPr>
            <w:tcW w:w="3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16,793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17,756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33,364</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 and other taxes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5,938</w:t>
            </w: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Ceding commission</w:t>
            </w: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(6,910)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(5,715)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(5,715)</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underwriting and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11,128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32,615</w:t>
            </w:r>
          </w:p>
        </w:tc>
        <w:tc>
          <w:tcPr>
            <w:tcW w:w="0" w:type="dxa"/>
            <w:vAlign w:val="bottom"/>
          </w:tcPr>
          <w:p>
            <w:pPr>
              <w:spacing w:after="0"/>
              <w:rPr>
                <w:sz w:val="1"/>
                <w:szCs w:val="1"/>
                <w:color w:val="auto"/>
              </w:rPr>
            </w:pPr>
          </w:p>
        </w:tc>
      </w:tr>
      <w:tr>
        <w:trPr>
          <w:trHeight w:val="206"/>
        </w:trPr>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operating expenses before allocations</w:t>
            </w:r>
          </w:p>
        </w:tc>
        <w:tc>
          <w:tcPr>
            <w:tcW w:w="20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27,011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62,765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28,396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66,202</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expense allocations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expenses after allocations</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36,252</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26,513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62,765</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39,236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26,966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66,202</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7,849</w:t>
            </w:r>
          </w:p>
        </w:tc>
        <w:tc>
          <w:tcPr>
            <w:tcW w:w="0" w:type="dxa"/>
            <w:vAlign w:val="bottom"/>
          </w:tcPr>
          <w:p>
            <w:pPr>
              <w:spacing w:after="0"/>
              <w:rPr>
                <w:sz w:val="1"/>
                <w:szCs w:val="1"/>
                <w:color w:val="auto"/>
              </w:rPr>
            </w:pPr>
          </w:p>
        </w:tc>
      </w:tr>
      <w:tr>
        <w:trPr>
          <w:trHeight w:val="20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238,206</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(7,031)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231,175</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249,094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(9,869)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239,225</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Loss ratio (1)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 ratio (2)</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Combined ratio</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20" w:hanging="195"/>
        <w:spacing w:after="0"/>
        <w:tabs>
          <w:tab w:leader="none" w:pos="22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Loss ratio is calculated by dividing the provision (benefit) for losses and LAE by net premiums earned.</w:t>
      </w:r>
    </w:p>
    <w:p>
      <w:pPr>
        <w:spacing w:after="0" w:line="31" w:lineRule="exact"/>
        <w:rPr>
          <w:rFonts w:ascii="Times New Roman" w:cs="Times New Roman" w:eastAsia="Times New Roman" w:hAnsi="Times New Roman"/>
          <w:sz w:val="14"/>
          <w:szCs w:val="14"/>
          <w:b w:val="1"/>
          <w:bCs w:val="1"/>
          <w:color w:val="auto"/>
        </w:rPr>
      </w:pPr>
    </w:p>
    <w:p>
      <w:pPr>
        <w:ind w:left="220" w:hanging="195"/>
        <w:spacing w:after="0"/>
        <w:tabs>
          <w:tab w:leader="none" w:pos="22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Expense ratio is calculated by dividing operating expenses after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08977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9775" cy="12827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7"/>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7"/>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0" w:type="dxa"/>
            <w:vAlign w:val="bottom"/>
          </w:tcPr>
          <w:p>
            <w:pPr>
              <w:spacing w:after="0"/>
              <w:rPr>
                <w:sz w:val="1"/>
                <w:szCs w:val="1"/>
                <w:color w:val="auto"/>
              </w:rPr>
            </w:pPr>
          </w:p>
        </w:tc>
      </w:tr>
      <w:tr>
        <w:trPr>
          <w:trHeight w:val="158"/>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3"/>
                <w:szCs w:val="13"/>
                <w:color w:val="auto"/>
              </w:rPr>
            </w:pPr>
          </w:p>
        </w:tc>
        <w:tc>
          <w:tcPr>
            <w:tcW w:w="106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Mortgage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&amp;</w:t>
            </w:r>
          </w:p>
        </w:tc>
        <w:tc>
          <w:tcPr>
            <w:tcW w:w="14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Pr>
          <w:p>
            <w:pPr>
              <w:spacing w:after="0"/>
              <w:rPr>
                <w:sz w:val="13"/>
                <w:szCs w:val="13"/>
                <w:color w:val="auto"/>
              </w:rPr>
            </w:pPr>
          </w:p>
        </w:tc>
        <w:tc>
          <w:tcPr>
            <w:tcW w:w="106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Mortgage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&amp;</w:t>
            </w:r>
          </w:p>
        </w:tc>
        <w:tc>
          <w:tcPr>
            <w:tcW w:w="120" w:type="dxa"/>
            <w:vAlign w:val="bottom"/>
          </w:tcPr>
          <w:p>
            <w:pPr>
              <w:spacing w:after="0"/>
              <w:rPr>
                <w:sz w:val="13"/>
                <w:szCs w:val="13"/>
                <w:color w:val="auto"/>
              </w:rPr>
            </w:pPr>
          </w:p>
        </w:tc>
        <w:tc>
          <w:tcPr>
            <w:tcW w:w="11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premiums earned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467,537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494,657</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465,564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497,481</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96,522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90,909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108,171</w:t>
            </w: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Realized investment losses, net</w:t>
            </w: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other invested assets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0" w:type="dxa"/>
            <w:vAlign w:val="bottom"/>
          </w:tcPr>
          <w:p>
            <w:pPr>
              <w:spacing w:after="0"/>
              <w:rPr>
                <w:sz w:val="1"/>
                <w:szCs w:val="1"/>
                <w:color w:val="auto"/>
              </w:rPr>
            </w:pPr>
          </w:p>
        </w:tc>
      </w:tr>
      <w:tr>
        <w:trPr>
          <w:trHeight w:val="213"/>
        </w:trPr>
        <w:tc>
          <w:tcPr>
            <w:tcW w:w="3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8,024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6,562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10,285</w:t>
            </w:r>
          </w:p>
        </w:tc>
        <w:tc>
          <w:tcPr>
            <w:tcW w:w="0" w:type="dxa"/>
            <w:vAlign w:val="bottom"/>
          </w:tcPr>
          <w:p>
            <w:pPr>
              <w:spacing w:after="0"/>
              <w:rPr>
                <w:sz w:val="1"/>
                <w:szCs w:val="1"/>
                <w:color w:val="auto"/>
              </w:rPr>
            </w:pPr>
          </w:p>
        </w:tc>
      </w:tr>
      <w:tr>
        <w:trPr>
          <w:trHeight w:val="209"/>
        </w:trPr>
        <w:tc>
          <w:tcPr>
            <w:tcW w:w="3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578,686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58,015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636,701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561,853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49,446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611,299</w:t>
            </w:r>
          </w:p>
        </w:tc>
        <w:tc>
          <w:tcPr>
            <w:tcW w:w="0" w:type="dxa"/>
            <w:vAlign w:val="bottom"/>
          </w:tcPr>
          <w:p>
            <w:pPr>
              <w:spacing w:after="0"/>
              <w:rPr>
                <w:sz w:val="1"/>
                <w:szCs w:val="1"/>
                <w:color w:val="auto"/>
              </w:rPr>
            </w:pPr>
          </w:p>
        </w:tc>
      </w:tr>
      <w:tr>
        <w:trPr>
          <w:trHeight w:val="252"/>
        </w:trPr>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Losses and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(benefit) for losses and LAE</w:t>
            </w:r>
          </w:p>
        </w:tc>
        <w:tc>
          <w:tcPr>
            <w:tcW w:w="2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46,081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9,579</w:t>
            </w:r>
          </w:p>
        </w:tc>
        <w:tc>
          <w:tcPr>
            <w:tcW w:w="0" w:type="dxa"/>
            <w:vAlign w:val="bottom"/>
          </w:tcPr>
          <w:p>
            <w:pPr>
              <w:spacing w:after="0"/>
              <w:rPr>
                <w:sz w:val="1"/>
                <w:szCs w:val="1"/>
                <w:color w:val="auto"/>
              </w:rPr>
            </w:pPr>
          </w:p>
        </w:tc>
      </w:tr>
      <w:tr>
        <w:trPr>
          <w:trHeight w:val="151"/>
        </w:trPr>
        <w:tc>
          <w:tcPr>
            <w:tcW w:w="3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36,683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36,463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68,073</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 and other taxes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11,672</w:t>
            </w: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Ceding commission</w:t>
            </w: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(13,418)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(11,268)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(11,268)</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underwriting and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22,765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40,733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63,498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22,252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64,565</w:t>
            </w:r>
          </w:p>
        </w:tc>
        <w:tc>
          <w:tcPr>
            <w:tcW w:w="0" w:type="dxa"/>
            <w:vAlign w:val="bottom"/>
          </w:tcPr>
          <w:p>
            <w:pPr>
              <w:spacing w:after="0"/>
              <w:rPr>
                <w:sz w:val="1"/>
                <w:szCs w:val="1"/>
                <w:color w:val="auto"/>
              </w:rPr>
            </w:pPr>
          </w:p>
        </w:tc>
      </w:tr>
      <w:tr>
        <w:trPr>
          <w:trHeight w:val="206"/>
        </w:trPr>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operating expenses before allocations</w:t>
            </w:r>
          </w:p>
        </w:tc>
        <w:tc>
          <w:tcPr>
            <w:tcW w:w="20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57,604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58,623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133,042</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expense allocations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22,255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22,458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expenses after allocations</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79,859</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54,030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81,081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51,961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133,042</w:t>
            </w:r>
          </w:p>
        </w:tc>
        <w:tc>
          <w:tcPr>
            <w:tcW w:w="0" w:type="dxa"/>
            <w:vAlign w:val="bottom"/>
          </w:tcPr>
          <w:p>
            <w:pPr>
              <w:spacing w:after="0"/>
              <w:rPr>
                <w:sz w:val="1"/>
                <w:szCs w:val="1"/>
                <w:color w:val="auto"/>
              </w:rPr>
            </w:pPr>
          </w:p>
        </w:tc>
      </w:tr>
      <w:tr>
        <w:trPr>
          <w:trHeight w:val="218"/>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15,711</w:t>
            </w:r>
          </w:p>
        </w:tc>
        <w:tc>
          <w:tcPr>
            <w:tcW w:w="0" w:type="dxa"/>
            <w:vAlign w:val="bottom"/>
          </w:tcPr>
          <w:p>
            <w:pPr>
              <w:spacing w:after="0"/>
              <w:rPr>
                <w:sz w:val="1"/>
                <w:szCs w:val="1"/>
                <w:color w:val="auto"/>
              </w:rPr>
            </w:pPr>
          </w:p>
        </w:tc>
      </w:tr>
      <w:tr>
        <w:trPr>
          <w:trHeight w:val="20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452,746</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(14,572)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438,174</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472,660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(19,693)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452,967</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Loss ratio (1)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 ratio (2)</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Combined ratio</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20" w:hanging="195"/>
        <w:spacing w:after="0"/>
        <w:tabs>
          <w:tab w:leader="none" w:pos="22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Loss ratio is calculated by dividing the provision (benefit) for losses and LAE by net premiums earned.</w:t>
      </w:r>
    </w:p>
    <w:p>
      <w:pPr>
        <w:spacing w:after="0" w:line="31" w:lineRule="exact"/>
        <w:rPr>
          <w:rFonts w:ascii="Times New Roman" w:cs="Times New Roman" w:eastAsia="Times New Roman" w:hAnsi="Times New Roman"/>
          <w:sz w:val="14"/>
          <w:szCs w:val="14"/>
          <w:b w:val="1"/>
          <w:bCs w:val="1"/>
          <w:color w:val="auto"/>
        </w:rPr>
      </w:pPr>
    </w:p>
    <w:p>
      <w:pPr>
        <w:ind w:left="220" w:hanging="195"/>
        <w:spacing w:after="0"/>
        <w:tabs>
          <w:tab w:leader="none" w:pos="22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Expense ratio is calculated by dividing operating expenses after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089775" cy="128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977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right="20" w:firstLine="646"/>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together with the “Selected Financial Data” and our audited consolidated financial statements and related notes included in our Annual Report on Form 10-K as of and for the year ended December 31, 2024 as filed with the Securities and Exchange Commission and referred to herein as the “Annual Report,” and our condensed consolidated financial statements and related notes as of and for the three and six months ended June 30, 2025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380" w:firstLine="646"/>
        <w:spacing w:after="0" w:line="265" w:lineRule="auto"/>
        <w:rPr>
          <w:sz w:val="20"/>
          <w:szCs w:val="20"/>
          <w:color w:val="auto"/>
        </w:rPr>
      </w:pPr>
      <w:r>
        <w:rPr>
          <w:rFonts w:ascii="Times New Roman" w:cs="Times New Roman" w:eastAsia="Times New Roman" w:hAnsi="Times New Roman"/>
          <w:sz w:val="18"/>
          <w:szCs w:val="18"/>
          <w:color w:val="auto"/>
        </w:rPr>
        <w:t>Essent Group Ltd. (collectively with its subsidiaries, “Essent”) serves the housing finance industry by offering private mortgage insurance and reinsurance, title insurance and settlement services to mortgage lenders, borrowers and investors to support homeownership. We have one reportable segment: Mortgage Insurance.</w:t>
      </w:r>
    </w:p>
    <w:p>
      <w:pPr>
        <w:spacing w:after="0" w:line="202" w:lineRule="exact"/>
        <w:rPr>
          <w:sz w:val="20"/>
          <w:szCs w:val="20"/>
          <w:color w:val="auto"/>
        </w:rPr>
      </w:pPr>
    </w:p>
    <w:p>
      <w:pPr>
        <w:ind w:right="20" w:firstLine="646"/>
        <w:spacing w:after="0" w:line="244" w:lineRule="auto"/>
        <w:rPr>
          <w:sz w:val="20"/>
          <w:szCs w:val="20"/>
          <w:color w:val="auto"/>
        </w:rPr>
      </w:pPr>
      <w:r>
        <w:rPr>
          <w:rFonts w:ascii="Times New Roman" w:cs="Times New Roman" w:eastAsia="Times New Roman" w:hAnsi="Times New Roman"/>
          <w:sz w:val="18"/>
          <w:szCs w:val="18"/>
          <w:color w:val="auto"/>
        </w:rPr>
        <w:t>Essent Guaranty, Inc., our wholly-owned mortgage insurance subsidiary which we refer to as "Essent Guaranty," is approved by Fannie Mae and Freddie Mac and licensed to write coverage in all 50 states and the District of Columbia. Our mortgage insurance operations generated new insurance written, or NIW, of approximately $12.5 billion and $22.5 billion for the three and six months ended June 30, 2025, respectively, compared to approximately $12.5 billion and $20.8 billion for the three and six months ended June 30, 2024, respectively. The financial strength ratings of Essent Guaranty are A2 with a stable outlook by Moody’s Investors Service (“Moody's”) (up from A3 with a positive outlook as a result of an upgrade by Moody’s announced on August 6, 2025), A- with a stable outlook by S&amp;P Global Ratings (“S&amp;P”) and A (Excellent) with a stable outlook by A.M. Best Ratings Services, Inc. ("AM Best").</w:t>
      </w:r>
    </w:p>
    <w:p>
      <w:pPr>
        <w:spacing w:after="0" w:line="114" w:lineRule="exact"/>
        <w:rPr>
          <w:sz w:val="20"/>
          <w:szCs w:val="20"/>
          <w:color w:val="auto"/>
        </w:rPr>
      </w:pPr>
    </w:p>
    <w:p>
      <w:pPr>
        <w:ind w:right="80" w:firstLine="404"/>
        <w:spacing w:after="0" w:line="257" w:lineRule="auto"/>
        <w:rPr>
          <w:sz w:val="20"/>
          <w:szCs w:val="20"/>
          <w:color w:val="auto"/>
        </w:rPr>
      </w:pPr>
      <w:r>
        <w:rPr>
          <w:rFonts w:ascii="Times New Roman" w:cs="Times New Roman" w:eastAsia="Times New Roman" w:hAnsi="Times New Roman"/>
          <w:sz w:val="18"/>
          <w:szCs w:val="18"/>
          <w:color w:val="auto"/>
        </w:rPr>
        <w:t>Through our wholly-owned Bermuda-based subsidiary, Essent Reinsurance Ltd., which we refer to as "Essent Re", we reinsure U.S. mortgage risk in the GSE credit risk transfer market and provide underwriting consulting services to third-party reinsurers. As of June 30, 2025, Essent Re provided insurance or reinsurance relating to GSE risk share and other reinsurance transactions covering approximately $2.3 billion of risk. Essent Re also reinsures Essent Guaranty’s NIW under a quota share reinsurance agreement. The insurer financial strength ratings of Essent Re are A- with a stable outlook by S&amp;P and A (Excellent) with a stable outlook by AM Best.</w:t>
      </w:r>
    </w:p>
    <w:p>
      <w:pPr>
        <w:spacing w:after="0" w:line="116" w:lineRule="exact"/>
        <w:rPr>
          <w:sz w:val="20"/>
          <w:szCs w:val="20"/>
          <w:color w:val="auto"/>
        </w:rPr>
      </w:pPr>
    </w:p>
    <w:p>
      <w:pPr>
        <w:ind w:right="500" w:firstLine="404"/>
        <w:spacing w:after="0" w:line="259" w:lineRule="auto"/>
        <w:rPr>
          <w:sz w:val="20"/>
          <w:szCs w:val="20"/>
          <w:color w:val="auto"/>
        </w:rPr>
      </w:pPr>
      <w:r>
        <w:rPr>
          <w:rFonts w:ascii="Times New Roman" w:cs="Times New Roman" w:eastAsia="Times New Roman" w:hAnsi="Times New Roman"/>
          <w:sz w:val="18"/>
          <w:szCs w:val="18"/>
          <w:color w:val="auto"/>
        </w:rPr>
        <w:t>We also offer title insurance products both directly and through a network of title insurance agents, as well as title and settlement services. This operating segment was established upon our acquisitions of Agents National Title Insurance Company (renamed Essent Title Insurance, Inc. effective January 1, 2025), a title insurance underwriter, and Boston National Title, a national title agency, which was effective July 1, 2023. Title insurance operations are included in the Corporate &amp; Other category.</w:t>
      </w:r>
    </w:p>
    <w:p>
      <w:pPr>
        <w:spacing w:after="0" w:line="102" w:lineRule="exact"/>
        <w:rPr>
          <w:sz w:val="20"/>
          <w:szCs w:val="20"/>
          <w:color w:val="auto"/>
        </w:rPr>
      </w:pPr>
    </w:p>
    <w:p>
      <w:pPr>
        <w:ind w:right="700" w:firstLine="646"/>
        <w:spacing w:after="0" w:line="280" w:lineRule="auto"/>
        <w:rPr>
          <w:sz w:val="20"/>
          <w:szCs w:val="20"/>
          <w:color w:val="auto"/>
        </w:rPr>
      </w:pPr>
      <w:r>
        <w:rPr>
          <w:rFonts w:ascii="Times New Roman" w:cs="Times New Roman" w:eastAsia="Times New Roman" w:hAnsi="Times New Roman"/>
          <w:sz w:val="18"/>
          <w:szCs w:val="18"/>
          <w:color w:val="auto"/>
        </w:rPr>
        <w:t>We have a highly experienced, talented team with 521 employees as of June 30, 2025. Our holding company and reinsurance business are domiciled in Bermuda. Our U.S. mortgage insurance and title insurance operations are headquartered in Radnor, Pennsylvania.</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Current Developments</w:t>
      </w:r>
    </w:p>
    <w:p>
      <w:pPr>
        <w:spacing w:after="0" w:line="160" w:lineRule="exact"/>
        <w:rPr>
          <w:sz w:val="20"/>
          <w:szCs w:val="20"/>
          <w:color w:val="auto"/>
        </w:rPr>
      </w:pPr>
    </w:p>
    <w:p>
      <w:pPr>
        <w:ind w:firstLine="404"/>
        <w:spacing w:after="0" w:line="257"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As a result of progress on inflation, the Federal Reserve has reduced the target federal funds rate by 100 basis points since September 2024. Mortgage interest rates, however, remain elevated, which has reduced home buying and mortgage refinance activity resulting in lower volumes of mortgage originations, NIW and title insurance and settlement service transactions. Higher interest rates have also resulted in increases in our net investment income generated by our investment portfolio and the persistency of our mortgage insurance in force.</w:t>
      </w:r>
    </w:p>
    <w:p>
      <w:pPr>
        <w:spacing w:after="0" w:line="102" w:lineRule="exact"/>
        <w:rPr>
          <w:sz w:val="20"/>
          <w:szCs w:val="20"/>
          <w:color w:val="auto"/>
        </w:rPr>
      </w:pPr>
    </w:p>
    <w:p>
      <w:pPr>
        <w:ind w:right="200" w:firstLine="404"/>
        <w:spacing w:after="0" w:line="257"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Based on prior industry experience, we expect the ultimate number of hurricane-related defaults that result in claims will be less than the default-to-claim experience of non-hurricane-related defaults. The impact on our reserves in future periods will be dependent upon the performance of the hurricane-related defaults and our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expectations for the amount of ultimate losses on these delinquencies.</w:t>
      </w:r>
    </w:p>
    <w:p>
      <w:pPr>
        <w:spacing w:after="0" w:line="143" w:lineRule="exact"/>
        <w:rPr>
          <w:sz w:val="20"/>
          <w:szCs w:val="20"/>
          <w:color w:val="auto"/>
        </w:rPr>
      </w:pPr>
    </w:p>
    <w:p>
      <w:pPr>
        <w:ind w:right="20" w:firstLine="404"/>
        <w:spacing w:after="0" w:line="265" w:lineRule="auto"/>
        <w:rPr>
          <w:sz w:val="20"/>
          <w:szCs w:val="20"/>
          <w:color w:val="auto"/>
        </w:rPr>
      </w:pPr>
      <w:r>
        <w:rPr>
          <w:rFonts w:ascii="Times New Roman" w:cs="Times New Roman" w:eastAsia="Times New Roman" w:hAnsi="Times New Roman"/>
          <w:sz w:val="18"/>
          <w:szCs w:val="18"/>
          <w:color w:val="auto"/>
        </w:rPr>
        <w:t>In January 2025, several wildfires caused property damage in Southern California. As of June 30, 2025 our insurance in force in areas with Federal Emergency Management Agency (FEMA) disaster declarations due to these wildfires was less than 0.1% of our total insurance in force. These wildfires are not expected to have a material impact our reserves.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and Regulatory Developments</w:t>
      </w:r>
    </w:p>
    <w:p>
      <w:pPr>
        <w:spacing w:after="0" w:line="227" w:lineRule="exact"/>
        <w:rPr>
          <w:sz w:val="20"/>
          <w:szCs w:val="20"/>
          <w:color w:val="auto"/>
        </w:rPr>
      </w:pPr>
    </w:p>
    <w:p>
      <w:pPr>
        <w:ind w:right="20" w:firstLine="646"/>
        <w:spacing w:after="0" w:line="259" w:lineRule="auto"/>
        <w:rPr>
          <w:sz w:val="20"/>
          <w:szCs w:val="20"/>
          <w:color w:val="auto"/>
        </w:rPr>
      </w:pPr>
      <w:r>
        <w:rPr>
          <w:rFonts w:ascii="Times New Roman" w:cs="Times New Roman" w:eastAsia="Times New Roman" w:hAnsi="Times New Roman"/>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 Tax Reform</w:t>
      </w:r>
    </w:p>
    <w:p>
      <w:pPr>
        <w:spacing w:after="0" w:line="254"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enacted, which, among other things, provides for a corporate alternative minimum tax and an excise tax on corporate stock repurchases. Based on our current analysis of the provisions, we do not expect the IRA to have a material impact on our financial position or results of operations. As the IRS issues additional guidance related to the IRA, we will evaluate any potential impact to our consolidated financial statements.</w:t>
      </w:r>
    </w:p>
    <w:p>
      <w:pPr>
        <w:spacing w:after="0" w:line="210" w:lineRule="exact"/>
        <w:rPr>
          <w:sz w:val="20"/>
          <w:szCs w:val="20"/>
          <w:color w:val="auto"/>
        </w:rPr>
      </w:pPr>
    </w:p>
    <w:p>
      <w:pPr>
        <w:ind w:right="140" w:firstLine="646"/>
        <w:spacing w:after="0" w:line="265" w:lineRule="auto"/>
        <w:rPr>
          <w:sz w:val="20"/>
          <w:szCs w:val="20"/>
          <w:color w:val="auto"/>
        </w:rPr>
      </w:pPr>
      <w:r>
        <w:rPr>
          <w:rFonts w:ascii="Times New Roman" w:cs="Times New Roman" w:eastAsia="Times New Roman" w:hAnsi="Times New Roman"/>
          <w:sz w:val="18"/>
          <w:szCs w:val="18"/>
          <w:color w:val="auto"/>
        </w:rPr>
        <w:t>On July 4, 2025, a budget reconciliation package known as the One Big Beautiful Bill Act of 2025 (“OBBBA”) was enacted which includes both tax and non-tax provisions. Based on our current analysis of the provisions, we do not expect the OBBBA to have a material impact on our financial position or results of operations.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Bermuda Corporate Income Tax</w:t>
      </w:r>
    </w:p>
    <w:p>
      <w:pPr>
        <w:spacing w:after="0" w:line="160" w:lineRule="exact"/>
        <w:rPr>
          <w:sz w:val="20"/>
          <w:szCs w:val="20"/>
          <w:color w:val="auto"/>
        </w:rPr>
      </w:pPr>
    </w:p>
    <w:p>
      <w:pPr>
        <w:ind w:right="20" w:firstLine="646"/>
        <w:spacing w:after="0" w:line="265" w:lineRule="auto"/>
        <w:rPr>
          <w:sz w:val="20"/>
          <w:szCs w:val="20"/>
          <w:color w:val="auto"/>
        </w:rPr>
      </w:pPr>
      <w:r>
        <w:rPr>
          <w:rFonts w:ascii="Times New Roman" w:cs="Times New Roman" w:eastAsia="Times New Roman" w:hAnsi="Times New Roman"/>
          <w:sz w:val="18"/>
          <w:szCs w:val="18"/>
          <w:color w:val="auto"/>
        </w:rPr>
        <w:t>On December 27, 2023, the Government of Bermuda enacted the Corporate Income Tax Act 2023 (CIT). Starting January 1, 2025, the CIT will result in a new 15% corporate income tax on in-scope entities that are resident in Bermuda or that have a Bermuda permanent establishment, without regard to any assurances that had previously been given pursuant to the Exempted Undertakings Tax Protection Act 1966.</w:t>
      </w:r>
    </w:p>
    <w:p>
      <w:pPr>
        <w:spacing w:after="0" w:line="95"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The CIT also includes various transitional provisions and elections that we are in the process of evaluating. In particular, we believe that, based on their current structure and operations, our Bermuda companies will be eligible to elect a five-year “limited international presence” exemption under the CIT. We intend to make this election within the timeframe required under Bermuda law, and therefore do not expect the CIT to have a material impact upon our effective tax rate until we no longer meet the exemption criteria, or January 1, 2030, the fifth anniversary of the inception date of the tax, whichever may occur sooner. The exemption criteria are subject to interpretation of existing Bermuda law, as well as any related new regulations that may be issued by the Government of Bermuda. No assurances can be made that we will continue meeting such criteria for the entire five-year period.</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7" w:lineRule="exact"/>
        <w:rPr>
          <w:sz w:val="20"/>
          <w:szCs w:val="20"/>
          <w:color w:val="auto"/>
        </w:rPr>
      </w:pPr>
    </w:p>
    <w:p>
      <w:pPr>
        <w:ind w:right="60" w:firstLine="646"/>
        <w:spacing w:after="0" w:line="257" w:lineRule="auto"/>
        <w:rPr>
          <w:sz w:val="20"/>
          <w:szCs w:val="20"/>
          <w:color w:val="auto"/>
        </w:rPr>
      </w:pPr>
      <w:r>
        <w:rPr>
          <w:rFonts w:ascii="Times New Roman" w:cs="Times New Roman" w:eastAsia="Times New Roman" w:hAnsi="Times New Roman"/>
          <w:sz w:val="18"/>
          <w:szCs w:val="18"/>
          <w:color w:val="auto"/>
        </w:rPr>
        <w:t>Premiums associated with our U.S. mortgage insurance business are based on mortgage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3" w:lineRule="exact"/>
        <w:rPr>
          <w:sz w:val="20"/>
          <w:szCs w:val="20"/>
          <w:color w:val="auto"/>
        </w:rPr>
      </w:pPr>
    </w:p>
    <w:p>
      <w:pPr>
        <w:ind w:left="660" w:right="160" w:hanging="330"/>
        <w:spacing w:after="0" w:line="265"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660" w:right="40" w:hanging="330"/>
        <w:spacing w:after="0" w:line="28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62" w:lineRule="exact"/>
        <w:rPr>
          <w:rFonts w:ascii="Times New Roman" w:cs="Times New Roman" w:eastAsia="Times New Roman" w:hAnsi="Times New Roman"/>
          <w:sz w:val="18"/>
          <w:szCs w:val="18"/>
          <w:color w:val="auto"/>
        </w:rPr>
      </w:pPr>
    </w:p>
    <w:p>
      <w:pPr>
        <w:ind w:left="660" w:right="260" w:hanging="330"/>
        <w:spacing w:after="0" w:line="28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8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ceded or assumed under reinsurance arrangements. See Note 4 to our condensed consolidated financial statements.</w:t>
      </w:r>
    </w:p>
    <w:p>
      <w:pPr>
        <w:spacing w:after="0" w:line="223" w:lineRule="exact"/>
        <w:rPr>
          <w:sz w:val="20"/>
          <w:szCs w:val="20"/>
          <w:color w:val="auto"/>
        </w:rPr>
      </w:pPr>
    </w:p>
    <w:p>
      <w:pPr>
        <w:ind w:right="20" w:firstLine="646"/>
        <w:spacing w:after="0" w:line="253" w:lineRule="auto"/>
        <w:rPr>
          <w:sz w:val="20"/>
          <w:szCs w:val="20"/>
          <w:color w:val="auto"/>
        </w:rPr>
      </w:pPr>
      <w:r>
        <w:rPr>
          <w:rFonts w:ascii="Times New Roman" w:cs="Times New Roman" w:eastAsia="Times New Roman" w:hAnsi="Times New Roman"/>
          <w:sz w:val="18"/>
          <w:szCs w:val="18"/>
          <w:color w:val="auto"/>
        </w:rPr>
        <w:t>Mortgage insurance 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June 30, 2025 were non-refundable. Premiums collected on annual policies are recognized as net premiums earned on a straight-line basis over the year of coverage. For the six months ended June 30, 2025 and 2024, monthly premium policies comprised 99% and 98% of our NIW, respectively.</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Premiums associated with our GSE and other risk share transactions are based on the level of risk in force and premium rates on the transactions.</w:t>
      </w:r>
    </w:p>
    <w:p>
      <w:pPr>
        <w:spacing w:after="0" w:line="250" w:lineRule="exact"/>
        <w:rPr>
          <w:sz w:val="20"/>
          <w:szCs w:val="20"/>
          <w:color w:val="auto"/>
        </w:rPr>
      </w:pPr>
    </w:p>
    <w:p>
      <w:pPr>
        <w:ind w:right="180" w:firstLine="646"/>
        <w:spacing w:after="0" w:line="280" w:lineRule="auto"/>
        <w:rPr>
          <w:sz w:val="20"/>
          <w:szCs w:val="20"/>
          <w:color w:val="auto"/>
        </w:rPr>
      </w:pPr>
      <w:r>
        <w:rPr>
          <w:rFonts w:ascii="Times New Roman" w:cs="Times New Roman" w:eastAsia="Times New Roman" w:hAnsi="Times New Roman"/>
          <w:sz w:val="18"/>
          <w:szCs w:val="18"/>
          <w:color w:val="auto"/>
        </w:rPr>
        <w:t>Title insurance premiums are based on the number of title insurance policies issued and generally recognized as income at the transaction closing date which approximates the policy effective date.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and Business Mix</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85.8% at June 30, 2025. Generally, higher prepayment speeds lead to lower persistency.</w:t>
      </w:r>
    </w:p>
    <w:p>
      <w:pPr>
        <w:spacing w:after="0" w:line="202" w:lineRule="exact"/>
        <w:rPr>
          <w:sz w:val="20"/>
          <w:szCs w:val="20"/>
          <w:color w:val="auto"/>
        </w:rPr>
      </w:pPr>
    </w:p>
    <w:p>
      <w:pPr>
        <w:ind w:right="20" w:firstLine="691"/>
        <w:spacing w:after="0" w:line="255" w:lineRule="auto"/>
        <w:rPr>
          <w:sz w:val="20"/>
          <w:szCs w:val="20"/>
          <w:color w:val="auto"/>
        </w:rPr>
      </w:pPr>
      <w:r>
        <w:rPr>
          <w:rFonts w:ascii="Times New Roman" w:cs="Times New Roman" w:eastAsia="Times New Roman" w:hAnsi="Times New Roman"/>
          <w:sz w:val="18"/>
          <w:szCs w:val="18"/>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7" w:lineRule="exact"/>
        <w:rPr>
          <w:sz w:val="20"/>
          <w:szCs w:val="20"/>
          <w:color w:val="auto"/>
        </w:rPr>
      </w:pPr>
    </w:p>
    <w:p>
      <w:pPr>
        <w:ind w:right="60" w:firstLine="646"/>
        <w:spacing w:after="0" w:line="254" w:lineRule="auto"/>
        <w:rPr>
          <w:sz w:val="20"/>
          <w:szCs w:val="20"/>
          <w:color w:val="auto"/>
        </w:rPr>
      </w:pPr>
      <w:r>
        <w:rPr>
          <w:rFonts w:ascii="Times New Roman" w:cs="Times New Roman" w:eastAsia="Times New Roman" w:hAnsi="Times New Roman"/>
          <w:sz w:val="18"/>
          <w:szCs w:val="18"/>
          <w:color w:val="auto"/>
        </w:rPr>
        <w:t>Our investment portfolio was predominantly comprised of investment-grade fixed income securities and money market funds as of June 30, 2025.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from Other Invested Assets</w:t>
      </w:r>
    </w:p>
    <w:p>
      <w:pPr>
        <w:spacing w:after="0" w:line="254" w:lineRule="exact"/>
        <w:rPr>
          <w:sz w:val="20"/>
          <w:szCs w:val="20"/>
          <w:color w:val="auto"/>
        </w:rPr>
      </w:pPr>
    </w:p>
    <w:p>
      <w:pPr>
        <w:ind w:right="80" w:firstLine="646"/>
        <w:spacing w:after="0" w:line="255" w:lineRule="auto"/>
        <w:rPr>
          <w:sz w:val="20"/>
          <w:szCs w:val="20"/>
          <w:color w:val="auto"/>
        </w:rPr>
      </w:pPr>
      <w:r>
        <w:rPr>
          <w:rFonts w:ascii="Times New Roman" w:cs="Times New Roman" w:eastAsia="Times New Roman" w:hAnsi="Times New Roman"/>
          <w:sz w:val="18"/>
          <w:szCs w:val="18"/>
          <w:color w:val="auto"/>
        </w:rPr>
        <w:t>As part of our overall investment strategy, we also allocate a relatively small percentage of our portfolio to limited partnership investments in real estate, consumer credit and traditional venture capital and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7" w:lineRule="exact"/>
        <w:rPr>
          <w:sz w:val="20"/>
          <w:szCs w:val="20"/>
          <w:color w:val="auto"/>
        </w:rPr>
      </w:pPr>
    </w:p>
    <w:p>
      <w:pPr>
        <w:jc w:val="both"/>
        <w:ind w:right="220" w:firstLine="646"/>
        <w:spacing w:after="0" w:line="257" w:lineRule="auto"/>
        <w:rPr>
          <w:sz w:val="20"/>
          <w:szCs w:val="20"/>
          <w:color w:val="auto"/>
        </w:rPr>
      </w:pPr>
      <w:r>
        <w:rPr>
          <w:rFonts w:ascii="Times New Roman" w:cs="Times New Roman" w:eastAsia="Times New Roman" w:hAnsi="Times New Roman"/>
          <w:sz w:val="18"/>
          <w:szCs w:val="18"/>
          <w:color w:val="auto"/>
        </w:rPr>
        <w:t>Other income includes revenues associated with underwriting consulting services to third-party reinsurers, title settlement services and contract underwriting services. The level of these revenues are dependent upon the number of customers who have engaged us for these services. Revenue from underwriting consulting services to third-party reinsurers is also dependent upon the level of premiums associated with the transactions underwritten for these customers. Revenue from title settlement services and contract underwriting revenue are also dependent upon the number of loans underwritten for these customers.</w:t>
      </w:r>
    </w:p>
    <w:p>
      <w:pPr>
        <w:spacing w:after="0" w:line="210" w:lineRule="exact"/>
        <w:rPr>
          <w:sz w:val="20"/>
          <w:szCs w:val="20"/>
          <w:color w:val="auto"/>
        </w:rPr>
      </w:pPr>
    </w:p>
    <w:p>
      <w:pPr>
        <w:ind w:right="140" w:firstLine="646"/>
        <w:spacing w:after="0" w:line="259" w:lineRule="auto"/>
        <w:rPr>
          <w:sz w:val="20"/>
          <w:szCs w:val="20"/>
          <w:color w:val="auto"/>
        </w:rPr>
      </w:pPr>
      <w:r>
        <w:rPr>
          <w:rFonts w:ascii="Times New Roman" w:cs="Times New Roman" w:eastAsia="Times New Roman" w:hAnsi="Times New Roman"/>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flat monthly fee which is recorded in other income. During 2023, Triad entered into a three year renewal and extended the services agreement through November 2026.</w:t>
      </w:r>
    </w:p>
    <w:p>
      <w:pPr>
        <w:spacing w:after="0" w:line="183" w:lineRule="exact"/>
        <w:rPr>
          <w:sz w:val="20"/>
          <w:szCs w:val="20"/>
          <w:color w:val="auto"/>
        </w:rPr>
      </w:pPr>
    </w:p>
    <w:p>
      <w:pPr>
        <w:ind w:firstLine="169"/>
        <w:spacing w:after="0" w:line="265" w:lineRule="auto"/>
        <w:rPr>
          <w:sz w:val="20"/>
          <w:szCs w:val="20"/>
          <w:color w:val="auto"/>
        </w:rPr>
      </w:pPr>
      <w:r>
        <w:rPr>
          <w:rFonts w:ascii="Times New Roman" w:cs="Times New Roman" w:eastAsia="Times New Roman" w:hAnsi="Times New Roman"/>
          <w:sz w:val="18"/>
          <w:szCs w:val="18"/>
          <w:color w:val="auto"/>
        </w:rPr>
        <w:t>As more fully described in Note 4 to our condensed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7" w:lineRule="exact"/>
        <w:rPr>
          <w:sz w:val="20"/>
          <w:szCs w:val="20"/>
          <w:color w:val="auto"/>
        </w:rPr>
      </w:pPr>
    </w:p>
    <w:p>
      <w:pPr>
        <w:ind w:right="160" w:firstLine="646"/>
        <w:spacing w:after="0" w:line="280" w:lineRule="auto"/>
        <w:rPr>
          <w:sz w:val="20"/>
          <w:szCs w:val="20"/>
          <w:color w:val="auto"/>
        </w:rPr>
      </w:pPr>
      <w:r>
        <w:rPr>
          <w:rFonts w:ascii="Times New Roman" w:cs="Times New Roman" w:eastAsia="Times New Roman" w:hAnsi="Times New Roman"/>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Losses incurred are generally affected by:</w:t>
      </w:r>
    </w:p>
    <w:p>
      <w:pPr>
        <w:spacing w:after="0" w:line="223" w:lineRule="exact"/>
        <w:rPr>
          <w:sz w:val="20"/>
          <w:szCs w:val="20"/>
          <w:color w:val="auto"/>
        </w:rPr>
      </w:pPr>
    </w:p>
    <w:p>
      <w:pPr>
        <w:ind w:left="660" w:right="200" w:hanging="330"/>
        <w:spacing w:after="0" w:line="28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state of the economy, which broadly affects the likelihood that borrowers may default on their loans and have the ability to cure such defaults;</w:t>
      </w:r>
    </w:p>
    <w:p>
      <w:pPr>
        <w:spacing w:after="0" w:line="162" w:lineRule="exact"/>
        <w:rPr>
          <w:rFonts w:ascii="Times New Roman" w:cs="Times New Roman" w:eastAsia="Times New Roman" w:hAnsi="Times New Roman"/>
          <w:sz w:val="18"/>
          <w:szCs w:val="18"/>
          <w:color w:val="auto"/>
        </w:rPr>
      </w:pPr>
    </w:p>
    <w:p>
      <w:pPr>
        <w:ind w:left="660" w:right="220" w:hanging="330"/>
        <w:spacing w:after="0" w:line="311"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65" w:lineRule="exact"/>
        <w:rPr>
          <w:rFonts w:ascii="Times New Roman" w:cs="Times New Roman" w:eastAsia="Times New Roman" w:hAnsi="Times New Roman"/>
          <w:sz w:val="17"/>
          <w:szCs w:val="17"/>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mix of IIF, with loans having higher risk characteristics generally resulting in higher defaults and claims;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loans insured, with higher average loan amounts tending to increase losses incurred;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loan-to-value ratio, with higher average loan-to-value ratios tending to increase losses incurred;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coverage on insured loans, with deeper average coverage tending to increase losses incurred;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quality of borrowers, including higher debt-to-income ratios and lower FICO scores, which tend to increase incurred losses;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amount of reinsurance coverage maintained with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left="660" w:right="160" w:hanging="330"/>
        <w:spacing w:after="0" w:line="26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202" w:lineRule="exact"/>
        <w:rPr>
          <w:rFonts w:ascii="Times New Roman" w:cs="Times New Roman" w:eastAsia="Times New Roman" w:hAnsi="Times New Roman"/>
          <w:sz w:val="18"/>
          <w:szCs w:val="18"/>
          <w:color w:val="auto"/>
        </w:rPr>
      </w:pPr>
    </w:p>
    <w:p>
      <w:pPr>
        <w:ind w:left="660" w:hanging="330"/>
        <w:spacing w:after="0" w:line="25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claims over the life of a book. As of June 30, 2025, 41% of our IIF relates to business written since January 1, 2023 and was less than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183" w:lineRule="exact"/>
        <w:rPr>
          <w:sz w:val="20"/>
          <w:szCs w:val="20"/>
          <w:color w:val="auto"/>
        </w:rPr>
      </w:pPr>
    </w:p>
    <w:p>
      <w:pPr>
        <w:ind w:right="40" w:firstLine="646"/>
        <w:spacing w:after="0" w:line="255" w:lineRule="auto"/>
        <w:rPr>
          <w:sz w:val="20"/>
          <w:szCs w:val="20"/>
          <w:color w:val="auto"/>
        </w:rPr>
      </w:pPr>
      <w:r>
        <w:rPr>
          <w:rFonts w:ascii="Times New Roman" w:cs="Times New Roman" w:eastAsia="Times New Roman" w:hAnsi="Times New Roman"/>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87" w:lineRule="exact"/>
        <w:rPr>
          <w:sz w:val="20"/>
          <w:szCs w:val="20"/>
          <w:color w:val="auto"/>
        </w:rPr>
      </w:pPr>
    </w:p>
    <w:p>
      <w:pPr>
        <w:ind w:right="20" w:firstLine="646"/>
        <w:spacing w:after="0" w:line="261" w:lineRule="auto"/>
        <w:rPr>
          <w:sz w:val="20"/>
          <w:szCs w:val="20"/>
          <w:color w:val="auto"/>
        </w:rPr>
      </w:pPr>
      <w:r>
        <w:rPr>
          <w:rFonts w:ascii="Times New Roman" w:cs="Times New Roman" w:eastAsia="Times New Roman" w:hAnsi="Times New Roman"/>
          <w:sz w:val="17"/>
          <w:szCs w:val="17"/>
          <w:color w:val="auto"/>
        </w:rPr>
        <w:t>Based upon our experience and industry data, claims incidence for mortgage insurance is generally highest in the third through sixth years after loan origination. As of June 30, 2025, 41% of our IIF relates to business written since January 1, 2023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86" w:lineRule="exact"/>
        <w:rPr>
          <w:sz w:val="20"/>
          <w:szCs w:val="20"/>
          <w:color w:val="auto"/>
        </w:rPr>
      </w:pPr>
    </w:p>
    <w:p>
      <w:pPr>
        <w:ind w:firstLine="404"/>
        <w:spacing w:after="0" w:line="241"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As a result of subsequent reductions in inflation rates, the Federal Reserve has reduced the target federal funds rate by 100 basis points since September 2024. Mortgage interest rates, however, have remained elevated,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spacing w:after="0" w:line="104" w:lineRule="exact"/>
        <w:rPr>
          <w:sz w:val="20"/>
          <w:szCs w:val="20"/>
          <w:color w:val="auto"/>
        </w:rPr>
      </w:pPr>
    </w:p>
    <w:p>
      <w:pPr>
        <w:ind w:right="60" w:firstLine="404"/>
        <w:spacing w:after="0" w:line="235"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at December 31, 2024 included 2,119 defaults that we identified as hurricane-related defaults.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2024, we applied a lower estimated claim rate to new default notices received in the fourth quarter of 2024 from the affected areas than the claim rate we apply to other notices in our default inventory. The impact on our reserves in future periods will be dependent upon the performance of the hurricane-related defaults and our expectations for the amount of ultimate losses on these delinquencies. As of June 30, 2025, the reserves established for the Hurricane Milton and Helene defaults are materially unchanged from December 31, 2024 as this amount continues to be our best estimate of the ultimate losses to be incurred for claims associated with those defaults.</w:t>
      </w:r>
    </w:p>
    <w:p>
      <w:pPr>
        <w:spacing w:after="0" w:line="137" w:lineRule="exact"/>
        <w:rPr>
          <w:sz w:val="20"/>
          <w:szCs w:val="20"/>
          <w:color w:val="auto"/>
        </w:rPr>
      </w:pPr>
    </w:p>
    <w:p>
      <w:pPr>
        <w:jc w:val="both"/>
        <w:ind w:right="140" w:firstLine="404"/>
        <w:spacing w:after="0" w:line="265" w:lineRule="auto"/>
        <w:rPr>
          <w:sz w:val="20"/>
          <w:szCs w:val="20"/>
          <w:color w:val="auto"/>
        </w:rPr>
      </w:pPr>
      <w:r>
        <w:rPr>
          <w:rFonts w:ascii="Times New Roman" w:cs="Times New Roman" w:eastAsia="Times New Roman" w:hAnsi="Times New Roman"/>
          <w:sz w:val="18"/>
          <w:szCs w:val="18"/>
          <w:color w:val="auto"/>
        </w:rPr>
        <w:t>In January 2025, several wildfires caused property damage in Southern California. As of June 30, 2025, our insurance in force in areas with Federal Emergency Management Agency ("FEMA") disaster declarations due to these wildfires was less than 0.1% of our total insurance in force. These wildfires are not expected to have a material impact on our reserves.</w:t>
      </w:r>
    </w:p>
    <w:p>
      <w:pPr>
        <w:spacing w:after="0" w:line="108" w:lineRule="exact"/>
        <w:rPr>
          <w:sz w:val="20"/>
          <w:szCs w:val="20"/>
          <w:color w:val="auto"/>
        </w:rPr>
      </w:pPr>
    </w:p>
    <w:p>
      <w:pPr>
        <w:ind w:right="40" w:firstLine="444"/>
        <w:spacing w:after="0" w:line="257" w:lineRule="auto"/>
        <w:rPr>
          <w:sz w:val="20"/>
          <w:szCs w:val="20"/>
          <w:color w:val="auto"/>
        </w:rPr>
      </w:pPr>
      <w:r>
        <w:rPr>
          <w:rFonts w:ascii="Times New Roman" w:cs="Times New Roman" w:eastAsia="Times New Roman" w:hAnsi="Times New Roman"/>
          <w:sz w:val="18"/>
          <w:szCs w:val="18"/>
          <w:color w:val="auto"/>
        </w:rPr>
        <w:t>As more fully described in Note 4 to our condensed consolidated financial statements, at June 30, 2025, we had approximately $1.4 billion of excess of loss reinsurance covering NIW from January 1, 2018 through August 31, 2019 and August 1, 2020 through December 31, 2024 and quota share reinsurance on portions of our NIW effective September 1, 2019 through December 31, 2020 and January 1, 2022 through December 31, 2025. The impact on our reserves in future periods will be dependent upon the amount of delinquent notices received from loan servicers, the performance of defaults and our expectations for the amount of ultimate losses on these delinquencies.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Title Insurance</w:t>
      </w:r>
    </w:p>
    <w:p>
      <w:pPr>
        <w:spacing w:after="0" w:line="145" w:lineRule="exact"/>
        <w:rPr>
          <w:sz w:val="20"/>
          <w:szCs w:val="20"/>
          <w:color w:val="auto"/>
        </w:rPr>
      </w:pPr>
    </w:p>
    <w:p>
      <w:pPr>
        <w:ind w:right="160" w:firstLine="404"/>
        <w:spacing w:after="0" w:line="257" w:lineRule="auto"/>
        <w:rPr>
          <w:sz w:val="20"/>
          <w:szCs w:val="20"/>
          <w:color w:val="auto"/>
        </w:rPr>
      </w:pPr>
      <w:r>
        <w:rPr>
          <w:rFonts w:ascii="Times New Roman" w:cs="Times New Roman" w:eastAsia="Times New Roman" w:hAnsi="Times New Roman"/>
          <w:sz w:val="18"/>
          <w:szCs w:val="18"/>
          <w:color w:val="auto"/>
        </w:rPr>
        <w:t>Our reserve for title insurance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116" w:lineRule="exact"/>
        <w:rPr>
          <w:sz w:val="20"/>
          <w:szCs w:val="20"/>
          <w:color w:val="auto"/>
        </w:rPr>
      </w:pPr>
    </w:p>
    <w:p>
      <w:pPr>
        <w:ind w:right="20" w:firstLine="404"/>
        <w:spacing w:after="0" w:line="259" w:lineRule="auto"/>
        <w:rPr>
          <w:sz w:val="20"/>
          <w:szCs w:val="20"/>
          <w:color w:val="auto"/>
        </w:rPr>
      </w:pPr>
      <w:r>
        <w:rPr>
          <w:rFonts w:ascii="Times New Roman" w:cs="Times New Roman" w:eastAsia="Times New Roman" w:hAnsi="Times New Roman"/>
          <w:sz w:val="18"/>
          <w:szCs w:val="18"/>
          <w:color w:val="auto"/>
        </w:rPr>
        <w:t>Although claims against title insurance policies can be reported relatively soon after the policy has been issued, claims may also be reported many years later. By their nature, title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147"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We use reinsurance to provide protection against adverse loss experience in our mortgage insurance and title insurance portfolios and to expand our capital sources. When we enter into a reinsurance agreement, the reinsurer receives a premium and, in exchange, agrees to insure an agreed upon portion of incurred losses. These arrangements have the impact of reducing our earned premiums, but also reduce our mortgage insurance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160" w:lineRule="exact"/>
        <w:rPr>
          <w:sz w:val="20"/>
          <w:szCs w:val="20"/>
          <w:color w:val="auto"/>
        </w:rPr>
      </w:pPr>
    </w:p>
    <w:p>
      <w:pPr>
        <w:ind w:right="440" w:firstLine="646"/>
        <w:spacing w:after="0" w:line="280" w:lineRule="auto"/>
        <w:rPr>
          <w:sz w:val="20"/>
          <w:szCs w:val="20"/>
          <w:color w:val="auto"/>
        </w:rPr>
      </w:pPr>
      <w:r>
        <w:rPr>
          <w:rFonts w:ascii="Times New Roman" w:cs="Times New Roman" w:eastAsia="Times New Roman" w:hAnsi="Times New Roman"/>
          <w:sz w:val="18"/>
          <w:szCs w:val="18"/>
          <w:color w:val="auto"/>
        </w:rPr>
        <w:t>Our other underwriting and operating expenses include components that are substantially fixed, as well as expenses that generally increase or decrease in line with the level of mortgage insurance NIW, title insurance policies issued and settlement services provided.</w:t>
      </w:r>
    </w:p>
    <w:p>
      <w:pPr>
        <w:spacing w:after="0" w:line="82" w:lineRule="exact"/>
        <w:rPr>
          <w:sz w:val="20"/>
          <w:szCs w:val="20"/>
          <w:color w:val="auto"/>
        </w:rPr>
      </w:pPr>
    </w:p>
    <w:p>
      <w:pPr>
        <w:ind w:right="20" w:firstLine="691"/>
        <w:spacing w:after="0" w:line="259" w:lineRule="auto"/>
        <w:rPr>
          <w:sz w:val="20"/>
          <w:szCs w:val="20"/>
          <w:color w:val="auto"/>
        </w:rPr>
      </w:pPr>
      <w:r>
        <w:rPr>
          <w:rFonts w:ascii="Times New Roman" w:cs="Times New Roman" w:eastAsia="Times New Roman" w:hAnsi="Times New Roman"/>
          <w:sz w:val="18"/>
          <w:szCs w:val="18"/>
          <w:color w:val="auto"/>
        </w:rPr>
        <w:t>Our most significant expense is compensation and benefits for our employees, which represented 49% and 53% of other underwriting and operating expenses for the three and six months ended June 30, 2025, respectively, compared to 50% and 51% of other underwriting and operating expenses for the three and six months ended June 30, 2024, respectively. Compensation and benefits expense includes base and incentive cash compensation, stock compensation expense, benefits and payroll taxes.</w:t>
      </w:r>
    </w:p>
    <w:p>
      <w:pPr>
        <w:spacing w:after="0" w:line="115" w:lineRule="exact"/>
        <w:rPr>
          <w:sz w:val="20"/>
          <w:szCs w:val="20"/>
          <w:color w:val="auto"/>
        </w:rPr>
      </w:pPr>
    </w:p>
    <w:p>
      <w:pPr>
        <w:ind w:right="140" w:firstLine="646"/>
        <w:spacing w:after="0" w:line="265" w:lineRule="auto"/>
        <w:rPr>
          <w:sz w:val="20"/>
          <w:szCs w:val="20"/>
          <w:color w:val="auto"/>
        </w:rPr>
      </w:pPr>
      <w:r>
        <w:rPr>
          <w:rFonts w:ascii="Times New Roman" w:cs="Times New Roman" w:eastAsia="Times New Roman" w:hAnsi="Times New Roman"/>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mortgage insurance IIF, title insurance policies issued and settlement services provided, our expenses will also continue to increase.</w:t>
      </w:r>
    </w:p>
    <w:p>
      <w:pPr>
        <w:spacing w:after="0" w:line="108" w:lineRule="exact"/>
        <w:rPr>
          <w:sz w:val="20"/>
          <w:szCs w:val="20"/>
          <w:color w:val="auto"/>
        </w:rPr>
      </w:pPr>
    </w:p>
    <w:p>
      <w:pPr>
        <w:ind w:right="280" w:firstLine="646"/>
        <w:spacing w:after="0" w:line="265" w:lineRule="auto"/>
        <w:rPr>
          <w:sz w:val="20"/>
          <w:szCs w:val="20"/>
          <w:color w:val="auto"/>
        </w:rPr>
      </w:pPr>
      <w:r>
        <w:rPr>
          <w:rFonts w:ascii="Times New Roman" w:cs="Times New Roman" w:eastAsia="Times New Roman" w:hAnsi="Times New Roman"/>
          <w:sz w:val="18"/>
          <w:szCs w:val="18"/>
          <w:color w:val="auto"/>
        </w:rPr>
        <w:t>Other underwriting and operating expenses also include premiums retained by agents, which represent the portion of title insurance premiums retained by our third-party agents pursuant to the terms of their respective agency contracts and are recorded as an expense. The percentage of premiums retained by agents vary according to regional differences in real estate closing practices and state regulations.</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0" w:lineRule="exact"/>
        <w:rPr>
          <w:sz w:val="20"/>
          <w:szCs w:val="20"/>
          <w:color w:val="auto"/>
        </w:rPr>
      </w:pPr>
    </w:p>
    <w:p>
      <w:pPr>
        <w:ind w:right="60" w:firstLine="646"/>
        <w:spacing w:after="0" w:line="255" w:lineRule="auto"/>
        <w:rPr>
          <w:sz w:val="20"/>
          <w:szCs w:val="20"/>
          <w:color w:val="auto"/>
        </w:rPr>
      </w:pPr>
      <w:r>
        <w:rPr>
          <w:rFonts w:ascii="Times New Roman" w:cs="Times New Roman" w:eastAsia="Times New Roman" w:hAnsi="Times New Roman"/>
          <w:sz w:val="18"/>
          <w:szCs w:val="18"/>
          <w:color w:val="auto"/>
        </w:rPr>
        <w:t>Through June 30, 2024, interest expense was incurred as a result of borrowings under our secured credit facility (the “Existing Credit Facility”). Borrowings accrued interest at a floating rate tied to a standard short-term borrowing index, selected at the Company’s option, plus an applicable margin. On July 1, 2024, we completed an underwritten public offering of $500 million of 6.25% Senior Notes due in 2029 and used approximately $425 million of the net proceeds to repay all of the borrowings outstanding under the term loan portion of the Existing Credit Facility. Concurrently, on July 1, 2024, the Fourth Amended and Restated Credit Agreement (the “Revolving Credit Agreement”) became effective providing for an effective increase in the Company’s revolving credit facility borrowing capacity from $400 million to $500 million. See Note 6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most states in which we operate; however, our non-insurance subsidiaries are subject to state income taxes. In lieu of state income taxes, our insurance subsidiaries pay premium taxes that are recorded in other underwriting and operating expenses.</w:t>
      </w:r>
    </w:p>
    <w:p>
      <w:pPr>
        <w:spacing w:after="0" w:line="196" w:lineRule="exact"/>
        <w:rPr>
          <w:sz w:val="20"/>
          <w:szCs w:val="20"/>
          <w:color w:val="auto"/>
        </w:rPr>
      </w:pPr>
    </w:p>
    <w:p>
      <w:pPr>
        <w:ind w:right="140" w:firstLine="646"/>
        <w:spacing w:after="0" w:line="239" w:lineRule="auto"/>
        <w:rPr>
          <w:sz w:val="20"/>
          <w:szCs w:val="20"/>
          <w:color w:val="auto"/>
        </w:rPr>
      </w:pPr>
      <w:r>
        <w:rPr>
          <w:rFonts w:ascii="Times New Roman" w:cs="Times New Roman" w:eastAsia="Times New Roman" w:hAnsi="Times New Roman"/>
          <w:sz w:val="18"/>
          <w:szCs w:val="18"/>
          <w:color w:val="auto"/>
        </w:rPr>
        <w:t>Essent Group Ltd. ("Essent Group") and its wholly-owned subsidiary, Essent Re, are domiciled in Bermuda, and their income is currently not subject to a corporate income tax. See "—Legislative and Regulatory Developments—Bermuda Corporate Income Tax" above. Under a quota share reinsurance agreement, Essent Re reinsures 25% of Essent Guaranty’s NIW through December 31, 2020 and 35% of Essent Guaranty’s NIW after December 31, 2020. In April 2025, Essent Guaranty and Essent Re agreed to increase the quota share reinsurance coverage of Essent Guaranty’s NIW provided by Essent Re to 50% effective January 1, 2025. The quota share reinsurance coverage provided by Essent Re for Essent Guaranty’s NIW prior to January 1, 2025 will continue at the quota share percentage in effect at the time NIW was first ceded. Essent Re also provides insurance and reinsurance to Freddie Mac and Fannie Mae.</w:t>
      </w:r>
    </w:p>
    <w:p>
      <w:pPr>
        <w:spacing w:after="0" w:line="212" w:lineRule="exact"/>
        <w:rPr>
          <w:sz w:val="20"/>
          <w:szCs w:val="20"/>
          <w:color w:val="auto"/>
        </w:rPr>
      </w:pPr>
    </w:p>
    <w:p>
      <w:pPr>
        <w:ind w:right="380" w:firstLine="646"/>
        <w:spacing w:after="0" w:line="280" w:lineRule="auto"/>
        <w:rPr>
          <w:sz w:val="20"/>
          <w:szCs w:val="20"/>
          <w:color w:val="auto"/>
        </w:rPr>
      </w:pPr>
      <w:r>
        <w:rPr>
          <w:rFonts w:ascii="Times New Roman" w:cs="Times New Roman" w:eastAsia="Times New Roman" w:hAnsi="Times New Roman"/>
          <w:sz w:val="18"/>
          <w:szCs w:val="18"/>
          <w:color w:val="auto"/>
        </w:rPr>
        <w:t>The amount of income tax expense or benefit recorded in future periods will be dependent on the jurisdictions in which we operate and the tax laws and regulations in effect.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 Earnings and Cash Flow Cycle</w:t>
      </w:r>
    </w:p>
    <w:p>
      <w:pPr>
        <w:spacing w:after="0" w:line="227" w:lineRule="exact"/>
        <w:rPr>
          <w:sz w:val="20"/>
          <w:szCs w:val="20"/>
          <w:color w:val="auto"/>
        </w:rPr>
      </w:pPr>
    </w:p>
    <w:p>
      <w:pPr>
        <w:ind w:right="80" w:firstLine="646"/>
        <w:spacing w:after="0" w:line="257" w:lineRule="auto"/>
        <w:rPr>
          <w:sz w:val="20"/>
          <w:szCs w:val="20"/>
          <w:color w:val="auto"/>
        </w:rPr>
      </w:pPr>
      <w:r>
        <w:rPr>
          <w:rFonts w:ascii="Times New Roman" w:cs="Times New Roman" w:eastAsia="Times New Roman" w:hAnsi="Times New Roman"/>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In Force</w:t>
      </w:r>
    </w:p>
    <w:p>
      <w:pPr>
        <w:spacing w:after="0" w:line="227" w:lineRule="exact"/>
        <w:rPr>
          <w:sz w:val="20"/>
          <w:szCs w:val="20"/>
          <w:color w:val="auto"/>
        </w:rPr>
      </w:pPr>
    </w:p>
    <w:p>
      <w:pPr>
        <w:ind w:right="400" w:firstLine="646"/>
        <w:spacing w:after="0" w:line="265" w:lineRule="auto"/>
        <w:rPr>
          <w:sz w:val="20"/>
          <w:szCs w:val="20"/>
          <w:color w:val="auto"/>
        </w:rPr>
      </w:pPr>
      <w:r>
        <w:rPr>
          <w:rFonts w:ascii="Times New Roman" w:cs="Times New Roman" w:eastAsia="Times New Roman" w:hAnsi="Times New Roman"/>
          <w:sz w:val="18"/>
          <w:szCs w:val="18"/>
          <w:color w:val="auto"/>
        </w:rPr>
        <w:t>As discussed above, mortgage insurance premiums we collect and earn are generated based on our IIF, which is a function of our NIW and cancellations. The following table includes a summary of the change in our IIF for the three and six months ended June 30, 2025 and 2024 for our U.S. mortgage insurance portfolio. In addition, this table includes our RIF at the end of each period.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70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244,692,492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239,078,262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243,645,423</w:t>
            </w: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239,078,262</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NIW - Flow</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12,544,731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12,503,125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22,490,067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20,826,669</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(10,439,604)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(10,912,222)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(19,337,871)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(19,235,766)</w:t>
            </w:r>
          </w:p>
        </w:tc>
        <w:tc>
          <w:tcPr>
            <w:tcW w:w="0" w:type="dxa"/>
            <w:vAlign w:val="bottom"/>
          </w:tcPr>
          <w:p>
            <w:pPr>
              <w:spacing w:after="0"/>
              <w:rPr>
                <w:sz w:val="1"/>
                <w:szCs w:val="1"/>
                <w:color w:val="auto"/>
              </w:rPr>
            </w:pPr>
          </w:p>
        </w:tc>
      </w:tr>
      <w:tr>
        <w:trPr>
          <w:trHeight w:val="22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IIF,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246,797,619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240,669,165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246,797,619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240,669,165</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IIF during the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245,747,813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239,538,571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244,902,942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239,151,136</w:t>
            </w:r>
          </w:p>
        </w:tc>
        <w:tc>
          <w:tcPr>
            <w:tcW w:w="0" w:type="dxa"/>
            <w:vAlign w:val="bottom"/>
          </w:tcPr>
          <w:p>
            <w:pPr>
              <w:spacing w:after="0"/>
              <w:rPr>
                <w:sz w:val="1"/>
                <w:szCs w:val="1"/>
                <w:color w:val="auto"/>
              </w:rPr>
            </w:pPr>
          </w:p>
        </w:tc>
      </w:tr>
      <w:tr>
        <w:trPr>
          <w:trHeight w:val="23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RIF, end of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56,811,096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55,521,538</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56,811,096</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55,521,538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IIF at June 30, 2025 by vintage: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Pr>
          <w:p>
            <w:pPr>
              <w:spacing w:after="0"/>
              <w:rPr>
                <w:sz w:val="16"/>
                <w:szCs w:val="16"/>
                <w:color w:val="auto"/>
              </w:rPr>
            </w:pPr>
          </w:p>
        </w:tc>
        <w:tc>
          <w:tcPr>
            <w:tcW w:w="12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66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
        </w:trPr>
        <w:tc>
          <w:tcPr>
            <w:tcW w:w="7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(through June 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21,981,050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41,260,566</w:t>
            </w:r>
          </w:p>
        </w:tc>
        <w:tc>
          <w:tcPr>
            <w:tcW w:w="10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38,646,995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48,421,149</w:t>
            </w:r>
          </w:p>
        </w:tc>
        <w:tc>
          <w:tcPr>
            <w:tcW w:w="10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19.6</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45,343,252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31,595,082</w:t>
            </w:r>
          </w:p>
        </w:tc>
        <w:tc>
          <w:tcPr>
            <w:tcW w:w="10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and prior</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19,549,525</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w:t>
            </w:r>
          </w:p>
        </w:tc>
      </w:tr>
      <w:tr>
        <w:trPr>
          <w:trHeight w:val="222"/>
        </w:trPr>
        <w:tc>
          <w:tcPr>
            <w:tcW w:w="7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246,797,619</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Average Net Premium Rate</w:t>
      </w:r>
    </w:p>
    <w:p>
      <w:pPr>
        <w:spacing w:after="0" w:line="227" w:lineRule="exact"/>
        <w:rPr>
          <w:sz w:val="20"/>
          <w:szCs w:val="20"/>
          <w:color w:val="auto"/>
        </w:rPr>
      </w:pPr>
    </w:p>
    <w:p>
      <w:pPr>
        <w:ind w:firstLine="646"/>
        <w:spacing w:after="0" w:line="256" w:lineRule="auto"/>
        <w:rPr>
          <w:sz w:val="20"/>
          <w:szCs w:val="20"/>
          <w:color w:val="auto"/>
        </w:rPr>
      </w:pPr>
      <w:r>
        <w:rPr>
          <w:rFonts w:ascii="Times New Roman" w:cs="Times New Roman" w:eastAsia="Times New Roman" w:hAnsi="Times New Roman"/>
          <w:sz w:val="18"/>
          <w:szCs w:val="18"/>
          <w:color w:val="auto"/>
        </w:rPr>
        <w:t>Our average net premium rate is calculated by dividing net premiums earned for the U.S. mortgage insurance portfolio by average insurance in force for the period and is dependent on a number of factors, including: (1) the risk characteristics and average coverage on the mortgages we insure; (2) the mix of monthly premiums compared to single premiums in our portfolio; (3) cancellations of non-refundable single premiums during the period;</w:t>
      </w:r>
    </w:p>
    <w:p>
      <w:pPr>
        <w:spacing w:after="0" w:line="2" w:lineRule="exact"/>
        <w:rPr>
          <w:sz w:val="20"/>
          <w:szCs w:val="20"/>
          <w:color w:val="auto"/>
        </w:rPr>
      </w:pPr>
    </w:p>
    <w:p>
      <w:pPr>
        <w:ind w:right="620" w:firstLine="8"/>
        <w:spacing w:after="0" w:line="259" w:lineRule="auto"/>
        <w:tabs>
          <w:tab w:leader="none" w:pos="2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pricing for NIW; and (5) premiums ceded under third-party reinsurance agreements. The following table presents the average net premium rate for our U.S. mortgage insurance portfolio:</w:t>
      </w:r>
    </w:p>
    <w:p>
      <w:pPr>
        <w:sectPr>
          <w:pgSz w:w="11900" w:h="16838" w:orient="portrait"/>
          <w:cols w:equalWidth="0" w:num="1">
            <w:col w:w="11220"/>
          </w:cols>
          <w:pgMar w:left="320" w:top="121" w:right="359" w:bottom="1440" w:gutter="0" w:footer="0" w:header="0"/>
        </w:sectPr>
      </w:pPr>
    </w:p>
    <w:p>
      <w:pPr>
        <w:spacing w:after="0" w:line="2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33020</wp:posOffset>
            </wp:positionV>
            <wp:extent cx="1964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64690" cy="8255"/>
                    </a:xfrm>
                    <a:prstGeom prst="rect">
                      <a:avLst/>
                    </a:prstGeom>
                    <a:noFill/>
                  </pic:spPr>
                </pic:pic>
              </a:graphicData>
            </a:graphic>
          </wp:anchor>
        </w:drawing>
      </w:r>
    </w:p>
    <w:p>
      <w:pPr>
        <w:spacing w:after="0" w:line="34" w:lineRule="exact"/>
        <w:rPr>
          <w:sz w:val="20"/>
          <w:szCs w:val="20"/>
          <w:color w:val="auto"/>
        </w:rPr>
      </w:pPr>
    </w:p>
    <w:p>
      <w:pPr>
        <w:ind w:left="5500"/>
        <w:spacing w:after="0"/>
        <w:tabs>
          <w:tab w:leader="none" w:pos="70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33020</wp:posOffset>
            </wp:positionV>
            <wp:extent cx="1981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81835" cy="8255"/>
                    </a:xfrm>
                    <a:prstGeom prst="rect">
                      <a:avLst/>
                    </a:prstGeom>
                    <a:noFill/>
                  </pic:spPr>
                </pic:pic>
              </a:graphicData>
            </a:graphic>
          </wp:anchor>
        </w:drawing>
      </w:r>
    </w:p>
    <w:p>
      <w:pPr>
        <w:spacing w:after="0" w:line="34"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32" w:lineRule="exact"/>
        <w:rPr>
          <w:sz w:val="20"/>
          <w:szCs w:val="20"/>
          <w:color w:val="auto"/>
        </w:rPr>
      </w:pPr>
    </w:p>
    <w:p>
      <w:pPr>
        <w:sectPr>
          <w:pgSz w:w="11900" w:h="16838" w:orient="portrait"/>
          <w:cols w:equalWidth="0" w:num="2">
            <w:col w:w="7960" w:space="720"/>
            <w:col w:w="254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average premium rate</w:t>
            </w:r>
          </w:p>
        </w:tc>
        <w:tc>
          <w:tcPr>
            <w:tcW w:w="12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12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Single premium cancellations</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average premium rate</w:t>
            </w:r>
          </w:p>
        </w:tc>
        <w:tc>
          <w:tcPr>
            <w:tcW w:w="14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0.41</w:t>
            </w:r>
          </w:p>
        </w:tc>
      </w:tr>
      <w:tr>
        <w:trPr>
          <w:trHeight w:val="229"/>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(0.05)</w:t>
            </w:r>
          </w:p>
        </w:tc>
      </w:tr>
      <w:tr>
        <w:trPr>
          <w:trHeight w:val="247"/>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average premium rate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both"/>
        <w:ind w:right="60" w:firstLine="646"/>
        <w:spacing w:after="0" w:line="280" w:lineRule="auto"/>
        <w:rPr>
          <w:sz w:val="20"/>
          <w:szCs w:val="20"/>
          <w:color w:val="auto"/>
        </w:rPr>
      </w:pPr>
      <w:r>
        <w:rPr>
          <w:rFonts w:ascii="Times New Roman" w:cs="Times New Roman" w:eastAsia="Times New Roman" w:hAnsi="Times New Roman"/>
          <w:sz w:val="18"/>
          <w:szCs w:val="18"/>
          <w:color w:val="auto"/>
        </w:rPr>
        <w:t>The continued use of third-party reinsurance along with changes to the level of future cancellations of non-refundable single premium policies and mix of IIF may impact our average net premium rate in future periods.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Rate</w:t>
      </w:r>
    </w:p>
    <w:p>
      <w:pPr>
        <w:spacing w:after="0" w:line="227" w:lineRule="exact"/>
        <w:rPr>
          <w:sz w:val="20"/>
          <w:szCs w:val="20"/>
          <w:color w:val="auto"/>
        </w:rPr>
      </w:pPr>
    </w:p>
    <w:p>
      <w:pPr>
        <w:jc w:val="both"/>
        <w:ind w:right="260" w:firstLine="646"/>
        <w:spacing w:after="0" w:line="265" w:lineRule="auto"/>
        <w:rPr>
          <w:sz w:val="20"/>
          <w:szCs w:val="20"/>
          <w:color w:val="auto"/>
        </w:rPr>
      </w:pPr>
      <w:r>
        <w:rPr>
          <w:rFonts w:ascii="Times New Roman" w:cs="Times New Roman" w:eastAsia="Times New Roman" w:hAnsi="Times New Roman"/>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Risk-to-Capital</w:t>
      </w:r>
    </w:p>
    <w:p>
      <w:pPr>
        <w:spacing w:after="0" w:line="227" w:lineRule="exact"/>
        <w:rPr>
          <w:sz w:val="20"/>
          <w:szCs w:val="20"/>
          <w:color w:val="auto"/>
        </w:rPr>
      </w:pPr>
    </w:p>
    <w:p>
      <w:pPr>
        <w:ind w:right="120" w:firstLine="646"/>
        <w:spacing w:after="0" w:line="259" w:lineRule="auto"/>
        <w:rPr>
          <w:sz w:val="20"/>
          <w:szCs w:val="20"/>
          <w:color w:val="auto"/>
        </w:rPr>
      </w:pPr>
      <w:r>
        <w:rPr>
          <w:rFonts w:ascii="Times New Roman" w:cs="Times New Roman" w:eastAsia="Times New Roman" w:hAnsi="Times New Roman"/>
          <w:sz w:val="18"/>
          <w:szCs w:val="18"/>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83" w:lineRule="exact"/>
        <w:rPr>
          <w:sz w:val="20"/>
          <w:szCs w:val="20"/>
          <w:color w:val="auto"/>
        </w:rPr>
      </w:pPr>
    </w:p>
    <w:p>
      <w:pPr>
        <w:ind w:right="100" w:firstLine="646"/>
        <w:spacing w:after="0" w:line="254" w:lineRule="auto"/>
        <w:rPr>
          <w:sz w:val="20"/>
          <w:szCs w:val="20"/>
          <w:color w:val="auto"/>
        </w:rPr>
      </w:pPr>
      <w:r>
        <w:rPr>
          <w:rFonts w:ascii="Times New Roman" w:cs="Times New Roman" w:eastAsia="Times New Roman" w:hAnsi="Times New Roman"/>
          <w:sz w:val="18"/>
          <w:szCs w:val="18"/>
          <w:color w:val="auto"/>
        </w:rPr>
        <w:t>As of June 30, 2025, the net risk in force for Essent Guaranty was $34.0 billion and its statutory capital was $3.7 billion, resulting in a risk-to-capital ratio of 9.2:1. The amount of capital required varies in each jurisdiction in which we operate; however, generally, the maximum permitted risk-to-capital ratio is 25.0 to 1. State insurance regulators have continued to examine their respective capital rules to determine whether, in light of the 2007-2008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Consolidated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241,488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245,566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479,759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484,106</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w:t>
            </w:r>
          </w:p>
        </w:tc>
        <w:tc>
          <w:tcPr>
            <w:tcW w:w="0" w:type="dxa"/>
            <w:vAlign w:val="bottom"/>
          </w:tcPr>
          <w:p>
            <w:pPr>
              <w:spacing w:after="0"/>
              <w:rPr>
                <w:sz w:val="1"/>
                <w:szCs w:val="1"/>
                <w:color w:val="auto"/>
              </w:rPr>
            </w:pPr>
          </w:p>
        </w:tc>
      </w:tr>
      <w:tr>
        <w:trPr>
          <w:trHeight w:val="22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497,481</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108,171</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611,299</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133,042</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15,711</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losses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198,527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158,332</w:t>
            </w:r>
          </w:p>
        </w:tc>
        <w:tc>
          <w:tcPr>
            <w:tcW w:w="0" w:type="dxa"/>
            <w:vAlign w:val="bottom"/>
          </w:tcPr>
          <w:p>
            <w:pPr>
              <w:spacing w:after="0"/>
              <w:rPr>
                <w:sz w:val="1"/>
                <w:szCs w:val="1"/>
                <w:color w:val="auto"/>
              </w:rPr>
            </w:pPr>
          </w:p>
        </w:tc>
      </w:tr>
      <w:tr>
        <w:trPr>
          <w:trHeight w:val="22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452,967</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67,639</w:t>
            </w:r>
          </w:p>
        </w:tc>
        <w:tc>
          <w:tcPr>
            <w:tcW w:w="0" w:type="dxa"/>
            <w:vAlign w:val="bottom"/>
          </w:tcPr>
          <w:p>
            <w:pPr>
              <w:spacing w:after="0"/>
              <w:rPr>
                <w:sz w:val="1"/>
                <w:szCs w:val="1"/>
                <w:color w:val="auto"/>
              </w:rPr>
            </w:pPr>
          </w:p>
        </w:tc>
      </w:tr>
      <w:tr>
        <w:trPr>
          <w:trHeight w:val="22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195,339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203,609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370,772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385,328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Premiums Earned</w:t>
      </w:r>
    </w:p>
    <w:p>
      <w:pPr>
        <w:spacing w:after="0" w:line="145" w:lineRule="exact"/>
        <w:rPr>
          <w:sz w:val="20"/>
          <w:szCs w:val="20"/>
          <w:color w:val="auto"/>
        </w:rPr>
      </w:pPr>
    </w:p>
    <w:p>
      <w:pPr>
        <w:jc w:val="both"/>
        <w:ind w:right="140" w:firstLine="646"/>
        <w:spacing w:after="0" w:line="265" w:lineRule="auto"/>
        <w:rPr>
          <w:sz w:val="20"/>
          <w:szCs w:val="20"/>
          <w:color w:val="auto"/>
        </w:rPr>
      </w:pPr>
      <w:r>
        <w:rPr>
          <w:rFonts w:ascii="Times New Roman" w:cs="Times New Roman" w:eastAsia="Times New Roman" w:hAnsi="Times New Roman"/>
          <w:sz w:val="18"/>
          <w:szCs w:val="18"/>
          <w:color w:val="auto"/>
        </w:rPr>
        <w:t>Net premiums earned for the three and six months ended June 30, 2025 decreased compared to the three and six months ended June 30, 2024. For more information, see Net Premiums Written and Earned under “Results of Operations: Mortgage Insurance” and Net Premiums Earned under “Results of Operations: Corporate &amp; Other”.</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investment income was derived from the following sources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18"/>
                <w:szCs w:val="18"/>
                <w:color w:val="auto"/>
              </w:rPr>
            </w:pPr>
          </w:p>
        </w:tc>
        <w:tc>
          <w:tcPr>
            <w:tcW w:w="28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8"/>
                <w:szCs w:val="18"/>
                <w:color w:val="auto"/>
              </w:rPr>
            </w:pPr>
          </w:p>
        </w:tc>
        <w:tc>
          <w:tcPr>
            <w:tcW w:w="2640" w:type="dxa"/>
            <w:vAlign w:val="bottom"/>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2"/>
        </w:trPr>
        <w:tc>
          <w:tcPr>
            <w:tcW w:w="5220" w:type="dxa"/>
            <w:vAlign w:val="bottom"/>
            <w:gridSpan w:val="2"/>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2"/>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91,656</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18,974</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110,630</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0" w:type="dxa"/>
            <w:vAlign w:val="bottom"/>
          </w:tcPr>
          <w:p>
            <w:pPr>
              <w:spacing w:after="0"/>
              <w:rPr>
                <w:sz w:val="1"/>
                <w:szCs w:val="1"/>
                <w:color w:val="auto"/>
              </w:rPr>
            </w:pPr>
          </w:p>
        </w:tc>
      </w:tr>
      <w:tr>
        <w:trPr>
          <w:trHeight w:val="247"/>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right="80" w:firstLine="646"/>
        <w:spacing w:after="0" w:line="259" w:lineRule="auto"/>
        <w:rPr>
          <w:sz w:val="20"/>
          <w:szCs w:val="20"/>
          <w:color w:val="auto"/>
        </w:rPr>
      </w:pPr>
      <w:r>
        <w:rPr>
          <w:rFonts w:ascii="Times New Roman" w:cs="Times New Roman" w:eastAsia="Times New Roman" w:hAnsi="Times New Roman"/>
          <w:sz w:val="18"/>
          <w:szCs w:val="18"/>
          <w:color w:val="auto"/>
        </w:rPr>
        <w:t>The increase in net investment income for the three months ended June 30, 2025 as compared to the same period in 2024 was due to an increase in the weighted average balance of our investment portfolio as well as an increase in the pre-tax investment income yield. The increase in net investment income for the six months ended June 30, 2025 compared to the same period in 2024 was due to an increase in the weighted average balance of the investment portfolio.</w:t>
      </w:r>
    </w:p>
    <w:p>
      <w:pPr>
        <w:spacing w:after="0" w:line="210" w:lineRule="exact"/>
        <w:rPr>
          <w:sz w:val="20"/>
          <w:szCs w:val="20"/>
          <w:color w:val="auto"/>
        </w:rPr>
      </w:pPr>
    </w:p>
    <w:p>
      <w:pPr>
        <w:ind w:right="120" w:firstLine="646"/>
        <w:spacing w:after="0" w:line="265" w:lineRule="auto"/>
        <w:rPr>
          <w:sz w:val="20"/>
          <w:szCs w:val="20"/>
          <w:color w:val="auto"/>
        </w:rPr>
      </w:pPr>
      <w:r>
        <w:rPr>
          <w:rFonts w:ascii="Times New Roman" w:cs="Times New Roman" w:eastAsia="Times New Roman" w:hAnsi="Times New Roman"/>
          <w:sz w:val="18"/>
          <w:szCs w:val="18"/>
          <w:color w:val="auto"/>
        </w:rPr>
        <w:t>The average cash and investment portfolio balance increased to $6.3 billion for the three months ended June 30, 2025 from $6.0 billion for the three months ended June 30, 2024 and increased to $6.4 billion for the six months ended June 30, 2025 from $5.9 billion for the six months ended June 30, 2024. The increase in the average cash and investment portfolio was primarily due to investing cash flows from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60" w:firstLine="646"/>
        <w:spacing w:after="0" w:line="265" w:lineRule="auto"/>
        <w:rPr>
          <w:sz w:val="20"/>
          <w:szCs w:val="20"/>
          <w:color w:val="auto"/>
        </w:rPr>
      </w:pPr>
      <w:r>
        <w:rPr>
          <w:rFonts w:ascii="Times New Roman" w:cs="Times New Roman" w:eastAsia="Times New Roman" w:hAnsi="Times New Roman"/>
          <w:sz w:val="18"/>
          <w:szCs w:val="18"/>
          <w:color w:val="auto"/>
        </w:rPr>
        <w:t>The pre-tax investment income yield increased from 3.8% in the three months ended June 30, 2024 to 3.9% for the three months ended June 30, 2025, primarily due to a general increase in investment yields due to rising interest rates. The pre-tax investment income yield was 3.8% for both the six months ended June 30, 2025 and 2024. See “— Liquidity and Capital Resources” for further details of our investment portfolio.</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(Loss) from Other Invested Assets</w:t>
      </w:r>
    </w:p>
    <w:p>
      <w:pPr>
        <w:spacing w:after="0" w:line="252"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Income (loss) from other invested assets for the three months ended June 30, 2025 was income of $4.5 million as compared to a loss of $0.4 million for the three months ended June 30, 2024 and income of $11.9 million for the six months ended June 30, 2025 compared to a loss of $2.3 million for the six months ended June 30, 2024. The increase in income from other invested assets was primarily due to favorable fair value adjustments recorded during the three and six months ended June 30, 2025 as compared to the same periods in 2024.</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52" w:lineRule="exact"/>
        <w:rPr>
          <w:sz w:val="20"/>
          <w:szCs w:val="20"/>
          <w:color w:val="auto"/>
        </w:rPr>
      </w:pPr>
    </w:p>
    <w:p>
      <w:pPr>
        <w:ind w:right="120" w:firstLine="646"/>
        <w:spacing w:after="0" w:line="257" w:lineRule="auto"/>
        <w:rPr>
          <w:sz w:val="20"/>
          <w:szCs w:val="20"/>
          <w:color w:val="auto"/>
        </w:rPr>
      </w:pPr>
      <w:r>
        <w:rPr>
          <w:rFonts w:ascii="Times New Roman" w:cs="Times New Roman" w:eastAsia="Times New Roman" w:hAnsi="Times New Roman"/>
          <w:sz w:val="18"/>
          <w:szCs w:val="18"/>
          <w:color w:val="auto"/>
        </w:rPr>
        <w:t>Other income for the three months ended June 30, 2025 was $6.7 million as compared to $6.5 million for the three months ended June 30, 2024 and $13.0 million for the six months ended June 30, 2025 compared to $10.3 million for the six months ended June 30, 2024. The increase in other income for the six months ended June 30, 2025 compared to the same period in 2024 was largely due to fair value adjustments on embedded derivatives contained in certain of our reinsurance agreements. For the six months ended June 30, 2025 we recorded a net unfavorable decrease in the fair value of the embedded derivatives of $0.2 million compared to a net unfavorable decrease of $1.2 million for the six months ended June 30, 2024.</w:t>
      </w:r>
    </w:p>
    <w:p>
      <w:pPr>
        <w:spacing w:after="0" w:line="3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Provision for Losses</w:t>
      </w:r>
    </w:p>
    <w:p>
      <w:pPr>
        <w:spacing w:after="0" w:line="158" w:lineRule="exact"/>
        <w:rPr>
          <w:sz w:val="20"/>
          <w:szCs w:val="20"/>
          <w:color w:val="auto"/>
        </w:rPr>
      </w:pPr>
    </w:p>
    <w:p>
      <w:pPr>
        <w:jc w:val="both"/>
        <w:ind w:right="240" w:firstLine="404"/>
        <w:spacing w:after="0" w:line="265" w:lineRule="auto"/>
        <w:rPr>
          <w:sz w:val="20"/>
          <w:szCs w:val="20"/>
          <w:color w:val="auto"/>
        </w:rPr>
      </w:pPr>
      <w:r>
        <w:rPr>
          <w:rFonts w:ascii="Times New Roman" w:cs="Times New Roman" w:eastAsia="Times New Roman" w:hAnsi="Times New Roman"/>
          <w:sz w:val="18"/>
          <w:szCs w:val="18"/>
          <w:color w:val="auto"/>
        </w:rPr>
        <w:t>The increased provision for losses for the three and six months ended June 30, 2025 compared to the three and six months ended June 30, 2024 was primarily due to the aging of defaults remaining within the mortgage insurance portfolio as of June 30, 2025, which resulted in an increase in our reserve per default. See “Results of Operations: Mortgage Insurance" for more information.</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Underwriting and Operating Expenses</w:t>
      </w:r>
    </w:p>
    <w:p>
      <w:pPr>
        <w:spacing w:after="0" w:line="145" w:lineRule="exact"/>
        <w:rPr>
          <w:sz w:val="20"/>
          <w:szCs w:val="20"/>
          <w:color w:val="auto"/>
        </w:rPr>
      </w:pPr>
    </w:p>
    <w:p>
      <w:pPr>
        <w:ind w:right="20" w:firstLine="404"/>
        <w:spacing w:after="0" w:line="257" w:lineRule="auto"/>
        <w:rPr>
          <w:sz w:val="20"/>
          <w:szCs w:val="20"/>
          <w:color w:val="auto"/>
        </w:rPr>
      </w:pPr>
      <w:r>
        <w:rPr>
          <w:rFonts w:ascii="Times New Roman" w:cs="Times New Roman" w:eastAsia="Times New Roman" w:hAnsi="Times New Roman"/>
          <w:sz w:val="18"/>
          <w:szCs w:val="18"/>
          <w:color w:val="auto"/>
        </w:rPr>
        <w:t>The decrease in underwriting and operating expenses for the three months ended June 30, 2025 compared to the three months ended June 30, 2024 was primarily due to a decrease in compensation expense as a result of a decrease in stock based compensation and a reduction in title operating expenses as a result of fewer title policies issued. Other underwriting and operating expenses for the six months ended June 30, 2025 were largely unchanged compared to the six months ended June 30, 2024. For more information, see “Results of Operations: Mortgage Insurance” and “Results of Operations: Corporate &amp; Other.”</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39" w:lineRule="exact"/>
        <w:rPr>
          <w:sz w:val="20"/>
          <w:szCs w:val="20"/>
          <w:color w:val="auto"/>
        </w:rPr>
      </w:pPr>
    </w:p>
    <w:p>
      <w:pPr>
        <w:ind w:right="40" w:firstLine="404"/>
        <w:spacing w:after="0" w:line="236" w:lineRule="auto"/>
        <w:rPr>
          <w:sz w:val="20"/>
          <w:szCs w:val="20"/>
          <w:color w:val="auto"/>
        </w:rPr>
      </w:pPr>
      <w:r>
        <w:rPr>
          <w:rFonts w:ascii="Times New Roman" w:cs="Times New Roman" w:eastAsia="Times New Roman" w:hAnsi="Times New Roman"/>
          <w:sz w:val="18"/>
          <w:szCs w:val="18"/>
          <w:color w:val="auto"/>
        </w:rPr>
        <w:t>For the three and six months ended June 30, 2025, we incurred interest expense of $8.1 million and $16.3 million as compared to $7.8 million and $15.7 million for the three and six months ended June 30, 2024, respectively. On July 1, 2024, Essent Group completed an underwritten public offering of $500 million principal amount of 6.25% Senior Notes due 2029 (the “Senior Notes"). The Company used the net proceeds from the sale of the Senior Notes to repay all of the borrowings outstanding under the term loan portion of the Existing Credit Facility on July 1, 2024. The increase in interest expense was due to an increase in the average borrowings outstanding during the three and six months ended June 30, 2025 compared to same periods in 2024. For the three and six month periods ended June 30, 2025, the average amount of borrowings outstanding were $500 million compared to $425 million for the three and six months ended June 30, 2024. For the three and six months ended June 30, 2025, our total borrowings had a weighted average interest rate of 6.25% as compared to 7.14% for the three and six months ended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5" w:lineRule="exact"/>
        <w:rPr>
          <w:sz w:val="20"/>
          <w:szCs w:val="20"/>
          <w:color w:val="auto"/>
        </w:rPr>
      </w:pPr>
    </w:p>
    <w:p>
      <w:pPr>
        <w:ind w:right="120" w:firstLine="404"/>
        <w:spacing w:after="0" w:line="254" w:lineRule="auto"/>
        <w:rPr>
          <w:sz w:val="20"/>
          <w:szCs w:val="20"/>
          <w:color w:val="auto"/>
        </w:rPr>
      </w:pPr>
      <w:r>
        <w:rPr>
          <w:rFonts w:ascii="Times New Roman" w:cs="Times New Roman" w:eastAsia="Times New Roman" w:hAnsi="Times New Roman"/>
          <w:sz w:val="18"/>
          <w:szCs w:val="18"/>
          <w:color w:val="auto"/>
        </w:rPr>
        <w:t>Our subsidiaries in the United States file a consolidated U.S. Federal income tax return. Our income tax expense was $35.8 million and $35.6 million for the three months ended June 30, 2025 and 2024, respectively and $67.4 million and $67.6 million for the six months ended June 30, 2025 and 2024, respectively. The provision for income taxes for the six months ended June 30, 2025 was calculated using an estimated annual effective tax rate of 15.4% compared to 15.1% for the six months ended June 30, 2024. For the six months ended June 30, 2025, income tax expense includes $2.7 million of discrete tax expense associated with realized and unrealized gains recognized during the period partially offset by $0.8 million excess tax benefits associated with the vesting of common shares and common share units. For the six months ended June 30, 2024, income tax expense includes $1.3 million of discrete tax benefit associated with realized and unrealized losses recognized during the period partially offset by excess tax deficits associated with the vesting of common shares and common share units.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Mortgage Insurance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8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233,907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235,258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467,537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465,564</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48,892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46,708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96,522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90,909</w:t>
            </w: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60" w:type="dxa"/>
            <w:vAlign w:val="bottom"/>
          </w:tcPr>
          <w:p>
            <w:pPr>
              <w:spacing w:after="0"/>
              <w:rPr>
                <w:sz w:val="19"/>
                <w:szCs w:val="19"/>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(2,296)</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6,562</w:t>
            </w:r>
          </w:p>
        </w:tc>
        <w:tc>
          <w:tcPr>
            <w:tcW w:w="0" w:type="dxa"/>
            <w:vAlign w:val="bottom"/>
          </w:tcPr>
          <w:p>
            <w:pPr>
              <w:spacing w:after="0"/>
              <w:rPr>
                <w:sz w:val="1"/>
                <w:szCs w:val="1"/>
                <w:color w:val="auto"/>
              </w:rPr>
            </w:pPr>
          </w:p>
        </w:tc>
      </w:tr>
      <w:tr>
        <w:trPr>
          <w:trHeight w:val="222"/>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289,817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287,105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578,686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561,853</w:t>
            </w:r>
          </w:p>
        </w:tc>
        <w:tc>
          <w:tcPr>
            <w:tcW w:w="0" w:type="dxa"/>
            <w:vAlign w:val="bottom"/>
          </w:tcPr>
          <w:p>
            <w:pPr>
              <w:spacing w:after="0"/>
              <w:rPr>
                <w:sz w:val="1"/>
                <w:szCs w:val="1"/>
                <w:color w:val="auto"/>
              </w:rPr>
            </w:pPr>
          </w:p>
        </w:tc>
      </w:tr>
      <w:tr>
        <w:trPr>
          <w:trHeight w:val="195"/>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36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46,081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8,112</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27,011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28,396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57,604</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58,623</w:t>
            </w:r>
          </w:p>
        </w:tc>
        <w:tc>
          <w:tcPr>
            <w:tcW w:w="0" w:type="dxa"/>
            <w:vAlign w:val="bottom"/>
          </w:tcPr>
          <w:p>
            <w:pPr>
              <w:spacing w:after="0"/>
              <w:rPr>
                <w:sz w:val="1"/>
                <w:szCs w:val="1"/>
                <w:color w:val="auto"/>
              </w:rPr>
            </w:pPr>
          </w:p>
        </w:tc>
      </w:tr>
      <w:tr>
        <w:trPr>
          <w:trHeight w:val="222"/>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losses and expenses before allocations</w:t>
            </w:r>
          </w:p>
        </w:tc>
        <w:tc>
          <w:tcPr>
            <w:tcW w:w="36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42,370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27,171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103,685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66,735</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9,241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22,255</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22,458</w:t>
            </w:r>
          </w:p>
        </w:tc>
        <w:tc>
          <w:tcPr>
            <w:tcW w:w="0" w:type="dxa"/>
            <w:vAlign w:val="bottom"/>
          </w:tcPr>
          <w:p>
            <w:pPr>
              <w:spacing w:after="0"/>
              <w:rPr>
                <w:sz w:val="1"/>
                <w:szCs w:val="1"/>
                <w:color w:val="auto"/>
              </w:rPr>
            </w:pPr>
          </w:p>
        </w:tc>
      </w:tr>
      <w:tr>
        <w:trPr>
          <w:trHeight w:val="222"/>
        </w:trPr>
        <w:tc>
          <w:tcPr>
            <w:tcW w:w="48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losses and expenses after allocations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51,611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38,011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125,940</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89,193</w:t>
            </w:r>
          </w:p>
        </w:tc>
        <w:tc>
          <w:tcPr>
            <w:tcW w:w="0" w:type="dxa"/>
            <w:vAlign w:val="bottom"/>
          </w:tcPr>
          <w:p>
            <w:pPr>
              <w:spacing w:after="0"/>
              <w:rPr>
                <w:sz w:val="1"/>
                <w:szCs w:val="1"/>
                <w:color w:val="auto"/>
              </w:rPr>
            </w:pPr>
          </w:p>
        </w:tc>
      </w:tr>
      <w:tr>
        <w:trPr>
          <w:trHeight w:val="247"/>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238,206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249,094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452,746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472,660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ratio (1)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Expense ratio (2)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47"/>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Combined ratio</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0" w:right="6720" w:firstLine="5"/>
        <w:spacing w:after="0" w:line="239" w:lineRule="auto"/>
        <w:tabs>
          <w:tab w:leader="none" w:pos="198" w:val="left"/>
        </w:tabs>
        <w:numPr>
          <w:ilvl w:val="0"/>
          <w:numId w:val="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Loss ratio is calculated by dividing the provision for losses and LAE by net premiums earned.</w:t>
      </w:r>
    </w:p>
    <w:p>
      <w:pPr>
        <w:spacing w:after="0" w:line="11" w:lineRule="exact"/>
        <w:rPr>
          <w:rFonts w:ascii="Times New Roman" w:cs="Times New Roman" w:eastAsia="Times New Roman" w:hAnsi="Times New Roman"/>
          <w:sz w:val="13"/>
          <w:szCs w:val="13"/>
          <w:b w:val="1"/>
          <w:bCs w:val="1"/>
          <w:color w:val="auto"/>
        </w:rPr>
      </w:pPr>
    </w:p>
    <w:p>
      <w:pPr>
        <w:ind w:left="20" w:right="6840" w:firstLine="5"/>
        <w:spacing w:after="0" w:line="239" w:lineRule="auto"/>
        <w:tabs>
          <w:tab w:leader="none" w:pos="198" w:val="left"/>
        </w:tabs>
        <w:numPr>
          <w:ilvl w:val="0"/>
          <w:numId w:val="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Expense ratio is calculated by dividing the sum of other underwriting and operating expenses and corporate expense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955" cy="1962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9621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2025 Compared to the Three and Six Months Ended June 30, 2024</w:t>
      </w:r>
    </w:p>
    <w:p>
      <w:pPr>
        <w:spacing w:after="0" w:line="227" w:lineRule="exact"/>
        <w:rPr>
          <w:sz w:val="20"/>
          <w:szCs w:val="20"/>
          <w:color w:val="auto"/>
        </w:rPr>
      </w:pPr>
    </w:p>
    <w:p>
      <w:pPr>
        <w:ind w:right="240" w:firstLine="646"/>
        <w:spacing w:after="0" w:line="259" w:lineRule="auto"/>
        <w:rPr>
          <w:sz w:val="20"/>
          <w:szCs w:val="20"/>
          <w:color w:val="auto"/>
        </w:rPr>
      </w:pPr>
      <w:r>
        <w:rPr>
          <w:rFonts w:ascii="Times New Roman" w:cs="Times New Roman" w:eastAsia="Times New Roman" w:hAnsi="Times New Roman"/>
          <w:sz w:val="18"/>
          <w:szCs w:val="18"/>
          <w:color w:val="auto"/>
        </w:rPr>
        <w:t>For the three months ended June 30, 2025, our Mortgage Insurance segment reported income before income tax expense of $238.2 million, compared to income before income tax expense of $249.1 million for the three months ended June 30, 2024. The decrease in our operating results during the three months ended June 30, 2025 compared to the same period in 2024 was primarily due to an increase in the provision for losses partially offset by increases in net investment income and income from other invested assets and a decrease in other underwriting and operating expenses.</w:t>
      </w:r>
    </w:p>
    <w:p>
      <w:pPr>
        <w:spacing w:after="0" w:line="210" w:lineRule="exact"/>
        <w:rPr>
          <w:sz w:val="20"/>
          <w:szCs w:val="20"/>
          <w:color w:val="auto"/>
        </w:rPr>
      </w:pPr>
    </w:p>
    <w:p>
      <w:pPr>
        <w:ind w:firstLine="646"/>
        <w:spacing w:after="0" w:line="279" w:lineRule="auto"/>
        <w:rPr>
          <w:sz w:val="20"/>
          <w:szCs w:val="20"/>
          <w:color w:val="auto"/>
        </w:rPr>
      </w:pPr>
      <w:r>
        <w:rPr>
          <w:rFonts w:ascii="Times New Roman" w:cs="Times New Roman" w:eastAsia="Times New Roman" w:hAnsi="Times New Roman"/>
          <w:sz w:val="17"/>
          <w:szCs w:val="17"/>
          <w:color w:val="auto"/>
        </w:rPr>
        <w:t>For the six months ended June 30, 2025, our Mortgage Insurance segment reported income before income tax expense of $452.7 million, compared to income before income tax expense of $472.7 million for the six months ended June 30, 2024. The decrease in our operating results during the six months ended June 30, 2025 compared to the same period in 2024 was primarily due to an increase in the provision for losses partially offset by increases in net premiums earned, net investment income and income from other invested assets and a decrease in other underwriting and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7" w:lineRule="exact"/>
        <w:rPr>
          <w:sz w:val="20"/>
          <w:szCs w:val="20"/>
          <w:color w:val="auto"/>
        </w:rPr>
      </w:pPr>
    </w:p>
    <w:p>
      <w:pPr>
        <w:ind w:right="120" w:firstLine="646"/>
        <w:spacing w:after="0" w:line="259" w:lineRule="auto"/>
        <w:rPr>
          <w:sz w:val="20"/>
          <w:szCs w:val="20"/>
          <w:color w:val="auto"/>
        </w:rPr>
      </w:pPr>
      <w:r>
        <w:rPr>
          <w:rFonts w:ascii="Times New Roman" w:cs="Times New Roman" w:eastAsia="Times New Roman" w:hAnsi="Times New Roman"/>
          <w:sz w:val="18"/>
          <w:szCs w:val="18"/>
          <w:color w:val="auto"/>
        </w:rPr>
        <w:t>Net premiums earned decreased in the three months ended June 30, 2025 by 0.6% compared to the three months ended June 30, 2024. The decrease in net premiums earned was primarily due to an increase in ceded premiums as a result of higher ceded losses under our third party quota share arrangements, partially offset by an increase in our average IIF from $239.5 billion for the three months ended June 30, 2024 to $245.7 billion for the three months ended and June 30, 2025. The average net premium rate was 0.36% for both the three months ended June 30, 2025 and 2024.</w:t>
      </w:r>
    </w:p>
    <w:p>
      <w:pPr>
        <w:spacing w:after="0" w:line="210" w:lineRule="exact"/>
        <w:rPr>
          <w:sz w:val="20"/>
          <w:szCs w:val="20"/>
          <w:color w:val="auto"/>
        </w:rPr>
      </w:pPr>
    </w:p>
    <w:p>
      <w:pPr>
        <w:ind w:right="160" w:firstLine="646"/>
        <w:spacing w:after="0" w:line="259" w:lineRule="auto"/>
        <w:rPr>
          <w:sz w:val="20"/>
          <w:szCs w:val="20"/>
          <w:color w:val="auto"/>
        </w:rPr>
      </w:pPr>
      <w:r>
        <w:rPr>
          <w:rFonts w:ascii="Times New Roman" w:cs="Times New Roman" w:eastAsia="Times New Roman" w:hAnsi="Times New Roman"/>
          <w:sz w:val="18"/>
          <w:szCs w:val="18"/>
          <w:color w:val="auto"/>
        </w:rPr>
        <w:t>Net premiums earned increased in the six months ended June 30, 2025 by 0.4% compared to the six months ended June 30, 2024. The increase in net premiums earned was due to an increase in our average IIF from $239.2 billion for the six months ended June 30, 2024 to $244.9 billion for the six months ended June 30, 2025, partially offset by an increase in ceded premiums as a result of higher ceded losses under our third party quota share arrangements. The average net premium rate was 0.36% for the six months ended June 30, 2025 and 2024, respectively.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three months ended June 30, 2025 and 2024, unearned premiums decreased by $7.3 million and $6.3 million, respectively. The change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unearned premiums was a result of net premiums written on single premium policies of $2.2 million and $1.6 million, respectively, which was offset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 million and $7.9 million, respectively, of unearned premium that was recognized in earnings during the periods. In the six months ended June 30, 2025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2024, unearned premiums decreased by $14.9 million and $13.4 million, respectively. This was a result of net premiums written on single premium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policies of $4.1 million and $4.5 million, respectively, which was offset by $19.0 million and $17.9 million, respectively, of unearned premium that was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in earnings during the periods.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7" w:lineRule="exact"/>
        <w:rPr>
          <w:sz w:val="20"/>
          <w:szCs w:val="20"/>
          <w:color w:val="auto"/>
        </w:rPr>
      </w:pPr>
    </w:p>
    <w:p>
      <w:pPr>
        <w:ind w:right="80" w:firstLine="646"/>
        <w:spacing w:after="0" w:line="257" w:lineRule="auto"/>
        <w:rPr>
          <w:sz w:val="20"/>
          <w:szCs w:val="20"/>
          <w:color w:val="auto"/>
        </w:rPr>
      </w:pPr>
      <w:r>
        <w:rPr>
          <w:rFonts w:ascii="Times New Roman" w:cs="Times New Roman" w:eastAsia="Times New Roman" w:hAnsi="Times New Roman"/>
          <w:sz w:val="18"/>
          <w:szCs w:val="18"/>
          <w:color w:val="auto"/>
        </w:rPr>
        <w:t>In the three months ended June 30, 2025 we recorded a provision for losses of $15.4 million compared to a benefit of $1.2 million for the three months ended June 30, 2024. In the six months ended June 30, 2025 we recorded a provision of $46.1 million compared to a provision of $8.1 million for the six months ended June 30, 2024. The increase in the provision for losses in the three and six months ended June 30, 2025 compared to the same periods in 2024 was primarily due to the aging of defaults remaining within the mortgage insurance portfolio as of June 30, 2025, which resulted in an increase in our reserve per default.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rollforward of insured loans in default for our U.S. mortgage insurance portfolio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30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960" w:type="dxa"/>
            <w:vAlign w:val="bottom"/>
            <w:gridSpan w:val="3"/>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
        </w:trPr>
        <w:tc>
          <w:tcPr>
            <w:tcW w:w="60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9"/>
        </w:trPr>
        <w:tc>
          <w:tcPr>
            <w:tcW w:w="52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17,759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r>
      <w:tr>
        <w:trPr>
          <w:trHeight w:val="22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new defaults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16,379</w:t>
            </w:r>
          </w:p>
        </w:tc>
      </w:tr>
      <w:tr>
        <w:trPr>
          <w:trHeight w:val="22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(9,078)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(16,907)</w:t>
            </w:r>
          </w:p>
        </w:tc>
      </w:tr>
      <w:tr>
        <w:trPr>
          <w:trHeight w:val="22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rescissions and denials, net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2"/>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8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17,255</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13,954</w:t>
            </w:r>
          </w:p>
        </w:tc>
      </w:tr>
      <w:tr>
        <w:trPr>
          <w:trHeight w:val="20"/>
        </w:trPr>
        <w:tc>
          <w:tcPr>
            <w:tcW w:w="5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loans in default as of the dates indicated for our U.S. mortgage insurance portfolio:</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120" w:type="dxa"/>
            <w:vAlign w:val="bottom"/>
          </w:tcPr>
          <w:p>
            <w:pPr>
              <w:spacing w:after="0"/>
              <w:rPr>
                <w:sz w:val="16"/>
                <w:szCs w:val="16"/>
                <w:color w:val="auto"/>
              </w:rPr>
            </w:pPr>
          </w:p>
        </w:tc>
      </w:tr>
      <w:tr>
        <w:trPr>
          <w:trHeight w:val="25"/>
        </w:trPr>
        <w:tc>
          <w:tcPr>
            <w:tcW w:w="21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9"/>
        </w:trPr>
        <w:tc>
          <w:tcPr>
            <w:tcW w:w="2180" w:type="dxa"/>
            <w:vAlign w:val="bottom"/>
            <w:tcBorders>
              <w:bottom w:val="single" w:sz="8" w:color="CCEEFF"/>
            </w:tcBorders>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Case reserves (in thousands) </w:t>
            </w:r>
            <w:r>
              <w:rPr>
                <w:rFonts w:ascii="Times New Roman" w:cs="Times New Roman" w:eastAsia="Times New Roman" w:hAnsi="Times New Roman"/>
                <w:sz w:val="18"/>
                <w:szCs w:val="18"/>
                <w:b w:val="1"/>
                <w:bCs w:val="1"/>
                <w:color w:val="auto"/>
              </w:rPr>
              <w:t>(1)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319,408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226,976</w:t>
            </w: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Total reserves (in thousands) </w:t>
            </w:r>
            <w:r>
              <w:rPr>
                <w:rFonts w:ascii="Times New Roman" w:cs="Times New Roman" w:eastAsia="Times New Roman" w:hAnsi="Times New Roman"/>
                <w:sz w:val="18"/>
                <w:szCs w:val="18"/>
                <w:b w:val="1"/>
                <w:bCs w:val="1"/>
                <w:color w:val="auto"/>
              </w:rPr>
              <w:t>(1)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345,952</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246,107</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17,255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13,954</w:t>
            </w: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case reserve per default (in thousands)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total reserve per default (in thousands)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received included in 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135</w:t>
            </w:r>
          </w:p>
        </w:tc>
      </w:tr>
      <w:tr>
        <w:trPr>
          <w:trHeight w:val="161"/>
        </w:trPr>
        <w:tc>
          <w:tcPr>
            <w:tcW w:w="2180" w:type="dxa"/>
            <w:vAlign w:val="bottom"/>
            <w:tcBorders>
              <w:bottom w:val="single" w:sz="8" w:color="auto"/>
            </w:tcBorders>
          </w:tcPr>
          <w:p>
            <w:pPr>
              <w:spacing w:after="0"/>
              <w:rPr>
                <w:sz w:val="14"/>
                <w:szCs w:val="14"/>
                <w:color w:val="auto"/>
              </w:rPr>
            </w:pPr>
          </w:p>
        </w:tc>
        <w:tc>
          <w:tcPr>
            <w:tcW w:w="5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76" w:lineRule="exact"/>
        <w:rPr>
          <w:sz w:val="20"/>
          <w:szCs w:val="20"/>
          <w:color w:val="auto"/>
        </w:rPr>
      </w:pPr>
    </w:p>
    <w:p>
      <w:pPr>
        <w:ind w:left="660" w:right="240" w:hanging="330"/>
        <w:spacing w:after="0" w:line="280"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$88 thousand and $33 thousand as of June 30, 2025 and June 30, 2024.</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U.S. mortgage insurance reserve balances for losses and LAE: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253,565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310,156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245,402</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221,397</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occurring in:</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70,049</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(61,942)</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losses and LAE during the current period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0" w:type="dxa"/>
            <w:vAlign w:val="bottom"/>
          </w:tcPr>
          <w:p>
            <w:pPr>
              <w:spacing w:after="0"/>
              <w:rPr>
                <w:sz w:val="1"/>
                <w:szCs w:val="1"/>
                <w:color w:val="auto"/>
              </w:rPr>
            </w:pPr>
          </w:p>
        </w:tc>
      </w:tr>
      <w:tr>
        <w:trPr>
          <w:trHeight w:val="20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occurring in: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payments during the current period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220,085</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26,022</w:t>
            </w:r>
          </w:p>
        </w:tc>
        <w:tc>
          <w:tcPr>
            <w:tcW w:w="0" w:type="dxa"/>
            <w:vAlign w:val="bottom"/>
          </w:tcPr>
          <w:p>
            <w:pPr>
              <w:spacing w:after="0"/>
              <w:rPr>
                <w:sz w:val="1"/>
                <w:szCs w:val="1"/>
                <w:color w:val="auto"/>
              </w:rPr>
            </w:pPr>
          </w:p>
        </w:tc>
      </w:tr>
      <w:tr>
        <w:trPr>
          <w:trHeight w:val="22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 (1)</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345,952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246,107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3836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325" w:lineRule="exact"/>
        <w:rPr>
          <w:sz w:val="20"/>
          <w:szCs w:val="20"/>
          <w:color w:val="auto"/>
        </w:rPr>
      </w:pPr>
    </w:p>
    <w:p>
      <w:pPr>
        <w:ind w:left="660" w:right="240" w:hanging="330"/>
        <w:spacing w:after="0" w:line="280"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$88 thousand and $33 thousand as of June 30, 2025 and June 30, 2024.</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00"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tables provide a detail of reserves and defaulted RIF by the number of missed payments and pending claims for our U.S. mortgage insurance portfolio:</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9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24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8"/>
        </w:trPr>
        <w:tc>
          <w:tcPr>
            <w:tcW w:w="3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4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3480" w:type="dxa"/>
            <w:vAlign w:val="bottom"/>
            <w:gridSpan w:val="3"/>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0" w:type="dxa"/>
            <w:vAlign w:val="bottom"/>
          </w:tcPr>
          <w:p>
            <w:pPr>
              <w:spacing w:after="0"/>
              <w:rPr>
                <w:sz w:val="16"/>
                <w:szCs w:val="16"/>
                <w:color w:val="auto"/>
              </w:rPr>
            </w:pP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6"/>
                <w:szCs w:val="16"/>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9"/>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Two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436,738</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9"/>
        </w:trPr>
        <w:tc>
          <w:tcPr>
            <w:tcW w:w="3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Three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23,028</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189,938</w:t>
            </w:r>
          </w:p>
        </w:tc>
        <w:tc>
          <w:tcPr>
            <w:tcW w:w="1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29"/>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00" w:type="dxa"/>
            <w:vAlign w:val="bottom"/>
          </w:tcPr>
          <w:p>
            <w:pPr>
              <w:spacing w:after="0"/>
              <w:rPr>
                <w:sz w:val="19"/>
                <w:szCs w:val="19"/>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134,497</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561,051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29"/>
        </w:trPr>
        <w:tc>
          <w:tcPr>
            <w:tcW w:w="3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118,154</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190,189</w:t>
            </w:r>
          </w:p>
        </w:tc>
        <w:tc>
          <w:tcPr>
            <w:tcW w:w="1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29"/>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r>
        <w:trPr>
          <w:trHeight w:val="247"/>
        </w:trPr>
        <w:tc>
          <w:tcPr>
            <w:tcW w:w="348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(1)</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1,393,705</w:t>
            </w:r>
          </w:p>
        </w:tc>
        <w:tc>
          <w:tcPr>
            <w:tcW w:w="1340" w:type="dxa"/>
            <w:vAlign w:val="bottom"/>
            <w:tcBorders>
              <w:top w:val="single" w:sz="8" w:color="CCEEFF"/>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23%</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IBNR</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23,956</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80" w:type="dxa"/>
            <w:vAlign w:val="bottom"/>
            <w:gridSpan w:val="3"/>
            <w:vMerge w:val="continue"/>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(1)</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345,952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400" w:hanging="330"/>
        <w:spacing w:after="0" w:line="280"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$88 thousand as of June 30,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9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6"/>
        </w:trPr>
        <w:tc>
          <w:tcPr>
            <w:tcW w:w="3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6"/>
        </w:trPr>
        <w:tc>
          <w:tcPr>
            <w:tcW w:w="3480" w:type="dxa"/>
            <w:vAlign w:val="bottom"/>
            <w:gridSpan w:val="3"/>
            <w:vMerge w:val="continue"/>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0" w:type="dxa"/>
            <w:vAlign w:val="bottom"/>
          </w:tcPr>
          <w:p>
            <w:pPr>
              <w:spacing w:after="0"/>
              <w:rPr>
                <w:sz w:val="17"/>
                <w:szCs w:val="17"/>
                <w:color w:val="auto"/>
              </w:rPr>
            </w:pP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7"/>
                <w:szCs w:val="17"/>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8"/>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Two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372,669</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9"/>
        </w:trPr>
        <w:tc>
          <w:tcPr>
            <w:tcW w:w="3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Three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17,938</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153,207</w:t>
            </w:r>
          </w:p>
        </w:tc>
        <w:tc>
          <w:tcPr>
            <w:tcW w:w="1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29"/>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tcPr>
          <w:p>
            <w:pPr>
              <w:spacing w:after="0"/>
              <w:rPr>
                <w:sz w:val="19"/>
                <w:szCs w:val="19"/>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93,489</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383,685</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29"/>
        </w:trPr>
        <w:tc>
          <w:tcPr>
            <w:tcW w:w="3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82,529</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135,616</w:t>
            </w:r>
          </w:p>
        </w:tc>
        <w:tc>
          <w:tcPr>
            <w:tcW w:w="1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29"/>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89</w:t>
            </w:r>
          </w:p>
        </w:tc>
        <w:tc>
          <w:tcPr>
            <w:tcW w:w="0" w:type="dxa"/>
            <w:vAlign w:val="bottom"/>
          </w:tcPr>
          <w:p>
            <w:pPr>
              <w:spacing w:after="0"/>
              <w:rPr>
                <w:sz w:val="1"/>
                <w:szCs w:val="1"/>
                <w:color w:val="auto"/>
              </w:rPr>
            </w:pPr>
          </w:p>
        </w:tc>
      </w:tr>
      <w:tr>
        <w:trPr>
          <w:trHeight w:val="247"/>
        </w:trPr>
        <w:tc>
          <w:tcPr>
            <w:tcW w:w="348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1,053,717</w:t>
            </w:r>
          </w:p>
        </w:tc>
        <w:tc>
          <w:tcPr>
            <w:tcW w:w="1340" w:type="dxa"/>
            <w:vAlign w:val="bottom"/>
            <w:tcBorders>
              <w:top w:val="single" w:sz="8" w:color="CCEEFF"/>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22%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IBNR</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17,023</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80" w:type="dxa"/>
            <w:vAlign w:val="bottom"/>
            <w:gridSpan w:val="3"/>
            <w:vMerge w:val="continue"/>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(2)</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246,107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18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right="400" w:hanging="330"/>
        <w:spacing w:after="0" w:line="280"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$33 thousand as of June 30, 2024.</w:t>
      </w:r>
    </w:p>
    <w:p>
      <w:pPr>
        <w:spacing w:after="0" w:line="190" w:lineRule="exact"/>
        <w:rPr>
          <w:sz w:val="20"/>
          <w:szCs w:val="20"/>
          <w:color w:val="auto"/>
        </w:rPr>
      </w:pPr>
    </w:p>
    <w:p>
      <w:pPr>
        <w:ind w:right="80" w:firstLine="646"/>
        <w:spacing w:after="0" w:line="259" w:lineRule="auto"/>
        <w:rPr>
          <w:sz w:val="20"/>
          <w:szCs w:val="20"/>
          <w:color w:val="auto"/>
        </w:rPr>
      </w:pPr>
      <w:r>
        <w:rPr>
          <w:rFonts w:ascii="Times New Roman" w:cs="Times New Roman" w:eastAsia="Times New Roman" w:hAnsi="Times New Roman"/>
          <w:sz w:val="18"/>
          <w:szCs w:val="18"/>
          <w:color w:val="auto"/>
        </w:rPr>
        <w:t>During the three months ended June 30, 2025, the Mortgage Insurance provision for losses and LAE was a provision of $15.3 million, comprised of $45.1 million of current year losses partially offset by $29.8 million of favorable prior years’ loss development. During the three months ended June 30, 2024, the benefit for losses and LAE was $1.2 million, comprised of $30.7 million of current year losses offset by $31.9 million of favorable prior years’ loss development.</w:t>
      </w:r>
    </w:p>
    <w:p>
      <w:pPr>
        <w:spacing w:after="0" w:line="210"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During the six months ended June 30, 2025, the Mortgage Insurance provision for losses and LAE was $46.0 million, comprised of $94.0 million of current year losses partially offset by $48.0 million of favorable prior years’ loss development. During the six months ended June 30, 2024, the provision for losses and LAE was $8.1 million, comprised of $70.0 million of current year losses partially offset by $61.9 million of favorable prior years’ loss development.</w:t>
      </w:r>
    </w:p>
    <w:p>
      <w:pPr>
        <w:spacing w:after="0" w:line="210" w:lineRule="exact"/>
        <w:rPr>
          <w:sz w:val="20"/>
          <w:szCs w:val="20"/>
          <w:color w:val="auto"/>
        </w:rPr>
      </w:pPr>
    </w:p>
    <w:p>
      <w:pPr>
        <w:ind w:right="360" w:firstLine="646"/>
        <w:spacing w:after="0" w:line="280" w:lineRule="auto"/>
        <w:rPr>
          <w:sz w:val="20"/>
          <w:szCs w:val="20"/>
          <w:color w:val="auto"/>
        </w:rPr>
      </w:pPr>
      <w:r>
        <w:rPr>
          <w:rFonts w:ascii="Times New Roman" w:cs="Times New Roman" w:eastAsia="Times New Roman" w:hAnsi="Times New Roman"/>
          <w:sz w:val="18"/>
          <w:szCs w:val="18"/>
          <w:color w:val="auto"/>
        </w:rPr>
        <w:t>In all periods, the prior years’ loss development was the result of a re-estimation of amounts ultimately to be paid on prior year defaults in the default inventory, including the impact of previously identified defaults that cured.</w:t>
      </w:r>
    </w:p>
    <w:p>
      <w:pPr>
        <w:spacing w:after="0" w:line="190" w:lineRule="exact"/>
        <w:rPr>
          <w:sz w:val="20"/>
          <w:szCs w:val="20"/>
          <w:color w:val="auto"/>
        </w:rPr>
      </w:pPr>
    </w:p>
    <w:p>
      <w:pPr>
        <w:ind w:right="320"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 includes additional information about our claims paid and claim severity for our U.S. mortgage insurance portfolio for the periods indicated:</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8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 paid</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2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 of claims paid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9,007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15,337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9,171</w:t>
            </w: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 severity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Following are the components of other underwriting and operating expenses for the Mortgage Insurance segment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4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6"/>
                <w:szCs w:val="16"/>
                <w:color w:val="auto"/>
              </w:rPr>
            </w:pPr>
          </w:p>
        </w:tc>
        <w:tc>
          <w:tcPr>
            <w:tcW w:w="7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36,683</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36,463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taxes</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6"/>
              </w:rPr>
              <w:t>11,574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6"/>
              </w:rPr>
              <w:t>11,176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Ceding commission</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(13,418)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rPr>
              <w:t>22,765</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rPr>
              <w:t>22,252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55"/>
        </w:trPr>
        <w:tc>
          <w:tcPr>
            <w:tcW w:w="312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7"/>
                <w:szCs w:val="17"/>
                <w:color w:val="auto"/>
              </w:rPr>
              <w:t>Total other underwriting and operating</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57,604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58,623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5"/>
        </w:trPr>
        <w:tc>
          <w:tcPr>
            <w:tcW w:w="3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Average number of employees during the</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143" w:lineRule="exact"/>
        <w:rPr>
          <w:sz w:val="20"/>
          <w:szCs w:val="20"/>
          <w:color w:val="auto"/>
        </w:rPr>
      </w:pPr>
    </w:p>
    <w:p>
      <w:pPr>
        <w:ind w:left="660" w:right="60" w:hanging="249"/>
        <w:spacing w:after="0" w:line="23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decreased during the three months ended June 30, 2025 compared to the same period in 2024 primarily due to a decrease in average number of employees during the current period. Compensation and benefits during the six months ended June 30, 2025 were largely unchanged compared to the same period in 2024 as the impact of lower average employees in 2025 was offset by the timing of stock-based compensation due to provisions in certain equity grants that reduced the service period resulting in higher expense in early 2025. Compensation and benefits includes salaries, wages and bonus, stock compensation expense, benefits and payroll taxes. The first quarter of each year typically has higher compensation and benefits expense than the subsequent quarters due to payroll taxes on annual bonus payouts and vesting of nonvested stock and stock units, as well as higher stock-based compensation expense.</w:t>
      </w:r>
    </w:p>
    <w:p>
      <w:pPr>
        <w:spacing w:after="0" w:line="129" w:lineRule="exact"/>
        <w:rPr>
          <w:rFonts w:ascii="Times New Roman" w:cs="Times New Roman" w:eastAsia="Times New Roman" w:hAnsi="Times New Roman"/>
          <w:sz w:val="18"/>
          <w:szCs w:val="18"/>
          <w:color w:val="auto"/>
        </w:rPr>
      </w:pPr>
    </w:p>
    <w:p>
      <w:pPr>
        <w:ind w:left="660" w:right="380" w:hanging="249"/>
        <w:spacing w:after="0" w:line="28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ceding commission during the three and six month periods ended June 30, 2025 compared to the same periods in 2024 results from increases in the amount of reinsured insurance in force under our outstanding quota share arrangements.</w:t>
      </w:r>
    </w:p>
    <w:p>
      <w:pPr>
        <w:spacing w:after="0" w:line="95" w:lineRule="exact"/>
        <w:rPr>
          <w:rFonts w:ascii="Times New Roman" w:cs="Times New Roman" w:eastAsia="Times New Roman" w:hAnsi="Times New Roman"/>
          <w:sz w:val="18"/>
          <w:szCs w:val="18"/>
          <w:color w:val="auto"/>
        </w:rPr>
      </w:pPr>
    </w:p>
    <w:p>
      <w:pPr>
        <w:ind w:left="640" w:hanging="22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professional fees, travel, marketing, hardware, software, rent, depreciation and amortization and other facilities expenses.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Corporate &amp; Other</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31,917</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49,446</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74,419</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15,711</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and expenses before allocations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91,597</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(22,458)</w:t>
            </w:r>
          </w:p>
        </w:tc>
        <w:tc>
          <w:tcPr>
            <w:tcW w:w="0" w:type="dxa"/>
            <w:vAlign w:val="bottom"/>
          </w:tcPr>
          <w:p>
            <w:pPr>
              <w:spacing w:after="0"/>
              <w:rPr>
                <w:sz w:val="1"/>
                <w:szCs w:val="1"/>
                <w:color w:val="auto"/>
              </w:rPr>
            </w:pPr>
          </w:p>
        </w:tc>
      </w:tr>
      <w:tr>
        <w:trPr>
          <w:trHeight w:val="222"/>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and expenses after allocations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54,030</w:t>
            </w:r>
          </w:p>
        </w:tc>
        <w:tc>
          <w:tcPr>
            <w:tcW w:w="0" w:type="dxa"/>
            <w:vAlign w:val="bottom"/>
          </w:tcPr>
          <w:p>
            <w:pPr>
              <w:spacing w:after="0"/>
              <w:rPr>
                <w:sz w:val="1"/>
                <w:szCs w:val="1"/>
                <w:color w:val="auto"/>
              </w:rPr>
            </w:pPr>
          </w:p>
        </w:tc>
      </w:tr>
      <w:tr>
        <w:trPr>
          <w:trHeight w:val="22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2025 Compared to the Three and Six Months Ended June 30, 2024</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Premiums Earned</w:t>
      </w:r>
    </w:p>
    <w:p>
      <w:pPr>
        <w:spacing w:after="0" w:line="147" w:lineRule="exact"/>
        <w:rPr>
          <w:sz w:val="20"/>
          <w:szCs w:val="20"/>
          <w:color w:val="auto"/>
        </w:rPr>
      </w:pPr>
    </w:p>
    <w:p>
      <w:pPr>
        <w:ind w:right="40" w:firstLine="404"/>
        <w:spacing w:after="0" w:line="265" w:lineRule="auto"/>
        <w:rPr>
          <w:sz w:val="20"/>
          <w:szCs w:val="20"/>
          <w:color w:val="auto"/>
        </w:rPr>
      </w:pPr>
      <w:r>
        <w:rPr>
          <w:rFonts w:ascii="Times New Roman" w:cs="Times New Roman" w:eastAsia="Times New Roman" w:hAnsi="Times New Roman"/>
          <w:sz w:val="18"/>
          <w:szCs w:val="18"/>
          <w:color w:val="auto"/>
        </w:rPr>
        <w:t>Net premiums earned reported in Corporate &amp; Other relate to premiums earned by our title insurance operations. The decrease in net premiums earned is primarily due to a decrease in title insurance policies issued in the three and six month periods ended June 30, 2025 compared to the same periods in 2024.</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&amp; LAE</w:t>
      </w:r>
    </w:p>
    <w:p>
      <w:pPr>
        <w:spacing w:after="0" w:line="160" w:lineRule="exact"/>
        <w:rPr>
          <w:sz w:val="20"/>
          <w:szCs w:val="20"/>
          <w:color w:val="auto"/>
        </w:rPr>
      </w:pPr>
    </w:p>
    <w:p>
      <w:pPr>
        <w:ind w:right="220" w:firstLine="404"/>
        <w:spacing w:after="0" w:line="265" w:lineRule="auto"/>
        <w:rPr>
          <w:sz w:val="20"/>
          <w:szCs w:val="20"/>
          <w:color w:val="auto"/>
        </w:rPr>
      </w:pPr>
      <w:r>
        <w:rPr>
          <w:rFonts w:ascii="Times New Roman" w:cs="Times New Roman" w:eastAsia="Times New Roman" w:hAnsi="Times New Roman"/>
          <w:sz w:val="18"/>
          <w:szCs w:val="18"/>
          <w:color w:val="auto"/>
        </w:rPr>
        <w:t>The provision for losses reported in Corporate &amp; Other relates to loss provisions recorded by our title insurance operations. The increase in the provision for losses in the three and six month periods ended June 30, 2025 compared to the same periods in 2024 is primarily due to the impact of recent industry experience and trends on our IBNR reserves. Title insurance reserves were $18.7 million at both June 30, 2025 and December 31, 2024.</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Following are the components of other underwriting and operating expenses for the Corporate &amp; Other category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0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6"/>
                <w:szCs w:val="16"/>
                <w:color w:val="auto"/>
              </w:rPr>
            </w:pPr>
          </w:p>
        </w:tc>
        <w:tc>
          <w:tcPr>
            <w:tcW w:w="7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taxes</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55"/>
        </w:trPr>
        <w:tc>
          <w:tcPr>
            <w:tcW w:w="32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7"/>
                <w:szCs w:val="17"/>
                <w:color w:val="auto"/>
              </w:rPr>
              <w:t>Total other underwriting and operating</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35,754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37,806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76,285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74,419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5"/>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8"/>
                <w:szCs w:val="18"/>
                <w:color w:val="auto"/>
              </w:rPr>
              <w:t>Average number of employees during the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183" w:lineRule="exact"/>
        <w:rPr>
          <w:sz w:val="20"/>
          <w:szCs w:val="20"/>
          <w:color w:val="auto"/>
        </w:rPr>
      </w:pPr>
    </w:p>
    <w:p>
      <w:pPr>
        <w:ind w:left="660" w:right="160" w:hanging="249"/>
        <w:spacing w:after="0" w:line="234" w:lineRule="auto"/>
        <w:tabs>
          <w:tab w:leader="none" w:pos="62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Compensation and benefits decreased in the three months ended June 30, 2025 compared to the same period in 2024 primarily due to decreases in stock based compensation expense as a result of provisions in certain equity grants that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660" w:right="200"/>
        <w:spacing w:after="0" w:line="257" w:lineRule="auto"/>
        <w:rPr>
          <w:sz w:val="20"/>
          <w:szCs w:val="20"/>
          <w:color w:val="auto"/>
        </w:rPr>
      </w:pPr>
      <w:r>
        <w:rPr>
          <w:rFonts w:ascii="Times New Roman" w:cs="Times New Roman" w:eastAsia="Times New Roman" w:hAnsi="Times New Roman"/>
          <w:sz w:val="18"/>
          <w:szCs w:val="18"/>
          <w:color w:val="auto"/>
        </w:rPr>
        <w:t>reduced the service period, resulting in higher expense in early 2025. Compensation and benefits increased during the six months ended June 30, 2025 compared to the same period in 2024 as a result of an increase in the average number of employees. Compensation and benefits includes salaries, wages and bonus, stock compensation expense, benefits and payroll taxes.</w:t>
      </w:r>
    </w:p>
    <w:p>
      <w:pPr>
        <w:spacing w:after="0" w:line="102" w:lineRule="exact"/>
        <w:rPr>
          <w:sz w:val="20"/>
          <w:szCs w:val="20"/>
          <w:color w:val="auto"/>
        </w:rPr>
      </w:pPr>
    </w:p>
    <w:p>
      <w:pPr>
        <w:ind w:left="660" w:hanging="249"/>
        <w:spacing w:after="0" w:line="265"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taxes increased during the six months ended June 30, 2025 compared to the same period in 2024 primarily due to $1.0 million of net expense associated with prior year premium tax returns. Premium taxes were largely unchanged in the three months ended June 30, 2025 compared to the same period in 2024.</w:t>
      </w:r>
    </w:p>
    <w:p>
      <w:pPr>
        <w:spacing w:after="0" w:line="94" w:lineRule="exact"/>
        <w:rPr>
          <w:rFonts w:ascii="Times New Roman" w:cs="Times New Roman" w:eastAsia="Times New Roman" w:hAnsi="Times New Roman"/>
          <w:sz w:val="18"/>
          <w:szCs w:val="18"/>
          <w:color w:val="auto"/>
        </w:rPr>
      </w:pPr>
    </w:p>
    <w:p>
      <w:pPr>
        <w:ind w:left="660" w:hanging="249"/>
        <w:spacing w:after="0" w:line="255"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title and settlement services direct cost, professional fees, travel, marketing, hardware, software, rent, depreciation and amortization and other facilities expenses. Other expenses also includes premiums retained by agents which represents the portion of title insurance premiums retained by our third-party agents pursuant to the terms of their respective agency contracts. Other expenses were largely unchanged in the three months ended June 30, 2025 compared to the same period in 2024 and decreased during the six months ended June 30, 2025 compared to the same period in 2024 primarily due to decreases in title and settlement services direct cost and premiums retained by agents due to a decrease in title insurance policies issued 2025, partially offset by an increase in professional fees.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sources of funds consist primarily of:</w:t>
      </w:r>
    </w:p>
    <w:p>
      <w:pPr>
        <w:spacing w:after="0" w:line="223" w:lineRule="exact"/>
        <w:rPr>
          <w:sz w:val="20"/>
          <w:szCs w:val="20"/>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and interest income on the portfolio;</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that we will receive from our existing IIF as well as policies that we write in the future;</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our Revolving Credit Facility; and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capital shares.</w:t>
      </w:r>
    </w:p>
    <w:p>
      <w:pPr>
        <w:spacing w:after="0" w:line="22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consist primarily of:</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payments under our policies;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and repayment of borrowings under our Senior Notes and Revolving Credit Facility;</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costs and operating expenses of our business;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common shares under the share repurchase plan approved by our Board of Directors; and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shares.</w:t>
      </w:r>
    </w:p>
    <w:p>
      <w:pPr>
        <w:spacing w:after="0" w:line="210" w:lineRule="exact"/>
        <w:rPr>
          <w:sz w:val="20"/>
          <w:szCs w:val="20"/>
          <w:color w:val="auto"/>
        </w:rPr>
      </w:pPr>
    </w:p>
    <w:p>
      <w:pPr>
        <w:ind w:right="20" w:firstLine="646"/>
        <w:spacing w:after="0" w:line="241" w:lineRule="auto"/>
        <w:rPr>
          <w:sz w:val="20"/>
          <w:szCs w:val="20"/>
          <w:color w:val="auto"/>
        </w:rPr>
      </w:pPr>
      <w:r>
        <w:rPr>
          <w:rFonts w:ascii="Times New Roman" w:cs="Times New Roman" w:eastAsia="Times New Roman" w:hAnsi="Times New Roman"/>
          <w:sz w:val="18"/>
          <w:szCs w:val="18"/>
          <w:color w:val="auto"/>
        </w:rPr>
        <w:t>As of June 30, 2025, we had substantial liquidity with cash of $92.1 million, short-term investments of $583.0 million and fixed maturity investments of $5.4 billion. We also had $500 million available capacity under our Revolving Credit Facility. Cash and investments available for sale at the holding companies totaled $1.0 billion at June 30, 2025.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June 30, 2025.</w:t>
      </w:r>
    </w:p>
    <w:p>
      <w:pPr>
        <w:spacing w:after="0" w:line="225" w:lineRule="exact"/>
        <w:rPr>
          <w:sz w:val="20"/>
          <w:szCs w:val="20"/>
          <w:color w:val="auto"/>
        </w:rPr>
      </w:pPr>
    </w:p>
    <w:p>
      <w:pPr>
        <w:ind w:right="100" w:firstLine="646"/>
        <w:spacing w:after="0" w:line="257" w:lineRule="auto"/>
        <w:rPr>
          <w:sz w:val="20"/>
          <w:szCs w:val="20"/>
          <w:color w:val="auto"/>
        </w:rPr>
      </w:pPr>
      <w:r>
        <w:rPr>
          <w:rFonts w:ascii="Times New Roman" w:cs="Times New Roman" w:eastAsia="Times New Roman" w:hAnsi="Times New Roman"/>
          <w:sz w:val="18"/>
          <w:szCs w:val="18"/>
          <w:color w:val="auto"/>
        </w:rPr>
        <w:t>On July 1, 2024, we completed an underwritten public offering of $500 million of 6.25% Senior Notes due in 2029. The Company used the net proceeds from the sale of the Senior Notes to repay the $425 million of borrowings outstanding under the term loan portion of the Existing Credit Facility and intends to use the remaining net proceeds for general corporate purposes. On July 1, 2024, concurrently with the closing of the offering of the Senior Notes and the repayment of all of the borrowings outstanding under the term loan portion of the Existing Credit Facility, the Fourth Amended and Restated Credit Agreement (the “Revolving Credit Agreement”) became effective and amends and restates the Existing Credit Facility. The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Revolving Credit Agreement provides for an effective increase in the Company’s revolving credit facility borrowing capacity from $400 million to $500 million.</w:t>
      </w:r>
    </w:p>
    <w:p>
      <w:pPr>
        <w:spacing w:after="0" w:line="190" w:lineRule="exact"/>
        <w:rPr>
          <w:sz w:val="20"/>
          <w:szCs w:val="20"/>
          <w:color w:val="auto"/>
        </w:rPr>
      </w:pPr>
    </w:p>
    <w:p>
      <w:pPr>
        <w:ind w:right="280" w:firstLine="646"/>
        <w:spacing w:after="0" w:line="280" w:lineRule="auto"/>
        <w:rPr>
          <w:sz w:val="20"/>
          <w:szCs w:val="20"/>
          <w:color w:val="auto"/>
        </w:rPr>
      </w:pPr>
      <w:r>
        <w:rPr>
          <w:rFonts w:ascii="Times New Roman" w:cs="Times New Roman" w:eastAsia="Times New Roman" w:hAnsi="Times New Roman"/>
          <w:sz w:val="18"/>
          <w:szCs w:val="18"/>
          <w:color w:val="auto"/>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spacing w:after="0" w:line="149" w:lineRule="exact"/>
        <w:rPr>
          <w:sz w:val="20"/>
          <w:szCs w:val="20"/>
          <w:color w:val="auto"/>
        </w:rPr>
      </w:pPr>
    </w:p>
    <w:p>
      <w:pPr>
        <w:ind w:firstLine="646"/>
        <w:spacing w:after="0" w:line="239" w:lineRule="auto"/>
        <w:rPr>
          <w:sz w:val="20"/>
          <w:szCs w:val="20"/>
          <w:color w:val="auto"/>
        </w:rPr>
      </w:pPr>
      <w:r>
        <w:rPr>
          <w:rFonts w:ascii="Times New Roman" w:cs="Times New Roman" w:eastAsia="Times New Roman" w:hAnsi="Times New Roman"/>
          <w:sz w:val="18"/>
          <w:szCs w:val="18"/>
          <w:color w:val="auto"/>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the operating subsidiary level, liquidity could be impacted by any one of the following factors:</w:t>
      </w:r>
    </w:p>
    <w:p>
      <w:pPr>
        <w:spacing w:after="0" w:line="223" w:lineRule="exact"/>
        <w:rPr>
          <w:sz w:val="20"/>
          <w:szCs w:val="20"/>
          <w:color w:val="auto"/>
        </w:rPr>
      </w:pPr>
    </w:p>
    <w:p>
      <w:pPr>
        <w:ind w:left="640" w:hanging="310"/>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value of our investments;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sell investment assets to provide cash to fund operating needs;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expected revenues generated from operations;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expected claim payments related to our IIF; or</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operating expenses.</w:t>
      </w:r>
    </w:p>
    <w:p>
      <w:pPr>
        <w:spacing w:after="0" w:line="156" w:lineRule="exact"/>
        <w:rPr>
          <w:sz w:val="20"/>
          <w:szCs w:val="20"/>
          <w:color w:val="auto"/>
        </w:rPr>
      </w:pPr>
    </w:p>
    <w:p>
      <w:pPr>
        <w:ind w:right="160" w:firstLine="404"/>
        <w:spacing w:after="0" w:line="254" w:lineRule="auto"/>
        <w:rPr>
          <w:sz w:val="20"/>
          <w:szCs w:val="20"/>
          <w:color w:val="auto"/>
        </w:rPr>
      </w:pPr>
      <w:r>
        <w:rPr>
          <w:rFonts w:ascii="Times New Roman" w:cs="Times New Roman" w:eastAsia="Times New Roman" w:hAnsi="Times New Roman"/>
          <w:sz w:val="18"/>
          <w:szCs w:val="18"/>
          <w:color w:val="auto"/>
        </w:rPr>
        <w:t>Our U.S. insurance subsidiaries are subject to certain capital and dividend rules and regulations prescribed by jurisdictions in which they are authorized to operate and, in the case of Essent Guaranty,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without the prior approval of the Pennsylvania Insurance Department, dividends and other distributions may only be paid out of positive unassigned surplus. At June 30, 2025, Essent Guaranty had unassigned surplus of approximately $444.8 million. As of June 30, 2025, Essent Guaranty could pay additional ordinary dividends in 2025 of $365.5 million.</w:t>
      </w:r>
    </w:p>
    <w:p>
      <w:pPr>
        <w:spacing w:after="0" w:line="121" w:lineRule="exact"/>
        <w:rPr>
          <w:sz w:val="20"/>
          <w:szCs w:val="20"/>
          <w:color w:val="auto"/>
        </w:rPr>
      </w:pPr>
    </w:p>
    <w:p>
      <w:pPr>
        <w:ind w:right="20" w:firstLine="404"/>
        <w:spacing w:after="0" w:line="254" w:lineRule="auto"/>
        <w:rPr>
          <w:sz w:val="20"/>
          <w:szCs w:val="20"/>
          <w:color w:val="auto"/>
        </w:rPr>
      </w:pPr>
      <w:r>
        <w:rPr>
          <w:rFonts w:ascii="Times New Roman" w:cs="Times New Roman" w:eastAsia="Times New Roman" w:hAnsi="Times New Roman"/>
          <w:sz w:val="18"/>
          <w:szCs w:val="18"/>
          <w:color w:val="auto"/>
        </w:rPr>
        <w:t>Essent Re is subject to certain dividend restrictions as prescribed by the Bermuda Monetary Authority and under certain agreements with counterparties. Class 3B insurers must obtain the BMA's prior approval for a reduction by 15% or more of total statutory capital or for a reduction by 25% or more of total statutory capital and surplus as set forth in its previous year's statutory financial statements. In connection with a quota share reinsurance agreement with Essent Guaranty, Essent Re has agreed to maintain a minimum total equity of $100 million. As of June 30, 2025, Essent Re had total equity of $1.8 billion. In connection with its insurance and reinsurance activities, Essent Re is required to maintain assets in trusts for the benefit of its contractual counterparties. See Note 3 to our condensed consolidated financial statements. As of June 30, 2025, Essent Re could pay additional dividends in 2025 of $221.9 million without prior approval from the BMA.</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2025, our insurance subsidiaries were in compliance with these rules, regulations and agreements.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7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5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411,104</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405,626</w:t>
            </w:r>
          </w:p>
        </w:tc>
        <w:tc>
          <w:tcPr>
            <w:tcW w:w="0" w:type="dxa"/>
            <w:vAlign w:val="bottom"/>
          </w:tcPr>
          <w:p>
            <w:pPr>
              <w:spacing w:after="0"/>
              <w:rPr>
                <w:sz w:val="1"/>
                <w:szCs w:val="1"/>
                <w:color w:val="auto"/>
              </w:rPr>
            </w:pPr>
          </w:p>
        </w:tc>
      </w:tr>
      <w:tr>
        <w:trPr>
          <w:trHeight w:val="229"/>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(255,272)</w:t>
            </w:r>
          </w:p>
        </w:tc>
        <w:tc>
          <w:tcPr>
            <w:tcW w:w="0" w:type="dxa"/>
            <w:vAlign w:val="bottom"/>
          </w:tcPr>
          <w:p>
            <w:pPr>
              <w:spacing w:after="0"/>
              <w:rPr>
                <w:sz w:val="1"/>
                <w:szCs w:val="1"/>
                <w:color w:val="auto"/>
              </w:rPr>
            </w:pPr>
          </w:p>
        </w:tc>
      </w:tr>
      <w:tr>
        <w:trPr>
          <w:trHeight w:val="229"/>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(401,892)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(94,739)</w:t>
            </w:r>
          </w:p>
        </w:tc>
        <w:tc>
          <w:tcPr>
            <w:tcW w:w="0" w:type="dxa"/>
            <w:vAlign w:val="bottom"/>
          </w:tcPr>
          <w:p>
            <w:pPr>
              <w:spacing w:after="0"/>
              <w:rPr>
                <w:sz w:val="1"/>
                <w:szCs w:val="1"/>
                <w:color w:val="auto"/>
              </w:rPr>
            </w:pPr>
          </w:p>
        </w:tc>
      </w:tr>
      <w:tr>
        <w:trPr>
          <w:trHeight w:val="222"/>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7" w:lineRule="exact"/>
        <w:rPr>
          <w:sz w:val="20"/>
          <w:szCs w:val="20"/>
          <w:color w:val="auto"/>
        </w:rPr>
      </w:pPr>
    </w:p>
    <w:p>
      <w:pPr>
        <w:ind w:right="240" w:firstLine="646"/>
        <w:spacing w:after="0" w:line="280" w:lineRule="auto"/>
        <w:rPr>
          <w:sz w:val="20"/>
          <w:szCs w:val="20"/>
          <w:color w:val="auto"/>
        </w:rPr>
      </w:pPr>
      <w:r>
        <w:rPr>
          <w:rFonts w:ascii="Times New Roman" w:cs="Times New Roman" w:eastAsia="Times New Roman" w:hAnsi="Times New Roman"/>
          <w:sz w:val="18"/>
          <w:szCs w:val="18"/>
          <w:color w:val="auto"/>
        </w:rPr>
        <w:t>Cash flow provided by operating activities totaled $411.1 million for the six months ended June 30, 2025, as compared to $405.6 million for the six months ended June 30, 2024. The increase in cash flow provided by operating activities was primarily due to increases in investment income.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7" w:lineRule="exact"/>
        <w:rPr>
          <w:sz w:val="20"/>
          <w:szCs w:val="20"/>
          <w:color w:val="auto"/>
        </w:rPr>
      </w:pPr>
    </w:p>
    <w:p>
      <w:pPr>
        <w:ind w:right="20" w:firstLine="646"/>
        <w:spacing w:after="0" w:line="259" w:lineRule="auto"/>
        <w:rPr>
          <w:sz w:val="20"/>
          <w:szCs w:val="20"/>
          <w:color w:val="auto"/>
        </w:rPr>
      </w:pPr>
      <w:r>
        <w:rPr>
          <w:rFonts w:ascii="Times New Roman" w:cs="Times New Roman" w:eastAsia="Times New Roman" w:hAnsi="Times New Roman"/>
          <w:sz w:val="18"/>
          <w:szCs w:val="18"/>
          <w:color w:val="auto"/>
        </w:rPr>
        <w:t>Cash flows used in investing activities totaled $48.6 million for the six months ended June 30, 2025 compared to $255.3 million for the six months ended June 30, 2024. The decrease in cash flows used in investing activities in the six months ended June 30, 2025 compared to six months ended June 30, 2024 were the result of maintaining higher cash balances to fund future financing activities. In the six months ended June 30, 2024 cash flow used in investing activities relates primarily to investing cash flows from operations.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7" w:lineRule="exact"/>
        <w:rPr>
          <w:sz w:val="20"/>
          <w:szCs w:val="20"/>
          <w:color w:val="auto"/>
        </w:rPr>
      </w:pPr>
    </w:p>
    <w:p>
      <w:pPr>
        <w:jc w:val="both"/>
        <w:ind w:right="360" w:firstLine="646"/>
        <w:spacing w:after="0" w:line="265" w:lineRule="auto"/>
        <w:rPr>
          <w:sz w:val="20"/>
          <w:szCs w:val="20"/>
          <w:color w:val="auto"/>
        </w:rPr>
      </w:pPr>
      <w:r>
        <w:rPr>
          <w:rFonts w:ascii="Times New Roman" w:cs="Times New Roman" w:eastAsia="Times New Roman" w:hAnsi="Times New Roman"/>
          <w:sz w:val="18"/>
          <w:szCs w:val="18"/>
          <w:color w:val="auto"/>
        </w:rPr>
        <w:t>Cash flow used in financing activities totaled $401.9 million and $94.7 million for the six months ended June 30, 2025 and 2024, respectively, primarily related to the quarterly cash dividends paid, repurchases of common stock under our share repurchase plans and treasury stock acquired from employees to satisfy tax withholding obligations.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Company Capital</w:t>
      </w:r>
    </w:p>
    <w:p>
      <w:pPr>
        <w:spacing w:after="0" w:line="227" w:lineRule="exact"/>
        <w:rPr>
          <w:sz w:val="20"/>
          <w:szCs w:val="20"/>
          <w:color w:val="auto"/>
        </w:rPr>
      </w:pPr>
    </w:p>
    <w:p>
      <w:pPr>
        <w:ind w:right="40" w:firstLine="646"/>
        <w:spacing w:after="0" w:line="254" w:lineRule="auto"/>
        <w:rPr>
          <w:sz w:val="20"/>
          <w:szCs w:val="20"/>
          <w:color w:val="auto"/>
        </w:rPr>
      </w:pPr>
      <w:r>
        <w:rPr>
          <w:rFonts w:ascii="Times New Roman" w:cs="Times New Roman" w:eastAsia="Times New Roman" w:hAnsi="Times New Roman"/>
          <w:sz w:val="18"/>
          <w:szCs w:val="18"/>
          <w:color w:val="auto"/>
        </w:rPr>
        <w:t>We compute a risk-to-capital ratio for our U.S. mortgage insurance company on a separate company statutory basis.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12" w:lineRule="exact"/>
        <w:rPr>
          <w:sz w:val="20"/>
          <w:szCs w:val="20"/>
          <w:color w:val="auto"/>
        </w:rPr>
      </w:pPr>
    </w:p>
    <w:p>
      <w:pPr>
        <w:ind w:right="240" w:firstLine="646"/>
        <w:spacing w:after="0" w:line="265" w:lineRule="auto"/>
        <w:rPr>
          <w:sz w:val="20"/>
          <w:szCs w:val="20"/>
          <w:color w:val="auto"/>
        </w:rPr>
      </w:pPr>
      <w:r>
        <w:rPr>
          <w:rFonts w:ascii="Times New Roman" w:cs="Times New Roman" w:eastAsia="Times New Roman" w:hAnsi="Times New Roman"/>
          <w:sz w:val="18"/>
          <w:szCs w:val="18"/>
          <w:color w:val="auto"/>
        </w:rPr>
        <w:t>During the six months ended June 30, 2025 and 2024, no capital contributions were made to our U.S. mortgage insurance subsidiary and Essent Guaranty paid dividends to Essent US Holdings, Inc. of $130 million and $107.5 million, respectively. During the six months ended June 30, 2025, and 2024, no capital contributions were made to Essent Title Insurance.</w:t>
      </w:r>
    </w:p>
    <w:p>
      <w:pPr>
        <w:spacing w:after="0" w:line="202"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Prior to December 31, 2024, Essent Guaranty reinsured that portion of the risk that is in excess of 25% of the mortgage balance with respect to any loan insured prior to April 1, 2019, after consideration of other reinsurance, to Essent Guaranty of PA, Inc. On December 31, 2024, Essent Guaranty and Essent PA entered into a commutation and release agreement in which all outstanding risk in force assumed by Essent PA was commuted back to Essent Guaranty in exchange for cash. Upon the commutation and release, Essent PA surrendered its insurance license and is no longer an insurance subsidiary of Essent Group Ltd. as of December 31, 2024.</w:t>
      </w:r>
    </w:p>
    <w:p>
      <w:pPr>
        <w:spacing w:after="0" w:line="197" w:lineRule="exact"/>
        <w:rPr>
          <w:sz w:val="20"/>
          <w:szCs w:val="20"/>
          <w:color w:val="auto"/>
        </w:rPr>
      </w:pPr>
    </w:p>
    <w:p>
      <w:pPr>
        <w:ind w:right="340" w:firstLine="179"/>
        <w:spacing w:after="0" w:line="265" w:lineRule="auto"/>
        <w:rPr>
          <w:sz w:val="20"/>
          <w:szCs w:val="20"/>
          <w:color w:val="auto"/>
        </w:rPr>
      </w:pPr>
      <w:r>
        <w:rPr>
          <w:rFonts w:ascii="Times New Roman" w:cs="Times New Roman" w:eastAsia="Times New Roman" w:hAnsi="Times New Roman"/>
          <w:sz w:val="18"/>
          <w:szCs w:val="18"/>
          <w:color w:val="auto"/>
        </w:rPr>
        <w:t>Essent Guaranty has entered into reinsurance agreements that provide excess of loss reinsurance coverage for new defaults on portfolios of mortgage insurance policies issued from January 1, 2018 through August 31, 2019 and August 1, 2020</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8"/>
          <w:szCs w:val="18"/>
          <w:color w:val="auto"/>
        </w:rPr>
        <w:t>through December 31, 2024. The aggregate excess of loss reinsurance coverages decrease over a ten-year period as the underlying covered mortgages amortize. In April 2025, Essent entered into two excess of loss transactions, effective July 1 of each year, with panels of highly rated third-party reinsurers covering 20% of all eligible policies written by Essent Guaranty, Inc. in calendar years 2025 and 2026.</w:t>
      </w:r>
    </w:p>
    <w:p>
      <w:pPr>
        <w:spacing w:after="0" w:line="217"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Essent Guaranty has entered into a quota share reinsurance agreement with a panel of third-party reinsurers ("QSR" agreement"). Each of the third-party reinsurers has an insurer minimum financial strength rating of A- or better by S&amp;P Global Ratings, AM Best or both. Under each QSR agreement, Essent Guaranty will cede premiums on a percentage of risk on all eligible policies written during a specified period, in exchange for reimbursement of ceded claims and claims expenses on covered policies, a specific ceding commission, as well as a profit commission that varies directly and inversely with ceded claims. These reinsurance coverages also reduces net risk in force and PMIERs Minimum Required Assets. See Note 4 to our condensed consolidated financial statements.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Essent Guaranty's quota share reinsurance agreements as of June 30, 2025:</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QSR Agreement</w:t>
            </w:r>
          </w:p>
        </w:tc>
        <w:tc>
          <w:tcPr>
            <w:tcW w:w="7180" w:type="dxa"/>
            <w:vAlign w:val="bottom"/>
            <w:gridSpan w:val="3"/>
          </w:tcPr>
          <w:p>
            <w:pPr>
              <w:ind w:left="3020"/>
              <w:spacing w:after="0"/>
              <w:rPr>
                <w:sz w:val="20"/>
                <w:szCs w:val="20"/>
                <w:color w:val="auto"/>
              </w:rPr>
            </w:pPr>
            <w:r>
              <w:rPr>
                <w:rFonts w:ascii="Times New Roman" w:cs="Times New Roman" w:eastAsia="Times New Roman" w:hAnsi="Times New Roman"/>
                <w:sz w:val="14"/>
                <w:szCs w:val="14"/>
                <w:b w:val="1"/>
                <w:bCs w:val="1"/>
                <w:color w:val="auto"/>
              </w:rPr>
              <w:t>Coverage Period</w:t>
            </w:r>
          </w:p>
        </w:tc>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Ceding Percentage</w:t>
            </w:r>
          </w:p>
        </w:tc>
      </w:tr>
      <w:tr>
        <w:trPr>
          <w:trHeight w:val="25"/>
        </w:trPr>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2"/>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QSR-2019</w:t>
            </w: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 2019</w:t>
            </w: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December 31, 2020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29"/>
        </w:trPr>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QSR-2022</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2022 -</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QSR-2023</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2023 -</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r>
      <w:tr>
        <w:trPr>
          <w:trHeight w:val="229"/>
        </w:trPr>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QSR-2024</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2024 -</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QSR-2025</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2025 -</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r>
    </w:tbl>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Under QSR-2019, Essent Guaranty cedes 40% of premiums on singles policies and 20% on all other policies.</w:t>
      </w:r>
    </w:p>
    <w:p>
      <w:pPr>
        <w:spacing w:after="0" w:line="244" w:lineRule="exact"/>
        <w:rPr>
          <w:sz w:val="20"/>
          <w:szCs w:val="20"/>
          <w:color w:val="auto"/>
        </w:rPr>
      </w:pPr>
    </w:p>
    <w:p>
      <w:pPr>
        <w:jc w:val="both"/>
        <w:ind w:right="140" w:firstLine="646"/>
        <w:spacing w:after="0" w:line="280" w:lineRule="auto"/>
        <w:rPr>
          <w:sz w:val="20"/>
          <w:szCs w:val="20"/>
          <w:color w:val="auto"/>
        </w:rPr>
      </w:pPr>
      <w:r>
        <w:rPr>
          <w:rFonts w:ascii="Times New Roman" w:cs="Times New Roman" w:eastAsia="Times New Roman" w:hAnsi="Times New Roman"/>
          <w:sz w:val="18"/>
          <w:szCs w:val="18"/>
          <w:color w:val="auto"/>
        </w:rPr>
        <w:t>During the first quarter of 2025, Essent also entered into a forward quota share transaction covering 25% of the risk of all eligible policies written by Essent Guaranty, Inc. in calendar year 2026.</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risk-to-capital calculation for Essent Guaranty as of June 30, 2025 was as follows:</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Statutory capital:</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Policyholders’ surplus</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1,150,106</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Contingency reserves</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2,564,039</w:t>
            </w:r>
          </w:p>
        </w:tc>
        <w:tc>
          <w:tcPr>
            <w:tcW w:w="0" w:type="dxa"/>
            <w:vAlign w:val="bottom"/>
          </w:tcPr>
          <w:p>
            <w:pPr>
              <w:spacing w:after="0"/>
              <w:rPr>
                <w:sz w:val="1"/>
                <w:szCs w:val="1"/>
                <w:color w:val="auto"/>
              </w:rPr>
            </w:pPr>
          </w:p>
        </w:tc>
      </w:tr>
      <w:tr>
        <w:trPr>
          <w:trHeight w:val="247"/>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capital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3,714,146</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risk in force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tcBorders>
              <w:bottom w:val="single" w:sz="8" w:color="CCEEFF"/>
            </w:tcBorders>
            <w:vMerge w:val="continue"/>
          </w:tcPr>
          <w:p>
            <w:pPr>
              <w:spacing w:after="0"/>
              <w:rPr>
                <w:sz w:val="17"/>
                <w:szCs w:val="17"/>
                <w:color w:val="auto"/>
              </w:rPr>
            </w:pPr>
          </w:p>
        </w:tc>
        <w:tc>
          <w:tcPr>
            <w:tcW w:w="50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33,986,508</w:t>
            </w:r>
          </w:p>
        </w:tc>
        <w:tc>
          <w:tcPr>
            <w:tcW w:w="0" w:type="dxa"/>
            <w:vAlign w:val="bottom"/>
          </w:tcPr>
          <w:p>
            <w:pPr>
              <w:spacing w:after="0"/>
              <w:rPr>
                <w:sz w:val="1"/>
                <w:szCs w:val="1"/>
                <w:color w:val="auto"/>
              </w:rPr>
            </w:pPr>
          </w:p>
        </w:tc>
      </w:tr>
      <w:tr>
        <w:trPr>
          <w:trHeight w:val="247"/>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Risk-to-capital ratio</w:t>
            </w:r>
          </w:p>
        </w:tc>
        <w:tc>
          <w:tcPr>
            <w:tcW w:w="5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For additional information regarding regulatory capital, see Note 14 to our condensed consolidated financial statements. The information above has been derived from the annual and quarterly statements of Essent Guaranty,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02" w:lineRule="exact"/>
        <w:rPr>
          <w:sz w:val="20"/>
          <w:szCs w:val="20"/>
          <w:color w:val="auto"/>
        </w:rPr>
      </w:pPr>
    </w:p>
    <w:p>
      <w:pPr>
        <w:ind w:right="40" w:firstLine="646"/>
        <w:spacing w:after="0" w:line="254" w:lineRule="auto"/>
        <w:rPr>
          <w:sz w:val="20"/>
          <w:szCs w:val="20"/>
          <w:color w:val="auto"/>
        </w:rPr>
      </w:pPr>
      <w:r>
        <w:rPr>
          <w:rFonts w:ascii="Times New Roman" w:cs="Times New Roman" w:eastAsia="Times New Roman" w:hAnsi="Times New Roman"/>
          <w:sz w:val="18"/>
          <w:szCs w:val="18"/>
          <w:color w:val="auto"/>
        </w:rPr>
        <w:t>Essent Re has entered into GSE and other risk share transactions, including insurance and reinsurance transactions with Freddie Mac and Fannie Mae. Under a quota share reinsurance agreement, Essent Re reinsures 25% of Essent Guaranty’s NIW through December 31, 2020 and 35% of Essent Guaranty’s NIW after December 31, 2020. In April 2025, Essent Guaranty and Essent Re agreed to increase the quota share reinsurance coverage of Essent Guaranty’s NIW provided by Essent Re to 50% effective January 1, 2025. The quota share reinsurance coverage provided by Essent Re for Essent Guaranty’s NIW prior to January 1, 2025 will continue at the quota share percentage in effect at the time NIW was first ceded. During the six months ended June 30, 2025 and 2024, Essent Re paid $220 million and $125 million in dividends to Essent Group, respectively. Essent Group made no capital contributions to Essent Re during the six months ended June 30, 2025 and 2024. As of June 30, 2025, Essent Re had total stockholders’ equity of $1.8 billion and net risk in force of $24.8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Strength Ratings</w:t>
      </w:r>
    </w:p>
    <w:p>
      <w:pPr>
        <w:spacing w:after="0" w:line="227" w:lineRule="exact"/>
        <w:rPr>
          <w:sz w:val="20"/>
          <w:szCs w:val="20"/>
          <w:color w:val="auto"/>
        </w:rPr>
      </w:pPr>
    </w:p>
    <w:p>
      <w:pPr>
        <w:ind w:right="20" w:firstLine="646"/>
        <w:spacing w:after="0" w:line="249" w:lineRule="auto"/>
        <w:rPr>
          <w:sz w:val="20"/>
          <w:szCs w:val="20"/>
          <w:color w:val="auto"/>
        </w:rPr>
      </w:pPr>
      <w:r>
        <w:rPr>
          <w:rFonts w:ascii="Times New Roman" w:cs="Times New Roman" w:eastAsia="Times New Roman" w:hAnsi="Times New Roman"/>
          <w:sz w:val="18"/>
          <w:szCs w:val="18"/>
          <w:color w:val="auto"/>
        </w:rPr>
        <w:t>The insurer financial strength rating of Essent Guaranty, our principal mortgage insurance subsidiary, is rated A2 with a stable outlook by Moody’s Investors Service (“Moody's”) (up from A3 with a positive outlook as a result of an upgrade by Moody’s announced on August 6, 2025), A- with a stable outlook by S&amp;P and A (Excellent) with stable outlook by AM Best. The insurer financial strength rating of Essent Re is A- with a stable outlook by S&amp;P and A (Excellent) with stable outlook by AM Best.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Private Mortgage Insurer Eligibility Requirements</w:t>
      </w:r>
    </w:p>
    <w:p>
      <w:pPr>
        <w:spacing w:after="0" w:line="227" w:lineRule="exact"/>
        <w:rPr>
          <w:sz w:val="20"/>
          <w:szCs w:val="20"/>
          <w:color w:val="auto"/>
        </w:rPr>
      </w:pPr>
    </w:p>
    <w:p>
      <w:pPr>
        <w:ind w:right="120" w:firstLine="646"/>
        <w:spacing w:after="0" w:line="254" w:lineRule="auto"/>
        <w:rPr>
          <w:sz w:val="20"/>
          <w:szCs w:val="20"/>
          <w:color w:val="auto"/>
        </w:rPr>
      </w:pPr>
      <w:r>
        <w:rPr>
          <w:rFonts w:ascii="Times New Roman" w:cs="Times New Roman" w:eastAsia="Times New Roman" w:hAnsi="Times New Roman"/>
          <w:sz w:val="18"/>
          <w:szCs w:val="18"/>
          <w:color w:val="auto"/>
        </w:rPr>
        <w:t>Fannie Mae and Freddie Mac,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As of June 30, 2025, Essent Guaranty, our GSE-approved mortgage insurance company, was in compliance with the PMIERs. As of June 30, 2025, Essent Guaranty's Available Assets were $3.7 billion or 176% of its Minimum Required Assets of $2.1 billion based on our interpretation of the PMIERs.</w:t>
      </w:r>
    </w:p>
    <w:p>
      <w:pPr>
        <w:spacing w:after="0" w:line="360" w:lineRule="exact"/>
        <w:rPr>
          <w:sz w:val="20"/>
          <w:szCs w:val="20"/>
          <w:color w:val="auto"/>
        </w:rPr>
      </w:pPr>
    </w:p>
    <w:p>
      <w:pPr>
        <w:ind w:firstLine="646"/>
        <w:spacing w:after="0" w:line="251" w:lineRule="auto"/>
        <w:rPr>
          <w:sz w:val="20"/>
          <w:szCs w:val="20"/>
          <w:color w:val="auto"/>
        </w:rPr>
      </w:pPr>
      <w:r>
        <w:rPr>
          <w:rFonts w:ascii="Times New Roman" w:cs="Times New Roman" w:eastAsia="Times New Roman" w:hAnsi="Times New Roman"/>
          <w:sz w:val="18"/>
          <w:szCs w:val="18"/>
          <w:color w:val="auto"/>
        </w:rPr>
        <w:t>Under PMIERs guidance issued by the GSEs effective June 30, 2020, Essent will apply a 0.30 multiplier to the risk-based required asset amount factor for each insured loan in default backed by a property located in a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w:t>
      </w:r>
    </w:p>
    <w:p>
      <w:pPr>
        <w:spacing w:after="0" w:line="128" w:lineRule="exact"/>
        <w:rPr>
          <w:sz w:val="20"/>
          <w:szCs w:val="20"/>
          <w:color w:val="auto"/>
        </w:rPr>
      </w:pPr>
    </w:p>
    <w:p>
      <w:pPr>
        <w:ind w:right="80" w:firstLine="646"/>
        <w:spacing w:after="0" w:line="254" w:lineRule="auto"/>
        <w:rPr>
          <w:sz w:val="20"/>
          <w:szCs w:val="20"/>
          <w:color w:val="auto"/>
        </w:rPr>
      </w:pPr>
      <w:r>
        <w:rPr>
          <w:rFonts w:ascii="Times New Roman" w:cs="Times New Roman" w:eastAsia="Times New Roman" w:hAnsi="Times New Roman"/>
          <w:sz w:val="18"/>
          <w:szCs w:val="18"/>
          <w:color w:val="auto"/>
        </w:rPr>
        <w:t>FHFA and the GSEs announced that effective November 1, 2023, defaulted loans will be no longer eligible for COVID forbearance plans and will follow the GSEs standard forbearance plans going forward. In August 2024, Fannie Mae and Freddie Mac, under the oversight of FHFA, issued an update to the planned sunset of the use of the 0.3x Required Asset multiplier for loans in a COVID forbearance plan. The sunset of the 0.3x Required Asset multiplier for loans in a COVID forbearance plan became effective on March 31, 2025. Also in August 2024, the GSEs issued updates to the PMIERs calculation of Available Assets. The updated PMIERs Available Asset requirements are subject to a phased-in implementation beginning with the quarter ending March 31, 2025, and will become fully effective on September 30, 2026. Essent expects to remain in full compliance with the PMIERs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227" w:lineRule="exact"/>
        <w:rPr>
          <w:sz w:val="20"/>
          <w:szCs w:val="20"/>
          <w:color w:val="auto"/>
        </w:rPr>
      </w:pPr>
    </w:p>
    <w:p>
      <w:pPr>
        <w:ind w:right="420" w:firstLine="646"/>
        <w:spacing w:after="0" w:line="265" w:lineRule="auto"/>
        <w:rPr>
          <w:sz w:val="20"/>
          <w:szCs w:val="20"/>
          <w:color w:val="auto"/>
        </w:rPr>
      </w:pPr>
      <w:r>
        <w:rPr>
          <w:rFonts w:ascii="Times New Roman" w:cs="Times New Roman" w:eastAsia="Times New Roman" w:hAnsi="Times New Roman"/>
          <w:sz w:val="18"/>
          <w:szCs w:val="18"/>
          <w:color w:val="auto"/>
        </w:rPr>
        <w:t>As of June 30, 2025, stockholders’ equity was $5.7 billion, compared to $5.6 billion as of December 31, 2024. Stockholders' equity increased primarily due to net income generated in 2025 and a decrease in accumulated other comprehensive loss related to a decrease in our net unrealized investment losses, partially offset by dividends paid and the repurchase of common shares under our share repurchase plan.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7" w:lineRule="exact"/>
        <w:rPr>
          <w:sz w:val="20"/>
          <w:szCs w:val="20"/>
          <w:color w:val="auto"/>
        </w:rPr>
      </w:pPr>
    </w:p>
    <w:p>
      <w:pPr>
        <w:ind w:right="200" w:firstLine="646"/>
        <w:spacing w:after="0" w:line="280" w:lineRule="auto"/>
        <w:rPr>
          <w:sz w:val="20"/>
          <w:szCs w:val="20"/>
          <w:color w:val="auto"/>
        </w:rPr>
      </w:pPr>
      <w:r>
        <w:rPr>
          <w:rFonts w:ascii="Times New Roman" w:cs="Times New Roman" w:eastAsia="Times New Roman" w:hAnsi="Times New Roman"/>
          <w:sz w:val="18"/>
          <w:szCs w:val="18"/>
          <w:color w:val="auto"/>
        </w:rPr>
        <w:t>As of June 30, 2025 and December 31, 2024, investments totaled $6.3 billion and $6.2 billion, respectively. In addition, our total cash was $92.1 million as of June 30, 2025, compared to $131.5 million as of December 31, 2024.</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Investments Available for Sale by Asset Class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280" w:type="dxa"/>
            <w:vAlign w:val="bottom"/>
          </w:tcPr>
          <w:p>
            <w:pPr>
              <w:spacing w:after="0"/>
              <w:rPr>
                <w:sz w:val="16"/>
                <w:szCs w:val="16"/>
                <w:color w:val="auto"/>
              </w:rPr>
            </w:pPr>
          </w:p>
        </w:tc>
        <w:tc>
          <w:tcPr>
            <w:tcW w:w="194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8"/>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gridSpan w:val="3"/>
          </w:tcPr>
          <w:p>
            <w:pPr>
              <w:spacing w:after="0"/>
              <w:rPr>
                <w:sz w:val="2"/>
                <w:szCs w:val="2"/>
                <w:color w:val="auto"/>
              </w:rPr>
            </w:pPr>
          </w:p>
        </w:tc>
        <w:tc>
          <w:tcPr>
            <w:tcW w:w="13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60" w:type="dxa"/>
            <w:vAlign w:val="bottom"/>
            <w:tcBorders>
              <w:top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414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391,461</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547,290</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4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1,172,715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1,125,436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583,501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69,798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securities(2)</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1,908,167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1,783,046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478,086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796,065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631,959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580,964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657,605</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5,966,537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5,876,721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5"/>
            <w:vMerge w:val="continue"/>
          </w:tcPr>
          <w:p>
            <w:pPr>
              <w:spacing w:after="0"/>
              <w:rPr>
                <w:sz w:val="24"/>
                <w:szCs w:val="24"/>
                <w:color w:val="auto"/>
              </w:rPr>
            </w:pPr>
          </w:p>
        </w:tc>
        <w:tc>
          <w:tcPr>
            <w:tcW w:w="14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1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41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revenue bonds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General obligation bonds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4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Consumer, non-cyclical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Consumer, cyclical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Materials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top w:val="single" w:sz="8" w:color="auto"/>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Investments Available for Sale by Rating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Rating (1)</w:t>
            </w:r>
          </w:p>
        </w:tc>
        <w:tc>
          <w:tcPr>
            <w:tcW w:w="300" w:type="dxa"/>
            <w:vAlign w:val="bottom"/>
          </w:tcPr>
          <w:p>
            <w:pPr>
              <w:spacing w:after="0"/>
              <w:rPr>
                <w:sz w:val="16"/>
                <w:szCs w:val="16"/>
                <w:color w:val="auto"/>
              </w:rPr>
            </w:pPr>
          </w:p>
        </w:tc>
        <w:tc>
          <w:tcPr>
            <w:tcW w:w="200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2"/>
                <w:szCs w:val="2"/>
                <w:color w:val="auto"/>
              </w:rPr>
            </w:pPr>
          </w:p>
        </w:tc>
        <w:tc>
          <w:tcPr>
            <w:tcW w:w="2000" w:type="dxa"/>
            <w:vAlign w:val="bottom"/>
            <w:gridSpan w:val="3"/>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20" w:type="dxa"/>
            <w:vAlign w:val="bottom"/>
            <w:gridSpan w:val="3"/>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816,766</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2,513,014</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1,815,159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101,809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297,712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301,080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289,201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271,069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A1</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559,198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511,076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A2</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461,980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411,999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503,243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463,616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210,077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218,454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209,301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149,083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151,729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Baa3</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2"/>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(2)</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5,385,573</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5,219,116</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40" w:hanging="310"/>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Ratings ("Fitch") rating utilized if Moody’s not available.</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$580,964 and $657,605 of money market funds at June 30, 2025 and December 31, 2024, respectively.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Investments Available for Sale by Effective Duration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Duration</w:t>
            </w:r>
          </w:p>
        </w:tc>
        <w:tc>
          <w:tcPr>
            <w:tcW w:w="300" w:type="dxa"/>
            <w:vAlign w:val="bottom"/>
          </w:tcPr>
          <w:p>
            <w:pPr>
              <w:spacing w:after="0"/>
              <w:rPr>
                <w:sz w:val="16"/>
                <w:szCs w:val="16"/>
                <w:color w:val="auto"/>
              </w:rPr>
            </w:pPr>
          </w:p>
        </w:tc>
        <w:tc>
          <w:tcPr>
            <w:tcW w:w="200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 Year</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1,431,564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1,587,022</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to &lt; 2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544,630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to &lt; 3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472,256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473,301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 to &lt; 4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445,614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to &lt; 5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546,414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5 or more Years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2,334,520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2,279,740</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4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5,966,537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5,876,721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ind w:right="40" w:firstLine="179"/>
        <w:spacing w:after="0" w:line="255"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June 30, 2025, our estimated off-balance sheet maximum exposure to loss from the Radnor Re entities was $0.2 million, representing the estimated net present value of investment earnings on the assets in the reinsurance trusts. See Note 4 to our condensed consolidated financial statements for additional information.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7" w:lineRule="exact"/>
        <w:rPr>
          <w:sz w:val="20"/>
          <w:szCs w:val="20"/>
          <w:color w:val="auto"/>
        </w:rPr>
      </w:pPr>
    </w:p>
    <w:p>
      <w:pPr>
        <w:ind w:right="120" w:firstLine="646"/>
        <w:spacing w:after="0" w:line="280" w:lineRule="auto"/>
        <w:rPr>
          <w:sz w:val="20"/>
          <w:szCs w:val="20"/>
          <w:color w:val="auto"/>
        </w:rPr>
      </w:pPr>
      <w:r>
        <w:rPr>
          <w:rFonts w:ascii="Times New Roman" w:cs="Times New Roman" w:eastAsia="Times New Roman" w:hAnsi="Times New Roman"/>
          <w:sz w:val="18"/>
          <w:szCs w:val="18"/>
          <w:color w:val="auto"/>
        </w:rPr>
        <w:t>As of the filing date of this report, there were no significant changes in our critical accounting policies from those discussed in our 2024 Form 10-K. See Note 2 to our condensed consolidated financial statements for recently issued accounting standards adopted or under evaluation.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ind w:right="80" w:firstLine="646"/>
        <w:spacing w:after="0" w:line="259" w:lineRule="auto"/>
        <w:rPr>
          <w:sz w:val="20"/>
          <w:szCs w:val="20"/>
          <w:color w:val="auto"/>
        </w:rPr>
      </w:pPr>
      <w:r>
        <w:rPr>
          <w:rFonts w:ascii="Times New Roman" w:cs="Times New Roman" w:eastAsia="Times New Roman" w:hAnsi="Times New Roman"/>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3" w:lineRule="exact"/>
        <w:rPr>
          <w:sz w:val="20"/>
          <w:szCs w:val="20"/>
          <w:color w:val="auto"/>
        </w:rPr>
      </w:pPr>
    </w:p>
    <w:p>
      <w:pPr>
        <w:ind w:right="300" w:firstLine="646"/>
        <w:spacing w:after="0" w:line="280" w:lineRule="auto"/>
        <w:rPr>
          <w:sz w:val="20"/>
          <w:szCs w:val="20"/>
          <w:color w:val="auto"/>
        </w:rPr>
      </w:pPr>
      <w:r>
        <w:rPr>
          <w:rFonts w:ascii="Times New Roman" w:cs="Times New Roman" w:eastAsia="Times New Roman" w:hAnsi="Times New Roman"/>
          <w:sz w:val="18"/>
          <w:szCs w:val="18"/>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61" w:lineRule="exact"/>
        <w:rPr>
          <w:sz w:val="20"/>
          <w:szCs w:val="20"/>
          <w:color w:val="auto"/>
        </w:rPr>
      </w:pPr>
    </w:p>
    <w:p>
      <w:pPr>
        <w:jc w:val="both"/>
        <w:ind w:left="660" w:right="260" w:hanging="330"/>
        <w:spacing w:after="0" w:line="280" w:lineRule="auto"/>
        <w:tabs>
          <w:tab w:leader="none" w:pos="655"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Changes to the level of interest rates. </w:t>
      </w:r>
      <w:r>
        <w:rPr>
          <w:rFonts w:ascii="Times New Roman" w:cs="Times New Roman" w:eastAsia="Times New Roman" w:hAnsi="Times New Roman"/>
          <w:sz w:val="17"/>
          <w:szCs w:val="17"/>
          <w:color w:val="auto"/>
        </w:rPr>
        <w:t>Increasing interest rates may reduce the value of certain fixed-rate bonds held in the investment portfolio.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63" w:lineRule="exact"/>
        <w:rPr>
          <w:rFonts w:ascii="Times New Roman" w:cs="Times New Roman" w:eastAsia="Times New Roman" w:hAnsi="Times New Roman"/>
          <w:sz w:val="17"/>
          <w:szCs w:val="17"/>
          <w:i w:val="1"/>
          <w:iCs w:val="1"/>
          <w:color w:val="auto"/>
        </w:rPr>
      </w:pPr>
    </w:p>
    <w:p>
      <w:pPr>
        <w:ind w:left="660" w:right="140" w:hanging="330"/>
        <w:spacing w:after="0" w:line="282" w:lineRule="auto"/>
        <w:tabs>
          <w:tab w:leader="none" w:pos="65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to the term structure of interest rates. </w:t>
      </w:r>
      <w:r>
        <w:rPr>
          <w:rFonts w:ascii="Times New Roman" w:cs="Times New Roman" w:eastAsia="Times New Roman" w:hAnsi="Times New Roman"/>
          <w:sz w:val="18"/>
          <w:szCs w:val="18"/>
          <w:color w:val="auto"/>
        </w:rPr>
        <w:t>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186" w:lineRule="exact"/>
        <w:rPr>
          <w:rFonts w:ascii="Times New Roman" w:cs="Times New Roman" w:eastAsia="Times New Roman" w:hAnsi="Times New Roman"/>
          <w:sz w:val="18"/>
          <w:szCs w:val="18"/>
          <w:i w:val="1"/>
          <w:iCs w:val="1"/>
          <w:color w:val="auto"/>
        </w:rPr>
      </w:pPr>
    </w:p>
    <w:p>
      <w:pPr>
        <w:ind w:left="660" w:right="420" w:hanging="330"/>
        <w:spacing w:after="0" w:line="313" w:lineRule="auto"/>
        <w:tabs>
          <w:tab w:leader="none" w:pos="655"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Market volatility/changes in the real or perceived credit quality of investments. </w:t>
      </w:r>
      <w:r>
        <w:rPr>
          <w:rFonts w:ascii="Times New Roman" w:cs="Times New Roman" w:eastAsia="Times New Roman" w:hAnsi="Times New Roman"/>
          <w:sz w:val="17"/>
          <w:szCs w:val="17"/>
          <w:color w:val="auto"/>
        </w:rPr>
        <w:t>Deterioration in the quality of investments, identified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changes to our own or third-party (e.g., rating agency) assessments, will reduce the value and potentially the liquidity of investments.</w:t>
      </w:r>
    </w:p>
    <w:p>
      <w:pPr>
        <w:spacing w:after="0" w:line="162" w:lineRule="exact"/>
        <w:rPr>
          <w:rFonts w:ascii="Times New Roman" w:cs="Times New Roman" w:eastAsia="Times New Roman" w:hAnsi="Times New Roman"/>
          <w:sz w:val="17"/>
          <w:szCs w:val="17"/>
          <w:i w:val="1"/>
          <w:iCs w:val="1"/>
          <w:color w:val="auto"/>
        </w:rPr>
      </w:pPr>
    </w:p>
    <w:p>
      <w:pPr>
        <w:ind w:left="660" w:right="300" w:hanging="330"/>
        <w:spacing w:after="0" w:line="282" w:lineRule="auto"/>
        <w:tabs>
          <w:tab w:leader="none" w:pos="65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Concentration Risk. </w:t>
      </w:r>
      <w:r>
        <w:rPr>
          <w:rFonts w:ascii="Times New Roman" w:cs="Times New Roman" w:eastAsia="Times New Roman" w:hAnsi="Times New Roman"/>
          <w:sz w:val="18"/>
          <w:szCs w:val="18"/>
          <w:color w:val="auto"/>
        </w:rPr>
        <w:t>If the investment portfolio is highly concentrated in one asset, or in multiple assets whose values are highly correlated,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total portfolio may be greatly affected by the change in value of just one asset or a group of highly correlated assets.</w:t>
      </w:r>
    </w:p>
    <w:p>
      <w:pPr>
        <w:spacing w:after="0" w:line="186" w:lineRule="exact"/>
        <w:rPr>
          <w:rFonts w:ascii="Times New Roman" w:cs="Times New Roman" w:eastAsia="Times New Roman" w:hAnsi="Times New Roman"/>
          <w:sz w:val="18"/>
          <w:szCs w:val="18"/>
          <w:i w:val="1"/>
          <w:iCs w:val="1"/>
          <w:color w:val="auto"/>
        </w:rPr>
      </w:pPr>
    </w:p>
    <w:p>
      <w:pPr>
        <w:ind w:left="660" w:right="40" w:hanging="330"/>
        <w:spacing w:after="0" w:line="282" w:lineRule="auto"/>
        <w:tabs>
          <w:tab w:leader="none" w:pos="65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Prepayment Risk. </w:t>
      </w:r>
      <w:r>
        <w:rPr>
          <w:rFonts w:ascii="Times New Roman" w:cs="Times New Roman" w:eastAsia="Times New Roman" w:hAnsi="Times New Roman"/>
          <w:sz w:val="18"/>
          <w:szCs w:val="18"/>
          <w:color w:val="auto"/>
        </w:rPr>
        <w:t>Bonds may have call provisions that permit debtors to repay prior to maturity when it is to their advantage. This typically occurs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rates fall below the interest rate of the debt.</w:t>
      </w:r>
    </w:p>
    <w:p>
      <w:pPr>
        <w:spacing w:after="0" w:line="161" w:lineRule="exact"/>
        <w:rPr>
          <w:sz w:val="20"/>
          <w:szCs w:val="20"/>
          <w:color w:val="auto"/>
        </w:rPr>
      </w:pPr>
    </w:p>
    <w:p>
      <w:pPr>
        <w:ind w:right="340" w:firstLine="646"/>
        <w:spacing w:after="0" w:line="265" w:lineRule="auto"/>
        <w:rPr>
          <w:sz w:val="20"/>
          <w:szCs w:val="20"/>
          <w:color w:val="auto"/>
        </w:rPr>
      </w:pPr>
      <w:r>
        <w:rPr>
          <w:rFonts w:ascii="Times New Roman" w:cs="Times New Roman" w:eastAsia="Times New Roman" w:hAnsi="Times New Roman"/>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75"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At June 30, 2025, the effective duration of our investments available for sale was 4.0 years, which means that an instantaneous parallel shift (movement up or down) in the yield curve of 100 basis points would result in a change of 4.0% in fair value of our investments available for sale. Excluding short-term investments, our investments available for sale effective duration was 4.4 years, which means that an instantaneous parallel shift (movement up or down) in the yield curve of 100 basis points would result in a change of 4.4% in fair value of our investments available for sale.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7" w:lineRule="exact"/>
        <w:rPr>
          <w:sz w:val="20"/>
          <w:szCs w:val="20"/>
          <w:color w:val="auto"/>
        </w:rPr>
      </w:pPr>
    </w:p>
    <w:p>
      <w:pPr>
        <w:ind w:right="40" w:firstLine="646"/>
        <w:spacing w:after="0" w:line="259"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June 30, 2025, the end of the period covered by this Quarterly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7" w:lineRule="exact"/>
        <w:rPr>
          <w:sz w:val="20"/>
          <w:szCs w:val="20"/>
          <w:color w:val="auto"/>
        </w:rPr>
      </w:pPr>
    </w:p>
    <w:p>
      <w:pPr>
        <w:jc w:val="both"/>
        <w:ind w:right="320" w:firstLine="646"/>
        <w:spacing w:after="0" w:line="265" w:lineRule="auto"/>
        <w:rPr>
          <w:sz w:val="20"/>
          <w:szCs w:val="20"/>
          <w:color w:val="auto"/>
        </w:rPr>
      </w:pPr>
      <w:r>
        <w:rPr>
          <w:rFonts w:ascii="Times New Roman" w:cs="Times New Roman" w:eastAsia="Times New Roman" w:hAnsi="Times New Roman"/>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firstLine="646"/>
        <w:spacing w:after="0" w:line="255"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“Risk Factors” in our Annual Report on Form 10-K for the year ended December 31, 2024.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information regarding repurchases of our common shares during the three months ended June 30, 2025.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3"/>
                <w:szCs w:val="13"/>
                <w:color w:val="auto"/>
              </w:rPr>
            </w:pPr>
          </w:p>
        </w:tc>
        <w:tc>
          <w:tcPr>
            <w:tcW w:w="158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6"/>
              <w:spacing w:after="0" w:line="148"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1"/>
                <w:szCs w:val="11"/>
                <w:color w:val="auto"/>
              </w:rPr>
            </w:pPr>
          </w:p>
        </w:tc>
        <w:tc>
          <w:tcPr>
            <w:tcW w:w="1580" w:type="dxa"/>
            <w:vAlign w:val="bottom"/>
          </w:tcPr>
          <w:p>
            <w:pPr>
              <w:jc w:val="center"/>
              <w:ind w:right="106"/>
              <w:spacing w:after="0" w:line="135"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80" w:type="dxa"/>
            <w:vAlign w:val="bottom"/>
          </w:tcPr>
          <w:p>
            <w:pPr>
              <w:spacing w:after="0"/>
              <w:rPr>
                <w:sz w:val="12"/>
                <w:szCs w:val="12"/>
                <w:color w:val="auto"/>
              </w:rPr>
            </w:pPr>
          </w:p>
        </w:tc>
        <w:tc>
          <w:tcPr>
            <w:tcW w:w="1580" w:type="dxa"/>
            <w:vAlign w:val="bottom"/>
          </w:tcPr>
          <w:p>
            <w:pPr>
              <w:jc w:val="center"/>
              <w:ind w:right="106"/>
              <w:spacing w:after="0" w:line="148"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8"/>
        </w:trPr>
        <w:tc>
          <w:tcPr>
            <w:tcW w:w="3880" w:type="dxa"/>
            <w:vAlign w:val="bottom"/>
            <w:gridSpan w:val="3"/>
            <w:vMerge w:val="continue"/>
          </w:tcPr>
          <w:p>
            <w:pPr>
              <w:spacing w:after="0"/>
              <w:rPr>
                <w:sz w:val="12"/>
                <w:szCs w:val="12"/>
                <w:color w:val="auto"/>
              </w:rPr>
            </w:pPr>
          </w:p>
        </w:tc>
        <w:tc>
          <w:tcPr>
            <w:tcW w:w="17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80" w:type="dxa"/>
            <w:vAlign w:val="bottom"/>
          </w:tcPr>
          <w:p>
            <w:pPr>
              <w:spacing w:after="0"/>
              <w:rPr>
                <w:sz w:val="12"/>
                <w:szCs w:val="12"/>
                <w:color w:val="auto"/>
              </w:rPr>
            </w:pPr>
          </w:p>
        </w:tc>
        <w:tc>
          <w:tcPr>
            <w:tcW w:w="1580" w:type="dxa"/>
            <w:vAlign w:val="bottom"/>
          </w:tcPr>
          <w:p>
            <w:pPr>
              <w:jc w:val="center"/>
              <w:ind w:right="106"/>
              <w:spacing w:after="0" w:line="148"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5"/>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80" w:type="dxa"/>
            <w:vAlign w:val="bottom"/>
          </w:tcPr>
          <w:p>
            <w:pPr>
              <w:spacing w:after="0"/>
              <w:rPr>
                <w:sz w:val="16"/>
                <w:szCs w:val="16"/>
                <w:color w:val="auto"/>
              </w:rPr>
            </w:pPr>
          </w:p>
        </w:tc>
        <w:tc>
          <w:tcPr>
            <w:tcW w:w="158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29"/>
        </w:trPr>
        <w:tc>
          <w:tcPr>
            <w:tcW w:w="3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 2025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1,106,146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1 - May 31, 2025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964,205</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904,049</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2,974,400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2,970,779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318,784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hanging="330"/>
        <w:spacing w:after="0" w:line="244"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2025, the Company repurchased 2,970,779 common shares at a total cost of $171.3 million. The remaining $318.8 million in the table represents the amount available to repurchase shares under the February 2025 share repurchase authorization as of June 30, 2025. In July 2025, we repurchased 1,024,539 shares for $58.8 million, leaving approximately $260.0 million remaining for repurchases as of July 31,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30"/>
        </w:trPr>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t>
            </w:r>
          </w:p>
        </w:tc>
        <w:tc>
          <w:tcPr>
            <w:tcW w:w="10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80" w:type="dxa"/>
            <w:vAlign w:val="bottom"/>
            <w:vMerge w:val="restart"/>
          </w:tcPr>
          <w:p>
            <w:pPr>
              <w:ind w:left="4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50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9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3"/>
        </w:trPr>
        <w:tc>
          <w:tcPr>
            <w:tcW w:w="6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3"/>
        </w:trPr>
        <w:tc>
          <w:tcPr>
            <w:tcW w:w="6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1350, as adopted pursuant to Section 906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0" w:type="dxa"/>
            <w:vAlign w:val="bottom"/>
          </w:tcPr>
          <w:p>
            <w:pPr>
              <w:spacing w:after="0"/>
              <w:rPr>
                <w:sz w:val="1"/>
                <w:szCs w:val="1"/>
                <w:color w:val="auto"/>
              </w:rPr>
            </w:pPr>
          </w:p>
        </w:tc>
      </w:tr>
    </w:tbl>
    <w:p>
      <w:pPr>
        <w:ind w:left="1540" w:right="220" w:hanging="1515"/>
        <w:spacing w:after="0" w:line="226" w:lineRule="auto"/>
        <w:tabs>
          <w:tab w:leader="none" w:pos="1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this Quarterly Report on Form 10-Q for the quarter ended June 30, 2025, formatted in Inline XBRL: (i) the Condensed Consolidated Balance Sheets (Unaudited); (ii) the Condensed Consolidated Statements of Comprehensive Income (Unaudited); (iii) the Condensed Consolidated Statements of Changes in Stockholders’ Equity (Unaudited); (iv) the Condensed Consolidated Statements of Cash Flows (Unaudited); and (v) the Notes to Condensed Consolidated Financial</w:t>
      </w:r>
    </w:p>
    <w:p>
      <w:pPr>
        <w:ind w:left="1540"/>
        <w:spacing w:after="0"/>
        <w:rPr>
          <w:sz w:val="20"/>
          <w:szCs w:val="20"/>
          <w:color w:val="auto"/>
        </w:rPr>
      </w:pPr>
      <w:r>
        <w:rPr>
          <w:rFonts w:ascii="Times New Roman" w:cs="Times New Roman" w:eastAsia="Times New Roman" w:hAnsi="Times New Roman"/>
          <w:sz w:val="18"/>
          <w:szCs w:val="18"/>
          <w:color w:val="auto"/>
        </w:rPr>
        <w:t>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9652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ind w:left="1540" w:hanging="817"/>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29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ESSENT GROUP LTD.</w:t>
      </w: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534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3387725</wp:posOffset>
            </wp:positionH>
            <wp:positionV relativeFrom="paragraph">
              <wp:posOffset>17145</wp:posOffset>
            </wp:positionV>
            <wp:extent cx="2972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72435" cy="8255"/>
                    </a:xfrm>
                    <a:prstGeom prst="rect">
                      <a:avLst/>
                    </a:prstGeom>
                    <a:noFill/>
                  </pic:spPr>
                </pic:pic>
              </a:graphicData>
            </a:graphic>
          </wp:anchor>
        </w:drawing>
      </w:r>
    </w:p>
    <w:p>
      <w:pPr>
        <w:spacing w:after="0" w:line="1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Mark A. Casale</w:t>
      </w:r>
    </w:p>
    <w:p>
      <w:pPr>
        <w:spacing w:after="0" w:line="1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ind w:left="5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534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3387725</wp:posOffset>
            </wp:positionH>
            <wp:positionV relativeFrom="paragraph">
              <wp:posOffset>17145</wp:posOffset>
            </wp:positionV>
            <wp:extent cx="2972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72435" cy="8255"/>
                    </a:xfrm>
                    <a:prstGeom prst="rect">
                      <a:avLst/>
                    </a:prstGeom>
                    <a:noFill/>
                  </pic:spPr>
                </pic:pic>
              </a:graphicData>
            </a:graphic>
          </wp:anchor>
        </w:drawing>
      </w:r>
    </w:p>
    <w:p>
      <w:pPr>
        <w:spacing w:after="0" w:line="1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1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5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60"/>
          </w:cols>
          <w:pgMar w:left="320" w:top="121" w:right="4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Casale, certify that:</w:t>
      </w:r>
    </w:p>
    <w:p>
      <w:pPr>
        <w:spacing w:after="0" w:line="223" w:lineRule="exact"/>
        <w:rPr>
          <w:sz w:val="20"/>
          <w:szCs w:val="20"/>
          <w:color w:val="auto"/>
        </w:rPr>
      </w:pPr>
    </w:p>
    <w:p>
      <w:pPr>
        <w:ind w:left="560" w:hanging="552"/>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3" w:lineRule="exact"/>
        <w:rPr>
          <w:rFonts w:ascii="Times New Roman" w:cs="Times New Roman" w:eastAsia="Times New Roman" w:hAnsi="Times New Roman"/>
          <w:sz w:val="18"/>
          <w:szCs w:val="18"/>
          <w:color w:val="auto"/>
        </w:rPr>
      </w:pPr>
    </w:p>
    <w:p>
      <w:pPr>
        <w:jc w:val="both"/>
        <w:ind w:right="280" w:firstLine="8"/>
        <w:spacing w:after="0" w:line="311" w:lineRule="auto"/>
        <w:tabs>
          <w:tab w:leader="none" w:pos="51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260" w:firstLine="8"/>
        <w:spacing w:after="0" w:line="280" w:lineRule="auto"/>
        <w:tabs>
          <w:tab w:leader="none" w:pos="5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120" w:firstLine="8"/>
        <w:spacing w:after="0" w:line="265" w:lineRule="auto"/>
        <w:tabs>
          <w:tab w:leader="none" w:pos="5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60" w:firstLine="492"/>
        <w:spacing w:after="0" w:line="265" w:lineRule="auto"/>
        <w:tabs>
          <w:tab w:leader="none" w:pos="9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80" w:firstLine="492"/>
        <w:spacing w:after="0" w:line="265" w:lineRule="auto"/>
        <w:tabs>
          <w:tab w:leader="none" w:pos="100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60" w:firstLine="492"/>
        <w:spacing w:after="0" w:line="280" w:lineRule="auto"/>
        <w:tabs>
          <w:tab w:leader="none" w:pos="101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right="20" w:firstLine="492"/>
        <w:spacing w:after="0" w:line="265" w:lineRule="auto"/>
        <w:tabs>
          <w:tab w:leader="none" w:pos="100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40" w:firstLine="8"/>
        <w:spacing w:after="0" w:line="280" w:lineRule="auto"/>
        <w:tabs>
          <w:tab w:leader="none" w:pos="54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firstLine="492"/>
        <w:spacing w:after="0" w:line="280" w:lineRule="auto"/>
        <w:tabs>
          <w:tab w:leader="none" w:pos="101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500" w:firstLine="492"/>
        <w:spacing w:after="0" w:line="280" w:lineRule="auto"/>
        <w:tabs>
          <w:tab w:leader="none" w:pos="102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44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3448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Weinstock, certify that:</w:t>
      </w:r>
    </w:p>
    <w:p>
      <w:pPr>
        <w:spacing w:after="0" w:line="223" w:lineRule="exact"/>
        <w:rPr>
          <w:sz w:val="20"/>
          <w:szCs w:val="20"/>
          <w:color w:val="auto"/>
        </w:rPr>
      </w:pPr>
    </w:p>
    <w:p>
      <w:pPr>
        <w:ind w:left="560" w:hanging="552"/>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3" w:lineRule="exact"/>
        <w:rPr>
          <w:rFonts w:ascii="Times New Roman" w:cs="Times New Roman" w:eastAsia="Times New Roman" w:hAnsi="Times New Roman"/>
          <w:sz w:val="18"/>
          <w:szCs w:val="18"/>
          <w:color w:val="auto"/>
        </w:rPr>
      </w:pPr>
    </w:p>
    <w:p>
      <w:pPr>
        <w:jc w:val="both"/>
        <w:ind w:right="280" w:firstLine="8"/>
        <w:spacing w:after="0" w:line="311" w:lineRule="auto"/>
        <w:tabs>
          <w:tab w:leader="none" w:pos="5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260" w:firstLine="8"/>
        <w:spacing w:after="0" w:line="280" w:lineRule="auto"/>
        <w:tabs>
          <w:tab w:leader="none" w:pos="5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120" w:firstLine="8"/>
        <w:spacing w:after="0" w:line="265" w:lineRule="auto"/>
        <w:tabs>
          <w:tab w:leader="none" w:pos="5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60" w:firstLine="492"/>
        <w:spacing w:after="0" w:line="265" w:lineRule="auto"/>
        <w:tabs>
          <w:tab w:leader="none" w:pos="99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80" w:firstLine="492"/>
        <w:spacing w:after="0" w:line="265" w:lineRule="auto"/>
        <w:tabs>
          <w:tab w:leader="none" w:pos="100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60" w:firstLine="492"/>
        <w:spacing w:after="0" w:line="280" w:lineRule="auto"/>
        <w:tabs>
          <w:tab w:leader="none" w:pos="10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right="20" w:firstLine="492"/>
        <w:spacing w:after="0" w:line="265" w:lineRule="auto"/>
        <w:tabs>
          <w:tab w:leader="none" w:pos="100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40" w:firstLine="8"/>
        <w:spacing w:after="0" w:line="280" w:lineRule="auto"/>
        <w:tabs>
          <w:tab w:leader="none" w:pos="54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firstLine="492"/>
        <w:spacing w:after="0" w:line="280" w:lineRule="auto"/>
        <w:tabs>
          <w:tab w:leader="none" w:pos="10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500" w:firstLine="492"/>
        <w:spacing w:after="0" w:line="280" w:lineRule="auto"/>
        <w:tabs>
          <w:tab w:leader="none" w:pos="102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44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13448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4" w:right="339" w:bottom="1440" w:gutter="0" w:footer="0" w:header="0"/>
        </w:sectPr>
      </w:pPr>
    </w:p>
    <w:bookmarkStart w:id="59" w:name="page60"/>
    <w:bookmarkEnd w:id="5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5" w:lineRule="exact"/>
        <w:rPr>
          <w:sz w:val="20"/>
          <w:szCs w:val="20"/>
          <w:color w:val="auto"/>
        </w:rPr>
      </w:pPr>
    </w:p>
    <w:p>
      <w:pPr>
        <w:jc w:val="center"/>
        <w:spacing w:after="0" w:line="28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58"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The undersigned, Mark A. Casale, President, Chief Executive Officer and Chairman of Essent Group Ltd. (the “Company”), and David B. Weinstock, Senior Vice President and Chief Financial Officer of the Company, each hereby certify, pursuant to 18 U.S.C. Section 1350 as adopted pursuant to Section 906 of the Sarbanes-Oxley Act of 2002, that to the best of his knowledge:</w:t>
      </w:r>
    </w:p>
    <w:p>
      <w:pPr>
        <w:spacing w:after="0" w:line="175" w:lineRule="exact"/>
        <w:rPr>
          <w:sz w:val="20"/>
          <w:szCs w:val="20"/>
          <w:color w:val="auto"/>
        </w:rPr>
      </w:pPr>
    </w:p>
    <w:p>
      <w:pPr>
        <w:ind w:right="260" w:firstLine="8"/>
        <w:spacing w:after="0" w:line="280" w:lineRule="auto"/>
        <w:tabs>
          <w:tab w:leader="none" w:pos="6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2025 (the “Report”) fully complies with the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right="200" w:firstLine="8"/>
        <w:spacing w:after="0" w:line="530" w:lineRule="auto"/>
        <w:tabs>
          <w:tab w:leader="none" w:pos="6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8, 2025</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34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34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1240"/>
      </w:cols>
      <w:pgMar w:left="320" w:top="8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4"/>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2"/>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0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2025-08-08T15:57:01Z</dcterms:created>
  <dcterms:modified xsi:type="dcterms:W3CDTF">2025-08-08T15:57:01Z</dcterms:modified>
</cp:coreProperties>
</file>