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4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78105</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3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period ended March 31, 2022</w:t>
      </w:r>
    </w:p>
    <w:p>
      <w:pPr>
        <w:spacing w:after="0" w:line="136"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6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79" w:lineRule="exact"/>
        <w:rPr>
          <w:sz w:val="24"/>
          <w:szCs w:val="24"/>
          <w:color w:val="auto"/>
        </w:rPr>
      </w:pPr>
    </w:p>
    <w:p>
      <w:pPr>
        <w:sectPr>
          <w:pgSz w:w="11900" w:h="16838" w:orient="portrait"/>
          <w:cols w:equalWidth="0" w:num="2">
            <w:col w:w="6060" w:space="560"/>
            <w:col w:w="4620"/>
          </w:cols>
          <w:pgMar w:left="320" w:top="22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124460</wp:posOffset>
            </wp:positionV>
            <wp:extent cx="3068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53" w:lineRule="exact"/>
        <w:rPr>
          <w:sz w:val="24"/>
          <w:szCs w:val="24"/>
          <w:color w:val="auto"/>
        </w:rPr>
      </w:pPr>
    </w:p>
    <w:tbl>
      <w:tblPr>
        <w:tblLayout w:type="fixed"/>
        <w:tblInd w:w="1720" w:type="dxa"/>
        <w:tblCellMar>
          <w:top w:w="0" w:type="dxa"/>
          <w:left w:w="0" w:type="dxa"/>
          <w:bottom w:w="0" w:type="dxa"/>
          <w:right w:w="0" w:type="dxa"/>
        </w:tblCellMar>
      </w:tblPr>
      <w:tr>
        <w:trPr>
          <w:trHeight w:val="375"/>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29"/>
                <w:szCs w:val="29"/>
                <w:b w:val="1"/>
                <w:bCs w:val="1"/>
                <w:color w:val="auto"/>
                <w:w w:val="98"/>
              </w:rPr>
              <w:t>ESSENT GROUP LTD.</w:t>
            </w:r>
          </w:p>
        </w:tc>
      </w:t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gridSpan w:val="2"/>
          </w:tcPr>
          <w:p>
            <w:pPr>
              <w:jc w:val="center"/>
              <w:ind w:right="17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168"/>
        </w:trPr>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325"/>
        </w:trPr>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8"/>
        </w:trPr>
        <w:tc>
          <w:tcPr>
            <w:tcW w:w="208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40" w:type="dxa"/>
            <w:vAlign w:val="bottom"/>
            <w:gridSpan w:val="2"/>
          </w:tcPr>
          <w:p>
            <w:pPr>
              <w:jc w:val="center"/>
              <w:ind w:left="386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28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50" w:type="dxa"/>
        <w:tblCellMar>
          <w:top w:w="0" w:type="dxa"/>
          <w:left w:w="0" w:type="dxa"/>
          <w:bottom w:w="0" w:type="dxa"/>
          <w:right w:w="0" w:type="dxa"/>
        </w:tblCellMar>
      </w:tblPr>
      <w:tr>
        <w:trPr>
          <w:trHeight w:val="228"/>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5"/>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jc w:val="both"/>
        <w:ind w:right="60" w:firstLine="567"/>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40"/>
        <w:spacing w:after="0" w:line="226" w:lineRule="exact"/>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jc w:val="both"/>
        <w:ind w:right="1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40" w:firstLine="567"/>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80" w:right="142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May 2, 2022 was 107,600,763.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80" w:type="dxa"/>
            <w:vAlign w:val="bottom"/>
            <w:gridSpan w:val="5"/>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10"/>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80" w:type="dxa"/>
            <w:vAlign w:val="bottom"/>
            <w:gridSpan w:val="5"/>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Balance Sheets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Changes in Stockholders’ Equity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Cash Flows (Unaudited)</w:t>
            </w:r>
          </w:p>
        </w:tc>
        <w:tc>
          <w:tcPr>
            <w:tcW w:w="16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40" w:type="dxa"/>
            <w:vAlign w:val="bottom"/>
            <w:gridSpan w:val="4"/>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39"/>
        </w:trPr>
        <w:tc>
          <w:tcPr>
            <w:tcW w:w="2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40" w:type="dxa"/>
            <w:vAlign w:val="bottom"/>
            <w:gridSpan w:val="4"/>
          </w:tcPr>
          <w:p>
            <w:pPr>
              <w:spacing w:after="0"/>
              <w:rPr>
                <w:sz w:val="24"/>
                <w:szCs w:val="24"/>
                <w:color w:val="auto"/>
              </w:rPr>
            </w:pPr>
          </w:p>
        </w:tc>
        <w:tc>
          <w:tcPr>
            <w:tcW w:w="68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439"/>
        </w:trPr>
        <w:tc>
          <w:tcPr>
            <w:tcW w:w="2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20" w:type="dxa"/>
            <w:vAlign w:val="bottom"/>
            <w:gridSpan w:val="3"/>
          </w:tcPr>
          <w:p>
            <w:pPr>
              <w:spacing w:after="0"/>
              <w:rPr>
                <w:sz w:val="24"/>
                <w:szCs w:val="24"/>
                <w:color w:val="auto"/>
              </w:rPr>
            </w:pP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612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840" w:type="dxa"/>
            <w:vAlign w:val="bottom"/>
            <w:gridSpan w:val="4"/>
          </w:tcPr>
          <w:p>
            <w:pPr>
              <w:spacing w:after="0"/>
              <w:rPr>
                <w:sz w:val="24"/>
                <w:szCs w:val="24"/>
                <w:color w:val="auto"/>
              </w:rPr>
            </w:pPr>
          </w:p>
        </w:tc>
        <w:tc>
          <w:tcPr>
            <w:tcW w:w="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160" w:type="dxa"/>
            <w:vAlign w:val="bottom"/>
            <w:gridSpan w:val="15"/>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439"/>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360" w:type="dxa"/>
            <w:vAlign w:val="bottom"/>
            <w:gridSpan w:val="2"/>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439"/>
        </w:trPr>
        <w:tc>
          <w:tcPr>
            <w:tcW w:w="20" w:type="dxa"/>
            <w:vAlign w:val="bottom"/>
          </w:tcPr>
          <w:p>
            <w:pPr>
              <w:spacing w:after="0"/>
              <w:rPr>
                <w:sz w:val="24"/>
                <w:szCs w:val="24"/>
                <w:color w:val="auto"/>
              </w:rPr>
            </w:pPr>
          </w:p>
        </w:tc>
        <w:tc>
          <w:tcPr>
            <w:tcW w:w="1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360" w:type="dxa"/>
            <w:vAlign w:val="bottom"/>
            <w:gridSpan w:val="2"/>
          </w:tcPr>
          <w:p>
            <w:pPr>
              <w:spacing w:after="0"/>
              <w:rPr>
                <w:sz w:val="24"/>
                <w:szCs w:val="24"/>
                <w:color w:val="auto"/>
              </w:rPr>
            </w:pPr>
          </w:p>
        </w:tc>
        <w:tc>
          <w:tcPr>
            <w:tcW w:w="45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580" w:type="dxa"/>
            <w:vAlign w:val="bottom"/>
            <w:gridSpan w:val="7"/>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70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Inc. and Essent Reinsurance Ltd., as a combined entity, except where otherwise stated or where it is clear that the terms mean only Essent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Ltd. exclusive of its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2021 filed with the Securities and Exchange Commission. These factors include, without limitation, the following:</w:t>
      </w:r>
    </w:p>
    <w:p>
      <w:pPr>
        <w:spacing w:after="0" w:line="192" w:lineRule="exact"/>
        <w:rPr>
          <w:sz w:val="20"/>
          <w:szCs w:val="20"/>
          <w:color w:val="auto"/>
        </w:rPr>
      </w:pPr>
    </w:p>
    <w:p>
      <w:pPr>
        <w:ind w:left="660" w:right="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21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52"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6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Cambria" w:cs="Cambria" w:eastAsia="Cambria" w:hAnsi="Cambria"/>
          <w:sz w:val="19"/>
          <w:szCs w:val="19"/>
          <w:b w:val="1"/>
          <w:bCs w:val="1"/>
          <w:color w:val="auto"/>
        </w:rPr>
      </w:pPr>
      <w:r>
        <w:rPr>
          <w:rFonts w:ascii="Times New Roman" w:cs="Times New Roman" w:eastAsia="Times New Roman" w:hAnsi="Times New Roman"/>
          <w:sz w:val="18"/>
          <w:szCs w:val="18"/>
          <w:color w:val="auto"/>
        </w:rPr>
        <w:t>deteriorating economic conditions (including inflation, rising interest rates and other adverse economic trends);</w:t>
      </w:r>
    </w:p>
    <w:p>
      <w:pPr>
        <w:spacing w:after="0" w:line="222" w:lineRule="exact"/>
        <w:rPr>
          <w:rFonts w:ascii="Cambria" w:cs="Cambria" w:eastAsia="Cambria" w:hAnsi="Cambria"/>
          <w:sz w:val="19"/>
          <w:szCs w:val="19"/>
          <w:b w:val="1"/>
          <w:b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 as a result of COVID-19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09803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3" w:lineRule="exact"/>
        <w:rPr>
          <w:sz w:val="20"/>
          <w:szCs w:val="20"/>
          <w:color w:val="auto"/>
        </w:rPr>
      </w:pPr>
    </w:p>
    <w:p>
      <w:pPr>
        <w:ind w:left="500" w:right="920" w:hanging="215"/>
        <w:spacing w:after="0" w:line="234" w:lineRule="auto"/>
        <w:rPr>
          <w:sz w:val="20"/>
          <w:szCs w:val="20"/>
          <w:color w:val="auto"/>
        </w:rPr>
      </w:pPr>
      <w:r>
        <w:rPr>
          <w:rFonts w:ascii="Times New Roman" w:cs="Times New Roman" w:eastAsia="Times New Roman" w:hAnsi="Times New Roman"/>
          <w:sz w:val="18"/>
          <w:szCs w:val="18"/>
          <w:color w:val="auto"/>
        </w:rPr>
        <w:t>Fixed maturities available for sale, at fair value (amortized cost: 2022 — $4,319,027; 2021 — $4,584,521)</w:t>
      </w:r>
    </w:p>
    <w:p>
      <w:pPr>
        <w:spacing w:after="0" w:line="10" w:lineRule="exact"/>
        <w:rPr>
          <w:sz w:val="20"/>
          <w:szCs w:val="20"/>
          <w:color w:val="auto"/>
        </w:rPr>
      </w:pPr>
    </w:p>
    <w:p>
      <w:pPr>
        <w:ind w:left="500" w:right="1320" w:hanging="215"/>
        <w:spacing w:after="0" w:line="237" w:lineRule="auto"/>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2022 — $517,501; 2021 — $313,086)</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871"/>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4,145,542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4,649,800</w:t>
            </w:r>
          </w:p>
        </w:tc>
      </w:tr>
      <w:tr>
        <w:trPr>
          <w:trHeight w:val="417"/>
        </w:trPr>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313,087</w:t>
            </w:r>
          </w:p>
        </w:tc>
      </w:tr>
    </w:tbl>
    <w:p>
      <w:pPr>
        <w:spacing w:after="0" w:line="1" w:lineRule="exact"/>
        <w:rPr>
          <w:sz w:val="20"/>
          <w:szCs w:val="20"/>
          <w:color w:val="auto"/>
        </w:rPr>
      </w:pPr>
    </w:p>
    <w:p>
      <w:pPr>
        <w:sectPr>
          <w:pgSz w:w="11900" w:h="16838" w:orient="portrait"/>
          <w:cols w:equalWidth="0" w:num="2">
            <w:col w:w="7340" w:space="720"/>
            <w:col w:w="316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80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4,662,905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4,962,887</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invested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4,875,426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5,133,359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$65,095 in 2022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$64,340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5,722,174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407,445</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185,385</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373,654</w:t>
            </w:r>
          </w:p>
        </w:tc>
      </w:tr>
      <w:tr>
        <w:trPr>
          <w:trHeight w:val="175"/>
        </w:trPr>
        <w:tc>
          <w:tcPr>
            <w:tcW w:w="8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Credit facility borrowings (at carrying value, less unamortized deferred costs of $4,927 in 2022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$5,177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419,823</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99,753</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1,371,077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1,486,060</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6"/>
        </w:trPr>
        <w:tc>
          <w:tcPr>
            <w:tcW w:w="802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Authorized - 233,333; issued and outstanding - 108,140 shares in 2022 and 109,377</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1,428,952</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50,707</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2,754,814</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4,215,068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4,236,114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5,722,174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204,361</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gains,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244,797</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provision for losses and LAE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42,239</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76,612</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112,378</w:t>
            </w:r>
          </w:p>
        </w:tc>
        <w:tc>
          <w:tcPr>
            <w:tcW w:w="0" w:type="dxa"/>
            <w:vAlign w:val="bottom"/>
          </w:tcPr>
          <w:p>
            <w:pPr>
              <w:spacing w:after="0"/>
              <w:rPr>
                <w:sz w:val="1"/>
                <w:szCs w:val="1"/>
                <w:color w:val="auto"/>
              </w:rPr>
            </w:pPr>
          </w:p>
        </w:tc>
      </w:tr>
      <w:tr>
        <w:trPr>
          <w:trHeight w:val="256"/>
        </w:trPr>
        <w:tc>
          <w:tcPr>
            <w:tcW w:w="7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unrealized depreciation of investments, net of tax benefit of ($35,897) and ($10,201) in the three</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months ended March 31, 2022 and 2021</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(59,203)</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(59,203)</w:t>
            </w:r>
          </w:p>
        </w:tc>
        <w:tc>
          <w:tcPr>
            <w:tcW w:w="0" w:type="dxa"/>
            <w:vAlign w:val="bottom"/>
          </w:tcPr>
          <w:p>
            <w:pPr>
              <w:spacing w:after="0"/>
              <w:rPr>
                <w:sz w:val="1"/>
                <w:szCs w:val="1"/>
                <w:color w:val="auto"/>
              </w:rPr>
            </w:pPr>
          </w:p>
        </w:tc>
      </w:tr>
      <w:tr>
        <w:trPr>
          <w:trHeight w:val="223"/>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34"/>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1,571,163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1,571,134</w:t>
            </w:r>
          </w:p>
        </w:tc>
        <w:tc>
          <w:tcPr>
            <w:tcW w:w="0" w:type="dxa"/>
            <w:vAlign w:val="bottom"/>
          </w:tcPr>
          <w:p>
            <w:pPr>
              <w:spacing w:after="0"/>
              <w:rPr>
                <w:sz w:val="1"/>
                <w:szCs w:val="1"/>
                <w:color w:val="auto"/>
              </w:rPr>
            </w:pPr>
          </w:p>
        </w:tc>
      </w:tr>
      <w:tr>
        <w:trPr>
          <w:trHeight w:val="34"/>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(59,203)</w:t>
            </w:r>
          </w:p>
        </w:tc>
        <w:tc>
          <w:tcPr>
            <w:tcW w:w="0" w:type="dxa"/>
            <w:vAlign w:val="bottom"/>
          </w:tcPr>
          <w:p>
            <w:pPr>
              <w:spacing w:after="0"/>
              <w:rPr>
                <w:sz w:val="1"/>
                <w:szCs w:val="1"/>
                <w:color w:val="auto"/>
              </w:rPr>
            </w:pPr>
          </w:p>
        </w:tc>
      </w:tr>
      <w:tr>
        <w:trPr>
          <w:trHeight w:val="262"/>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79,071</w:t>
            </w:r>
          </w:p>
        </w:tc>
        <w:tc>
          <w:tcPr>
            <w:tcW w:w="0" w:type="dxa"/>
            <w:vAlign w:val="bottom"/>
          </w:tcPr>
          <w:p>
            <w:pPr>
              <w:spacing w:after="0"/>
              <w:rPr>
                <w:sz w:val="1"/>
                <w:szCs w:val="1"/>
                <w:color w:val="auto"/>
              </w:rPr>
            </w:pPr>
          </w:p>
        </w:tc>
      </w:tr>
      <w:tr>
        <w:trPr>
          <w:trHeight w:val="230"/>
        </w:trPr>
        <w:tc>
          <w:tcPr>
            <w:tcW w:w="80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2,151,510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0" w:type="dxa"/>
            <w:vAlign w:val="bottom"/>
          </w:tcPr>
          <w:p>
            <w:pPr>
              <w:spacing w:after="0"/>
              <w:rPr>
                <w:sz w:val="1"/>
                <w:szCs w:val="1"/>
                <w:color w:val="auto"/>
              </w:rPr>
            </w:pPr>
          </w:p>
        </w:tc>
      </w:tr>
      <w:tr>
        <w:trPr>
          <w:trHeight w:val="262"/>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3,007,162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2,269,039</w:t>
            </w:r>
          </w:p>
        </w:tc>
        <w:tc>
          <w:tcPr>
            <w:tcW w:w="0" w:type="dxa"/>
            <w:vAlign w:val="bottom"/>
          </w:tcPr>
          <w:p>
            <w:pPr>
              <w:spacing w:after="0"/>
              <w:rPr>
                <w:sz w:val="1"/>
                <w:szCs w:val="1"/>
                <w:color w:val="auto"/>
              </w:rPr>
            </w:pPr>
          </w:p>
        </w:tc>
      </w:tr>
      <w:tr>
        <w:trPr>
          <w:trHeight w:val="230"/>
        </w:trPr>
        <w:tc>
          <w:tcPr>
            <w:tcW w:w="80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62"/>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top w:val="single" w:sz="8" w:color="CCEEFF"/>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4,215,068</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3,920,937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274,167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135,648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Realized investment losses (gains),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other invested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23,714</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36,182</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(14,706)</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180,629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187,771</w:t>
            </w:r>
          </w:p>
        </w:tc>
        <w:tc>
          <w:tcPr>
            <w:tcW w:w="0" w:type="dxa"/>
            <w:vAlign w:val="bottom"/>
          </w:tcPr>
          <w:p>
            <w:pPr>
              <w:spacing w:after="0"/>
              <w:rPr>
                <w:sz w:val="1"/>
                <w:szCs w:val="1"/>
                <w:color w:val="auto"/>
              </w:rPr>
            </w:pP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277,528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(681,516)</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paydowns of investments available for sale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56,603</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(186,259)</w:t>
            </w:r>
          </w:p>
        </w:tc>
        <w:tc>
          <w:tcPr>
            <w:tcW w:w="0" w:type="dxa"/>
            <w:vAlign w:val="bottom"/>
          </w:tcPr>
          <w:p>
            <w:pPr>
              <w:spacing w:after="0"/>
              <w:rPr>
                <w:sz w:val="1"/>
                <w:szCs w:val="1"/>
                <w:color w:val="auto"/>
              </w:rPr>
            </w:pP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issuance costs for credit facility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(17,943)</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(23,320)</w:t>
            </w:r>
          </w:p>
        </w:tc>
        <w:tc>
          <w:tcPr>
            <w:tcW w:w="0" w:type="dxa"/>
            <w:vAlign w:val="bottom"/>
          </w:tcPr>
          <w:p>
            <w:pPr>
              <w:spacing w:after="0"/>
              <w:rPr>
                <w:sz w:val="1"/>
                <w:szCs w:val="1"/>
                <w:color w:val="auto"/>
              </w:rPr>
            </w:pP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(21,808)</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81,491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102,830</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0" w:type="dxa"/>
            <w:vAlign w:val="bottom"/>
          </w:tcPr>
          <w:p>
            <w:pPr>
              <w:spacing w:after="0"/>
              <w:rPr>
                <w:sz w:val="1"/>
                <w:szCs w:val="1"/>
                <w:color w:val="auto"/>
              </w:rPr>
            </w:pPr>
          </w:p>
        </w:tc>
      </w:tr>
      <w:tr>
        <w:trPr>
          <w:trHeight w:val="111"/>
        </w:trPr>
        <w:tc>
          <w:tcPr>
            <w:tcW w:w="7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21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2021,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2022 prior to the issuance of these condensed consolidated financial statements.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52"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No. 2020-04, </w:t>
      </w:r>
      <w:r>
        <w:rPr>
          <w:rFonts w:ascii="Times New Roman" w:cs="Times New Roman" w:eastAsia="Times New Roman" w:hAnsi="Times New Roman"/>
          <w:sz w:val="18"/>
          <w:szCs w:val="18"/>
          <w:i w:val="1"/>
          <w:iCs w:val="1"/>
          <w:color w:val="auto"/>
        </w:rPr>
        <w:t>Reference Rate Reform (Topic 848): 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Reference Rate Reform on Financial Reporting</w:t>
      </w:r>
      <w:r>
        <w:rPr>
          <w:rFonts w:ascii="Times New Roman" w:cs="Times New Roman" w:eastAsia="Times New Roman" w:hAnsi="Times New Roman"/>
          <w:sz w:val="18"/>
          <w:szCs w:val="18"/>
          <w:color w:val="auto"/>
        </w:rPr>
        <w:t>. The amendments in this update provide temporary optional guidance to ease the potential burden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accounting 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reform. We continue to monitor the impact the discontinuance of LIBOR or another reference rate will have on our contracts and other transactions.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 (In thousands)</w:t>
            </w:r>
          </w:p>
        </w:tc>
        <w:tc>
          <w:tcPr>
            <w:tcW w:w="28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437,450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902,741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530,839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tcPr>
          <w:p>
            <w:pPr>
              <w:spacing w:after="0"/>
              <w:rPr>
                <w:sz w:val="19"/>
                <w:szCs w:val="19"/>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73,097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1,339,172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1,283,644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565,116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604,516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594,451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383,597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4,836,528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4,662,905</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 (In thousands)</w:t>
            </w:r>
          </w:p>
        </w:tc>
        <w:tc>
          <w:tcPr>
            <w:tcW w:w="280" w:type="dxa"/>
            <w:vAlign w:val="bottom"/>
          </w:tcPr>
          <w:p>
            <w:pPr>
              <w:spacing w:after="0"/>
              <w:rPr>
                <w:sz w:val="19"/>
                <w:szCs w:val="19"/>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447,926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598,764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541,638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582,144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210,012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4,897,607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4,962,887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allocation bonds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tax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w:t>
            </w: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Government</w:t>
            </w: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March 31, 2022,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3"/>
                <w:szCs w:val="13"/>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72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7"/>
                <w:szCs w:val="17"/>
                <w:color w:val="auto"/>
              </w:rPr>
            </w:pPr>
          </w:p>
        </w:tc>
        <w:tc>
          <w:tcPr>
            <w:tcW w:w="14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87,953</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291,389</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423,640</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162,102</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229,050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512,185</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39,429</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214,038</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551,936</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394,068</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1,283,644</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854,775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538,870</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594,451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383,597</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4,836,528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4,662,905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 (In thousands)</w:t>
            </w: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(58,373)</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2,919,148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3,445,851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(184,301)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 (In thousands)</w:t>
            </w: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3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2,033,809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2,186,496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March 31, 2022 and December 31, 2021, we held 1,994 and 1,180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March 31, 2022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March 31, 2022 had investment-grade ratings. We concluded that gross unrealized losses noted above are principally associated with the changes in interest rates subsequent to purchase rather than due to credit impairment. We recorded impairments of $6.8 million due to our intent to sell securities in an unrealized loss position in the three months ended March 31, 2022. There were no impairments in the three months ended March 31, 2021.</w:t>
      </w:r>
    </w:p>
    <w:p>
      <w:pPr>
        <w:spacing w:after="0" w:line="21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Company's other invested assets at March 31, 2022 and December 31, 2021 totaled $212.5 million and $170.5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1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2021, unrealized gains and losses reported by these entities were included in other comprehensive income (“OCI”). Subsequent to June 30, 2021, management concluded that unrealized gains and losses on these investments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should be reflected in earnings rather than OCI. Income from other invested assets for the three months ended March 31, 2022, includes $15.0 million of net unrealized gains.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$105.8 million as of March 31, 2022. Approximately 56% of these investments were in limited partnerships invested in real estate, with the remaining limited partnerships invested in financial services, technology, and traditional private equity investments. At March 31, 2022, maximum future funding commitments were $8.3 million. For limited partnership investments that have a contractual expiration date, we expect the liquidation of the underlying assets to occur over the next three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1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$9.3 million at March 31, 2022 and $9.7 million at December 31, 2021. In connection with its insurance and reinsurance activities, Essent Re is required to maintain assets in trusts for the benefit of its contractual counterparties. The fair value of the investments on deposit in these trusts was $985.7 million at March 31, 2022 and $982.6 million at December 31, 2021. Essent Guaranty is required to maintain assets on deposit in connection with its fully collateralized reinsurance agreements (see Note 4). The fair value of the assets on deposit was $8.5 million at March 31, 2022 and $8.5 million at December 31, 2021. Essent Guaranty is also required to maintain assets on deposit for the benefit of the sponsor of a fixed income investment commitment. The fair value of the assets on deposit was $9.0 million at March 31, 2022 and $9.0 million at December 31, 2021.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r>
      <w:tr>
        <w:trPr>
          <w:trHeight w:val="194"/>
        </w:trPr>
        <w:tc>
          <w:tcPr>
            <w:tcW w:w="21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6"/>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9"/>
        </w:trPr>
        <w:tc>
          <w:tcPr>
            <w:tcW w:w="8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220,254</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235,257</w:t>
            </w:r>
          </w:p>
        </w:tc>
      </w:tr>
      <w:tr>
        <w:trPr>
          <w:trHeight w:val="230"/>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(30,896)</w:t>
            </w:r>
          </w:p>
        </w:tc>
      </w:tr>
      <w:tr>
        <w:trPr>
          <w:trHeight w:val="223"/>
        </w:trPr>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199,731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204,361</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5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235,853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249,963</w:t>
            </w:r>
          </w:p>
        </w:tc>
      </w:tr>
      <w:tr>
        <w:trPr>
          <w:trHeight w:val="230"/>
        </w:trPr>
        <w:tc>
          <w:tcPr>
            <w:tcW w:w="808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(30,896)</w:t>
            </w:r>
          </w:p>
        </w:tc>
      </w:tr>
      <w:tr>
        <w:trPr>
          <w:trHeight w:val="248"/>
        </w:trPr>
        <w:tc>
          <w:tcPr>
            <w:tcW w:w="80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215,330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219,067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6"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color w:val="auto"/>
        </w:rPr>
        <w:t>Effective September 1, 2019, Essent Guaranty entered into a quota share reinsurance agreement with a panel of third-party reinsurers ("QSR 2019"). Each of the third-party reinsurers has an insurer financial strength rating of A or better by S&amp;P Global Ratings, A.M. Best or both. Under QSR 2019,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QSR 2019 is scheduled to terminate on December 31, 2030. Essent Guaranty has certain termination rights under QSR 2019, including the option to terminate QSR 2019 with no termination fee on December 31, 2021, and the option, subject to a termination fee, to terminate QSR 2019 on December 31, 2022, or annually thereafter. As Essent Guaranty did not exercise its option to terminate QSR 2019 effective December 31, 2021, the maximum profit commission that Essent Guaranty could earn will increase to 63% in 2022 and thereafter.</w:t>
      </w:r>
    </w:p>
    <w:p>
      <w:pPr>
        <w:spacing w:after="0" w:line="21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Effective January 1, 2022, Essent Guaranty entered into a quota share reinsurance agreement with a panel of third-party reinsurers ("QSR 2022"). Each of the third-party reinsurers has an insurer financial strength rating of A or better by S&amp;P Global Ratings, A.M. Best or both. Under QSR 2022, Essent Guaranty will cede premiums earned related to 20% of risk on all eligible policies written January 1, 2022 through December 31, 2022, in exchange for reimbursement of ceded claims and claims expenses on covered policies, a 20% ceding commission, and a profit commission of up to 62% that varies directly and inversely with ceded claims. QSR 2022 is scheduled to terminate on December 31, 2032. Essent Guaranty has certain termination rights under QSR 2022, including the option to terminate QSR 2022, subject to a termination fee, on December 31, 2024, or quarterly thereafter.</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RIF ceded under QSR 2019 and QSR 2022 was $5.0 billion as of March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agreements as of March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Vintage Year</w:t>
            </w: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580" w:type="dxa"/>
            <w:vAlign w:val="bottom"/>
          </w:tcPr>
          <w:p>
            <w:pPr>
              <w:spacing w:after="0"/>
              <w:rPr>
                <w:sz w:val="16"/>
                <w:szCs w:val="16"/>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2015 &amp; 2016</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2019-2 Ltd.</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20, 2019</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June 25, 2024</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2018-1 Ltd.</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22, 2018</w:t>
            </w:r>
          </w:p>
        </w:tc>
        <w:tc>
          <w:tcPr>
            <w:tcW w:w="26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March 25, 2023</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2018</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October 1, 2023</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30"/>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2019-1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2020-1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30, 2020</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January 25, 2027</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30, 2020</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January 25, 2027</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2019 &amp; 2020</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2020-2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8, 2020</w:t>
            </w:r>
          </w:p>
        </w:tc>
        <w:tc>
          <w:tcPr>
            <w:tcW w:w="26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rPr>
              <w:t>October 25, 2027</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2020 &amp; 2021</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23, 2021</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June 26, 2028</w:t>
            </w:r>
          </w:p>
        </w:tc>
        <w:tc>
          <w:tcPr>
            <w:tcW w:w="580" w:type="dxa"/>
            <w:vAlign w:val="bottom"/>
            <w:shd w:val="clear" w:color="auto" w:fill="CCEEFF"/>
          </w:tcPr>
          <w:p>
            <w:pPr>
              <w:spacing w:after="0"/>
              <w:rPr>
                <w:sz w:val="19"/>
                <w:szCs w:val="19"/>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November 10, 2021</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November 25, 2027</w:t>
            </w:r>
          </w:p>
        </w:tc>
        <w:tc>
          <w:tcPr>
            <w:tcW w:w="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379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27" w:lineRule="exact"/>
        <w:rPr>
          <w:sz w:val="20"/>
          <w:szCs w:val="20"/>
          <w:color w:val="auto"/>
        </w:rPr>
      </w:pPr>
    </w:p>
    <w:p>
      <w:pPr>
        <w:ind w:left="660" w:right="20" w:hanging="328"/>
        <w:spacing w:after="0" w:line="261"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reinsurance agreement is not terminated at the optional termination date, the risk margin component of the reinsurance premium increases by 50%.</w:t>
      </w:r>
    </w:p>
    <w:p>
      <w:pPr>
        <w:ind w:left="660" w:right="1560" w:hanging="328"/>
        <w:spacing w:after="0" w:line="424" w:lineRule="auto"/>
        <w:tabs>
          <w:tab w:leader="none" w:pos="6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reinsurance agreement is not terminated at the optional termination date, the reinsurance premium increases by 50%. The following table summarizes Essent Guaranty's excess of loss reinsurance coverages and retentions as of March 31, 2022:</w:t>
      </w:r>
    </w:p>
    <w:tbl>
      <w:tblPr>
        <w:tblLayout w:type="fixed"/>
        <w:tblInd w:w="0" w:type="dxa"/>
        <w:tblCellMar>
          <w:top w:w="0" w:type="dxa"/>
          <w:left w:w="0" w:type="dxa"/>
          <w:bottom w:w="0" w:type="dxa"/>
          <w:right w:w="0" w:type="dxa"/>
        </w:tblCellMar>
      </w:tblPr>
      <w:tr>
        <w:trPr>
          <w:trHeight w:val="149"/>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Reinsurance in Force</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Vintage Year</w:t>
            </w:r>
          </w:p>
        </w:tc>
        <w:tc>
          <w:tcPr>
            <w:tcW w:w="24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Risk</w:t>
            </w:r>
          </w:p>
        </w:tc>
        <w:tc>
          <w:tcPr>
            <w:tcW w:w="340" w:type="dxa"/>
            <w:vAlign w:val="bottom"/>
          </w:tcPr>
          <w:p>
            <w:pPr>
              <w:spacing w:after="0"/>
              <w:rPr>
                <w:sz w:val="12"/>
                <w:szCs w:val="12"/>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ILN</w:t>
            </w:r>
          </w:p>
        </w:tc>
        <w:tc>
          <w:tcPr>
            <w:tcW w:w="120" w:type="dxa"/>
            <w:vAlign w:val="bottom"/>
          </w:tcPr>
          <w:p>
            <w:pPr>
              <w:spacing w:after="0"/>
              <w:rPr>
                <w:sz w:val="12"/>
                <w:szCs w:val="12"/>
                <w:color w:val="auto"/>
              </w:rPr>
            </w:pPr>
          </w:p>
        </w:tc>
        <w:tc>
          <w:tcPr>
            <w:tcW w:w="12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Other Reinsurance</w:t>
            </w:r>
          </w:p>
        </w:tc>
        <w:tc>
          <w:tcPr>
            <w:tcW w:w="88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7,994,097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2,161,454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135,785</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207,023</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7,329,533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165,167</w:t>
            </w:r>
          </w:p>
        </w:tc>
        <w:tc>
          <w:tcPr>
            <w:tcW w:w="8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217,185</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8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249,213</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9,954,519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55,102</w:t>
            </w:r>
          </w:p>
        </w:tc>
        <w:tc>
          <w:tcPr>
            <w:tcW w:w="8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215,054</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2019 &amp; 2020 </w:t>
            </w: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28,615,471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465,681</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2020 &amp; 2021 </w:t>
            </w: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47,520,573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278,936</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44,685,107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279,415</w:t>
            </w:r>
          </w:p>
        </w:tc>
        <w:tc>
          <w:tcPr>
            <w:tcW w:w="0" w:type="dxa"/>
            <w:vAlign w:val="bottom"/>
          </w:tcPr>
          <w:p>
            <w:pPr>
              <w:spacing w:after="0"/>
              <w:rPr>
                <w:sz w:val="1"/>
                <w:szCs w:val="1"/>
                <w:color w:val="auto"/>
              </w:rPr>
            </w:pPr>
          </w:p>
        </w:tc>
      </w:tr>
      <w:tr>
        <w:trPr>
          <w:trHeight w:val="223"/>
        </w:trPr>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154,332,572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39,485,795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2,299,378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296,413</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2,595,791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1,912,507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January 1, 2019 through August 31, 2019.</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September 1, 2019 through July 31,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August 1, 2020 through March 31,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April 1, 2021 through September 30,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immediately above the coverage provided by Radnor Re 2018-1 Ltd.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pari-passu to the coverage provided by Radnor Re 2019-1 Ltd.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pari-passu to the coverage provided by Radnor Re 2020-1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right="260" w:firstLine="180"/>
        <w:spacing w:after="0" w:line="261" w:lineRule="auto"/>
        <w:rPr>
          <w:sz w:val="20"/>
          <w:szCs w:val="20"/>
          <w:color w:val="auto"/>
        </w:rPr>
      </w:pPr>
      <w:r>
        <w:rPr>
          <w:rFonts w:ascii="Times New Roman" w:cs="Times New Roman" w:eastAsia="Times New Roman" w:hAnsi="Times New Roman"/>
          <w:sz w:val="18"/>
          <w:szCs w:val="18"/>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 As of November 26, 2021, Radnor Re 2019-2 was no longer subject to a trigger event.</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amount of monthly reinsurance premium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 using observable inputs in active markets (Level 2), included in other assets (other accrued liabilities) on our condensed consolidated balance sheet and the estimated net present value of investment earnings on the assets in the reinsurance trust, each as of March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2020-1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2020-2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2,299,378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The assets of Radnor Re are the source of reinsurance claim payments to Essent Guaranty and provide capital relief under the PMIERs financial strength requirements (see Note 14). A decline in the assets available to pay claims would reduce the capital relief available to Essent Guaranty.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three months ended March 31:</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374,941</w:t>
            </w: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19,061</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355,880</w:t>
            </w:r>
          </w:p>
        </w:tc>
      </w:tr>
      <w:tr>
        <w:trPr>
          <w:trHeight w:val="20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47,989</w:t>
            </w:r>
          </w:p>
        </w:tc>
      </w:tr>
      <w:tr>
        <w:trPr>
          <w:trHeight w:val="229"/>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(15,667)</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r>
      <w:tr>
        <w:trPr>
          <w:trHeight w:val="20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386,216</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24,907</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411,123</w:t>
            </w: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2022, $0.9 million was paid for incurred claims and claim adjustment expenses attributable to insured events of prior years. There has been a $131.2 million favorable prior year development, including $101.2 million related to defaults notices received in April 2020 through September 2020 ("Early COVID Defaults"), during the three months ended March 31, 2022. Net reserves remaining as of March 31, 2022 for prior years are $249.4 million as a result of re-estimation of unpaid losses and loss adjustment expenses. For the three months ended March 31, 2021, $1.9 million was paid for incurred claims and claim adjustment expenses attributable to insured events of prior years. There was a $15.7 million favorable prior year development during the three months ended March 31, 2021. Net reserves remaining as of March 31, 2021 for prior years were $338.3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1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implemented in March 2020 as a result of COVID-19, unemployment in the United States increased significantly in the second quarter of 2020, declining during the second half of 2020 and throughout 2021. As unemployment is one of the most common reasons for borrowers to default on their mortgage, the increase in unemployment resulted in an increase in the number of delinquencies on the mortgages that we insure and has the potential to increase claim frequencies on defaults.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spacing w:after="0" w:line="21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Based on the fiscal stimulus, forbearance programs and the foreclosure moratoriums put in place and the credit characteristics of the defaulted loans, we expected the ultimate number of Early COVID Defaults that result in claims would be less than our historical default-to-claim experience. Accordingly, we recorded a reserve equal to approximately 7% of the initial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in force for the Early COVID Defaults. The reserve for the Early COVID Defaults had not been adjusted as of December 31, 2021.</w:t>
      </w:r>
    </w:p>
    <w:p>
      <w:pPr>
        <w:spacing w:after="0" w:line="25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of March 31, 2022, the defaulted loans reported to us in the second and third quarters of 2020 have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which resulted in a benefit recorded to the provision for losses of $101.2 million in the three months ended March 31, 2022. The reserve for losses and LAE at March 31, 2022 includes $136.9 million of reserves for Early COVID Defaults. It is reasonably possible that our estimate of the losses for the Early COVID Defaults could change in the near term as a result of changes in the economic environment, the continued impact of the pandemic on the economic environment, and the results of existing and future governmental programs designed to assist individuals and businesses impacted by the virus. A 100 basis point increase or decrease in our estimate of ultimate loss applied to the initial risk in force of the Early COVID Defaults would result in a corresponding increase or decrease in our reserve for losses and LAE of approximately $35 million as of March 31, 2022.</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credit characteristics of defaults reported subsequent to September 30, 2020 have trended towards those of the pre-pandemic periods 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We believe that while defaults subsequent to September 30, 2020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consistent with pre-pandemic defaults. Accordingly, beginning in the fourth quarter of 2020, we resumed establishing reserves for defaults reported after September 2020 using our normal reserve methodology.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Essent Group and its subsidiaries, Essent Irish Intermediate Holdings Limited and Essent US Holdings, Inc. (collectively, the "Borrowers"), are parties to a secured credit facility (the “Credit Facility”) with committed capacity of $825 million. The Credit Facility provides for a $400 million revolving credit facility and $425 million of term loans.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March 31, 2022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December 10, 2026. As of March 31, 2022, the Company was in compliance with the covenants and $425 million had been borrowed under the Credit Facility with a weighted average interest rate of 1.99%. As of December 31, 2021, $425 million had been borrowed with a weighted average interest rate of 1.79%.</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 indemnify certain lenders against losses incurred in the event that we make an error in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three months ended March 31, 2022 and 2021. As of March 31, 2022, management believes any potential claims for indemnification related to contract underwriting services through March 31, 2022 are not material to our consolidated financial position or results of operations.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2022,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3"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83"/>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9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2"/>
                <w:szCs w:val="12"/>
                <w:color w:val="auto"/>
              </w:rPr>
            </w:pPr>
          </w:p>
        </w:tc>
        <w:tc>
          <w:tcPr>
            <w:tcW w:w="1340" w:type="dxa"/>
            <w:vAlign w:val="bottom"/>
          </w:tcPr>
          <w:p>
            <w:pPr>
              <w:jc w:val="right"/>
              <w:ind w:right="654"/>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54"/>
        </w:trPr>
        <w:tc>
          <w:tcPr>
            <w:tcW w:w="2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85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May 2022, the Board of Directors declared a quarterly cash dividend of $0.21 per common share payable on June 10, 2022, to shareholders of record on June 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56" w:lineRule="exact"/>
        <w:rPr>
          <w:sz w:val="20"/>
          <w:szCs w:val="20"/>
          <w:color w:val="auto"/>
        </w:rPr>
      </w:pPr>
    </w:p>
    <w:p>
      <w:pPr>
        <w:jc w:val="both"/>
        <w:ind w:right="240" w:firstLine="648"/>
        <w:spacing w:after="0" w:line="256" w:lineRule="auto"/>
        <w:rPr>
          <w:sz w:val="20"/>
          <w:szCs w:val="20"/>
          <w:color w:val="auto"/>
        </w:rPr>
      </w:pPr>
      <w:r>
        <w:rPr>
          <w:rFonts w:ascii="Times New Roman" w:cs="Times New Roman" w:eastAsia="Times New Roman" w:hAnsi="Times New Roman"/>
          <w:sz w:val="18"/>
          <w:szCs w:val="18"/>
          <w:color w:val="auto"/>
        </w:rPr>
        <w:t>In May 2021, the Board of Directors approved a share repurchase plan that authorized the Company to repurchase $250 million of its common shares in the open market by the end of 2022. During the three months ended March 31, 2022, the Company repurchased 1,593,562 common shares at a cost of $69.9 million leaving $22.3 million remaining unused under the authorized repurchase plan as of March 31, 2022. The shares repurchased were recorded at cost and included in treasury stock. All treasury stock has been cancelled as of March 31, 2022. In April 2022, the Company repurchased an additional 543,399 common shares at a total cost of $22.3 million, completing the repurchase plan. In May 2022, the Board of Directors approved a new share repurchase plan that authorizes the Company to repurchase up to $250 million of its common shares in the open market by the end of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IPO in 2013, Essent Group's Board of Directors adopted, and Essent Group's shareholders </w:t>
      </w:r>
      <w:r>
        <w:rPr>
          <w:rFonts w:ascii="Times New Roman" w:cs="Times New Roman" w:eastAsia="Times New Roman" w:hAnsi="Times New Roman"/>
          <w:sz w:val="18"/>
          <w:szCs w:val="18"/>
          <w:color w:val="242021"/>
        </w:rPr>
        <w:t>approved, the Essent Group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2013 Long-Term Incentive Plan (the "2013 Plan"), which was effective upon completion of the initial public offering.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 rights, and other</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three months ended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Time and Performance-</w:t>
            </w:r>
          </w:p>
        </w:tc>
        <w:tc>
          <w:tcPr>
            <w:tcW w:w="21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1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21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2100" w:type="dxa"/>
            <w:vAlign w:val="bottom"/>
            <w:gridSpan w:val="5"/>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2820" w:type="dxa"/>
            <w:vAlign w:val="bottom"/>
            <w:gridSpan w:val="2"/>
            <w:vMerge w:val="continue"/>
          </w:tcPr>
          <w:p>
            <w:pPr>
              <w:spacing w:after="0"/>
              <w:rPr>
                <w:sz w:val="17"/>
                <w:szCs w:val="17"/>
                <w:color w:val="auto"/>
              </w:rPr>
            </w:pP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2022, certain members of senior management were granted nonvested common shares under the Essent Group Ltd. 2013 Long-Term Incentive Plan ("2013 Plan") that were subject to time-based and performance-based vesting. The time-based share awards granted in February 2022 vest in three equal installments on March 1, 2023, 2024 and 2025. The performance-based share awards granted in February 2022 vest based upon our compounded annual book value per share growth percentage and relative total shareholder return during a three-year performance period that commenced on January 1, 2022 and vest on March 1, 2025. Shares were issued at the maximum 200% of target. The portion of these nonvested performance-based share awards that will be earned is as follows: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4"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8"/>
          <w:szCs w:val="18"/>
          <w:b w:val="1"/>
          <w:bCs w:val="1"/>
          <w:color w:val="auto"/>
        </w:rPr>
        <w:t>Relative Total Shareholder Return</w:t>
      </w:r>
    </w:p>
    <w:p>
      <w:pPr>
        <w:jc w:val="center"/>
        <w:ind w:left="4180"/>
        <w:spacing w:after="0"/>
        <w:rPr>
          <w:sz w:val="20"/>
          <w:szCs w:val="20"/>
          <w:color w:val="auto"/>
        </w:rPr>
      </w:pPr>
      <w:r>
        <w:rPr>
          <w:rFonts w:ascii="Times New Roman" w:cs="Times New Roman" w:eastAsia="Times New Roman" w:hAnsi="Times New Roman"/>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1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940" w:type="dxa"/>
            <w:vAlign w:val="bottom"/>
          </w:tcPr>
          <w:p>
            <w:pPr>
              <w:spacing w:after="0"/>
              <w:rPr>
                <w:sz w:val="21"/>
                <w:szCs w:val="21"/>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13%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70"/>
        </w:trPr>
        <w:tc>
          <w:tcPr>
            <w:tcW w:w="19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50"/>
        </w:trPr>
        <w:tc>
          <w:tcPr>
            <w:tcW w:w="19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184"/>
        </w:trPr>
        <w:tc>
          <w:tcPr>
            <w:tcW w:w="1940" w:type="dxa"/>
            <w:vAlign w:val="bottom"/>
          </w:tcPr>
          <w:p>
            <w:pPr>
              <w:jc w:val="center"/>
              <w:ind w:right="550"/>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6"/>
                <w:szCs w:val="16"/>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6"/>
                <w:szCs w:val="16"/>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2021, in February 2022, time-based share units were issued to certain employees that vest in three equal installments on March 1, 2023, 2024 and 2025.</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2022 and February 2021 contain a market condition and were valued based on analysis provided by a third-party valuation firm using a risk neutral simulation taking into effect the vesting conditions of the grant.</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awards vested on March 1, 2022 and the amended 2020 awards will vest on March 1, 2023, subject to the continued service requirements and other terms and conditions set forth in the applicable award agreements, without taking into consideration any performance metrics. Total incremental compensation expense related to amending these awards is $4.0 million. As of March 31, 2022, there was $1.2 million of unrecognized compensation expense related to amending these awards and we expect to recognize the expense over a weighted average period of 0.9 years.</w:t>
      </w:r>
    </w:p>
    <w:p>
      <w:pPr>
        <w:spacing w:after="0" w:line="216"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total fair value on the vesting date of nonvested shares, share units or DEUs that vested was $16.3 million and $16.0 million for the three months ended March 31, 2022 and 2021, respectively. As of March 31, 2022, there was $28.3 million of total unrecognized compensation expense related to nonvested shares or share units outstanding at March 31, 2022 and we expect to recognize the expense over a weighted average period of 2.3 years.</w:t>
      </w:r>
    </w:p>
    <w:p>
      <w:pPr>
        <w:spacing w:after="0" w:line="15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126,851 in the three months ended March 31, 2022. The tendered shares were recorded at cost and included in treasury stock. All treasury stock has been cancelled as of March 31,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ordinary dividends during any 12-month period in an amount equal to the greater of (i) 10%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preceding year-end statutory policyholders' surplus or (ii) the preceding year's statutory net income. The Pennsylvania statute also specifies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and other distributions can be paid out of positive unassigned surplus without prior approval. At March 31, 2022, Essent Guaranty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unassigned surplus of approximately $376.7 million and Essent PA had unassigned surplus of approximately $17.9 million. In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Essent Guaranty paid a dividend of $100.0 million to its parent, Essent US Holdings, Inc. Essent Guaranty did not pay dividends to Essent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or any intermediate holding companies in the three months ended March 31, 2021. Essent PA did not pay a dividend in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or 2021. As of March 31, 2022, Essent Guaranty and Essent PA could pay additional ordinary dividends in 2022 of $376.7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million, respectively.</w:t>
      </w:r>
    </w:p>
    <w:p>
      <w:pPr>
        <w:spacing w:after="0" w:line="23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March 31, 2022, Essent Re had total equity of $1.3 billion.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2022, our insurance subsidiaries were in compliance with these rules, regulations and agreements.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274,167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135,648</w:t>
            </w:r>
          </w:p>
        </w:tc>
      </w:tr>
      <w:tr>
        <w:trPr>
          <w:trHeight w:val="54"/>
        </w:trPr>
        <w:tc>
          <w:tcPr>
            <w:tcW w:w="8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112,016</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112,378</w:t>
            </w:r>
          </w:p>
        </w:tc>
      </w:tr>
      <w:tr>
        <w:trPr>
          <w:trHeight w:val="54"/>
        </w:trPr>
        <w:tc>
          <w:tcPr>
            <w:tcW w:w="8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81,036 and 352,623 antidilutive shares for the three months ended March 31, 2022 and 2021, respectively.</w:t>
      </w:r>
    </w:p>
    <w:p>
      <w:pPr>
        <w:spacing w:after="0" w:line="22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nonvested performance-based share awards are considered contingently issuable for purposes of the EPS calculation. Based on the compounded annual book value per share growth and relative total shareholder return as of March 31, 2022, the 2022 performance-based share awards would be issuable at 122% of target under the terms of the arrangements if March 31, 2022 was the end of the contingency period, which is 61% of the shares issued, and the 2021 performance-based share awards would be issuable at 100% of target under the terms of the arrangements if March 31, 2021 was the end of the contingency period, which is 50% of the shares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income (loss) for the three months ended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138,274</w:t>
            </w:r>
          </w:p>
        </w:tc>
      </w:tr>
      <w:tr>
        <w:trPr>
          <w:trHeight w:val="209"/>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6"/>
        </w:trPr>
        <w:tc>
          <w:tcPr>
            <w:tcW w:w="388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38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0"/>
        </w:trPr>
        <w:tc>
          <w:tcPr>
            <w:tcW w:w="3880" w:type="dxa"/>
            <w:vAlign w:val="bottom"/>
            <w:gridSpan w:val="3"/>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Unrealized holding losses arising during the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(58,562)</w:t>
            </w:r>
          </w:p>
        </w:tc>
      </w:tr>
      <w:tr>
        <w:trPr>
          <w:trHeight w:val="175"/>
        </w:trPr>
        <w:tc>
          <w:tcPr>
            <w:tcW w:w="388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losses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(gains) included in net income (1)</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3"/>
        </w:trPr>
        <w:tc>
          <w:tcPr>
            <w:tcW w:w="388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(59,203)</w:t>
            </w:r>
          </w:p>
        </w:tc>
      </w:tr>
      <w:tr>
        <w:trPr>
          <w:trHeight w:val="223"/>
        </w:trPr>
        <w:tc>
          <w:tcPr>
            <w:tcW w:w="3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(59,203)</w:t>
            </w:r>
          </w:p>
        </w:tc>
      </w:tr>
      <w:tr>
        <w:trPr>
          <w:trHeight w:val="248"/>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18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net realized investment gains (losses) on our condensed consolidated statements of comprehensive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423,640</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854,775</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512,185</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1,283,644</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538,870</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594,451</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383,597</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4,662,905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4,304,082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4,962,887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ind w:left="660" w:right="240" w:hanging="328"/>
        <w:spacing w:after="0" w:line="26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Essent Guaranty</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112,401</w:t>
            </w: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1,091,217</w:t>
            </w: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1,575,323</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54,964</w:t>
            </w: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56,535</w:t>
            </w:r>
          </w:p>
        </w:tc>
      </w:tr>
    </w:tbl>
    <w:p>
      <w:pPr>
        <w:spacing w:after="0" w:line="30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2022 and 2021,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At March 31, 2022 and 2021, the statutory capital of our U.S. insurance subsidiaries, which is defined as the total of statutory surplus and contingency reserves, was in excess of the statutory capital necessary to satisfy their regulatory requirements.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2022, Essent Guaranty, our GSE-approved mortgage insurance company, was in compliance with PMIERs 2.0.</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During the three months ended March 31, 2022, Essent Guaranty increased its contingency reserve by $69.8 million and Essent PA increased its contingency reserve by $0.1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three months ended March 31, 2022 and 2021, Essent Guaranty released contingency reserves of $2.6 million and $0.6 million,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respectively, and Essent PA released contingency reserves of $0.2 million and less than $0.1 million, respectively, to unassigned funds upon completion of the 120 month holding period.</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2021, all such requirements were met.</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Essent Re's statutory capital and surplus was $1.3 billion as of March 31, 2022 and $1.3 billion as of December 31, 2021. Essent Re's statutory net income was $89.6 million and $48.4 million for the three months ended March 31, 2022 and 2021, respectively. Statutory capital and surplus as of March 31, 2022 and December 31, 2021 and statutory net income in the three months ended March 31, 2022 and 2021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2021 as filed with the Securities and Exchange Commission and referred to herein as the “Annual Report,” and our condensed consolidated financial statements and related notes as of and for the three months ended March 31, 2022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an established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347 employees as of March 31, 2022. We generated new insurance written, or NIW, of approximately $12.8 billion and $19.3 billion for the three months ended March 31, 2022 and 2021, respectively, and we had approximately $206.8 billion of insurance in force as of March 31, 2022.</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also offer mortgage-related insurance and reinsurance through our wholly-owned Bermuda-based subsidiary, Essent Reinsurance Ltd., which we refer to as "Essent Re." As of March 31, 2022, Essent Re provided insurance or reinsurance relating to GSE risk share and other reinsurance transactions covering approximately $1.9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 of Essent Re is BBB+ with a stable outlook by S&amp;P and A (Excellent) with a stable outlook by A.M. Best.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Due to the novel coronavirus disease 2019 ("COVID-19"), we experienced a significant increase in the amount of new defaults reported in 2020, especially during the second and third quarters of 2020. We segmented these two quarters’ 49,398 defaults as specifically COVID-19 related (“Early COVID Defaults”) and provided losses for these two cohorts differently as compared to our normal loss reserving methodology. The default-to-claim transition patterns of the Early COVID Defaults have been different than our historical defaults. We believe that the borrowers associated with the Early COVID Defaults have been able to take advantage of foreclosure moratoriums and mortgage forbearance programs instituted by Federal legislation along with actions taken by the Federal Housing Finance Agency (“FHFA”), Fannie Mae and Freddie Mac (collectively the “GSEs”) which has extend traditional default-to-claim timelines. As a result of these programs, along with Federal stimulus, these borrowers associated with the Early COVID Defaults have had more resources and an extended time period to address the issues that triggered the default, that we believe will result in a higher cure rate, and correspondingly lower claim payments than historical defaults. Beginning in the fourth quarter of 2020, the credit characteristics of new defaults trended towards those of the pre-pandemic period sand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As a result, for new defaults reported after September 30, 2020, we reverted to our normal loss reserving methodology.</w:t>
      </w:r>
    </w:p>
    <w:p>
      <w:pPr>
        <w:spacing w:after="0" w:line="23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borrowers that have the ability to begin to pay their mortgage at the end of the forbearance period, we expect that mortgage servicers will continue to work with them to modify their loans at which time the mortgage will be removed from delinquency status.</w:t>
      </w:r>
    </w:p>
    <w:p>
      <w:pPr>
        <w:spacing w:after="0" w:line="189" w:lineRule="exact"/>
        <w:rPr>
          <w:sz w:val="20"/>
          <w:szCs w:val="20"/>
          <w:color w:val="auto"/>
        </w:rPr>
      </w:pPr>
    </w:p>
    <w:p>
      <w:pPr>
        <w:ind w:firstLine="170"/>
        <w:spacing w:after="0" w:line="254" w:lineRule="auto"/>
        <w:rPr>
          <w:sz w:val="20"/>
          <w:szCs w:val="20"/>
          <w:color w:val="auto"/>
        </w:rPr>
      </w:pPr>
      <w:r>
        <w:rPr>
          <w:rFonts w:ascii="Times New Roman" w:cs="Times New Roman" w:eastAsia="Times New Roman" w:hAnsi="Times New Roman"/>
          <w:sz w:val="18"/>
          <w:szCs w:val="18"/>
          <w:color w:val="auto"/>
        </w:rPr>
        <w:t>As of March 31, 2022, approximately 95% of the Early COVID Defaults had cured. In the three months ended March 31, 2022, new defaults remained elevated although at lower levels than those reported in the second through fourth quarters of 2020 and the first quarter of 2021.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March 31, 2022.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7" w:lineRule="exact"/>
        <w:rPr>
          <w:sz w:val="20"/>
          <w:szCs w:val="20"/>
          <w:color w:val="auto"/>
        </w:rPr>
      </w:pPr>
    </w:p>
    <w:p>
      <w:pPr>
        <w:ind w:right="120" w:firstLine="177"/>
        <w:spacing w:after="0" w:line="258" w:lineRule="auto"/>
        <w:rPr>
          <w:sz w:val="20"/>
          <w:szCs w:val="20"/>
          <w:color w:val="auto"/>
        </w:rPr>
      </w:pPr>
      <w:r>
        <w:rPr>
          <w:rFonts w:ascii="Times New Roman" w:cs="Times New Roman" w:eastAsia="Times New Roman" w:hAnsi="Times New Roman"/>
          <w:sz w:val="18"/>
          <w:szCs w:val="18"/>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 PFIC asset test of a foreign holding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60" w:right="1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2022 were non-refundable. Premiums collected on annual policies are recognized as net premiums earned on a straight-line basis over the year of coverage. For the three months ended March 31, 2022 and 2021, monthly premium policies comprised 98% and 93% of our NIW, respectively.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69.1% at March 31, 2022. Generally, higher prepayment speeds lead to lower persistency.</w:t>
      </w:r>
    </w:p>
    <w:p>
      <w:pPr>
        <w:spacing w:after="0" w:line="203" w:lineRule="exact"/>
        <w:rPr>
          <w:sz w:val="20"/>
          <w:szCs w:val="20"/>
          <w:color w:val="auto"/>
        </w:rPr>
      </w:pPr>
    </w:p>
    <w:p>
      <w:pPr>
        <w:ind w:right="40" w:firstLine="693"/>
        <w:spacing w:after="0" w:line="256"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March 31, 2022.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financial services and technology funds, and traditional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The services agreement provides for a flat monthly fee through November 30, 2022. The services agreement provides for one subsequent one-year renewal at Triad's option.</w:t>
      </w:r>
    </w:p>
    <w:p>
      <w:pPr>
        <w:spacing w:after="0" w:line="183" w:lineRule="exact"/>
        <w:rPr>
          <w:sz w:val="20"/>
          <w:szCs w:val="20"/>
          <w:color w:val="auto"/>
        </w:rPr>
      </w:pPr>
    </w:p>
    <w:p>
      <w:pPr>
        <w:ind w:right="100" w:firstLine="17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5" w:lineRule="exact"/>
        <w:rPr>
          <w:sz w:val="20"/>
          <w:szCs w:val="20"/>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1"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March 31, 2022, 78% of our IIF relates to business written since January 1, 2020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0"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Based upon our experience and industry data, claims incidence for mortgage insurance is generally highest in the third through sixth years after loan origination. Claims incidence for defaults associated with COVID-19 may not follow this pattern. As of March 31, 2022, 78% of our IIF relates to business written since January 1, 2020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implemented in March 2020 as a result of COVID-19, unemployment in the United States increased significantly in the second quarter of 2020, declining during the second half of 2020 and throughout 2021. As unemployment is one of the most common reasons for borrowers to default on their mortgage, the increase in unemployment has increased the number of delinquencies on the mortgages we insure, and has the potential to increase claim frequencies on defaults. As a result, we received 36,784 defaults in the three months ended June 30, 2020 and 12,614 defaults in the three months ended September 30, 2020, which resulted in a significant increase in our default rate from 0.83% at March 31, 2020 to 4.54% at September 30, 2020.</w:t>
      </w:r>
    </w:p>
    <w:p>
      <w:pPr>
        <w:spacing w:after="0" w:line="20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expect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Since June 30, 2020, we have experienced a decline in our default rate. As of March 31, 2022, insured loans in default totaled 14,923 compared to 16,963 defaults as of December 31, 2021. The credit characteristics of defaults reported subsequent to September 30, 2020 have trended towards those of the pre-pandemic periods and we have observed the normalization of other default patterns during this period. In addition, beginning in the fourth quarter of 2020, the economic conditions have been different than those experienced in the second and third quarters of 2020. We believe that while defaults subsequent to September 30, 2020 were impacted by the pandemic’s effect on the economy, the underlying credit performance of these defaults may not be the same as the expected performance for Early COVID Defaults that occurred following the onset of the pandemic and these defaults are more likely to transition like pre-pandemic defaults. Accordingly, beginning in the fourth quarter of 2020, we resumed establishing reserves for defaults reported after September 30, 2020 using our normal reserve methodology.</w:t>
      </w:r>
    </w:p>
    <w:p>
      <w:pPr>
        <w:spacing w:after="0" w:line="219"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7"/>
          <w:szCs w:val="17"/>
          <w:color w:val="auto"/>
        </w:rPr>
        <w:t>As of March 31, 2022, the defaulted loans reported to us in the second and third quarters of 2020 have reached the end of their forbearance periods. During the first quarter of 2022, the Early COVID Defaults cured at elevated levels, and the cumulative cure rate for the Early COVID Default at March 31, 2022 exceeded our initial estimated cure rate implied by our estimate of ultimate loss for these defaults established at the onset of the pandemic. Based on cure activity through March 31, 2022 and our expectations for future cure activity, we lowered our estimate of ultimate loss for the Early COVID Defaults as of March 31, 2022 which resulted in a benefit recorded to the provision for losses of $101.2 million. It is reasonably possible that our estimate of the losses for the Early COVID Defaults could change in the near term as a result of changes in the economic environment, the continued impact of the pandemic on the economic environment, and the results of existing and future governmental programs designed to assist individuals and businesses impacted by the virus. As more fully described in Note 4 to our condensed consolidated financial statements, at March 31, 2022, we had approximately $2.6 billion of excess of loss reinsurance covering NIW from January 1, 2015 to September 30, 2021 and quota share reinsurance on portions of our NIW</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effective September 1, 2019 through December 31, 2020 and January 1, 2022 through December 31, 2022.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Reinsurance</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NIW.</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61% of other underwriting and operating expenses for the three months ended March 31, 2022, compared to 58% of other underwriting and operating expenses for the three months ended March 31, 2021. Compensation and benefits expense includes base and incentive cash compensation, stock compensation expense, benefits and payroll taxes.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93"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21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9"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premiums we collect and earn are generated based on our IIF, which is a function of our NIW and cancellations. The following table includes a summary of the change in our IIF for the three months ended March 31, 2022 and 2021 for our U.S. mortgage insurance portfolio. In addition, this table includes RIF at the end of each period.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207,190,544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198,882,352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12,841,482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19,254,014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(13,189,030)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(21,045,175)</w:t>
            </w:r>
          </w:p>
        </w:tc>
        <w:tc>
          <w:tcPr>
            <w:tcW w:w="0" w:type="dxa"/>
            <w:vAlign w:val="bottom"/>
          </w:tcPr>
          <w:p>
            <w:pPr>
              <w:spacing w:after="0"/>
              <w:rPr>
                <w:sz w:val="1"/>
                <w:szCs w:val="1"/>
                <w:color w:val="auto"/>
              </w:rPr>
            </w:pPr>
          </w:p>
        </w:tc>
      </w:tr>
      <w:tr>
        <w:trPr>
          <w:trHeight w:val="22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206,842,996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197,091,191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206,631,135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197,749,668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45,261,164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41,135,978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7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IIF at March 31, 2022 by vintage: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(through March 31)</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12,730,681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77,556,621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71,633,103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18,001,459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8,357,025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2017 and prior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18,564,107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206,842,996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9" w:lineRule="exact"/>
        <w:rPr>
          <w:sz w:val="20"/>
          <w:szCs w:val="20"/>
          <w:color w:val="auto"/>
        </w:rPr>
      </w:pPr>
    </w:p>
    <w:p>
      <w:pPr>
        <w:jc w:val="both"/>
        <w:ind w:right="300" w:firstLine="648"/>
        <w:spacing w:after="0" w:line="272" w:lineRule="auto"/>
        <w:rPr>
          <w:sz w:val="20"/>
          <w:szCs w:val="20"/>
          <w:color w:val="auto"/>
        </w:rPr>
      </w:pPr>
      <w:r>
        <w:rPr>
          <w:rFonts w:ascii="Times New Roman" w:cs="Times New Roman" w:eastAsia="Times New Roman" w:hAnsi="Times New Roman"/>
          <w:sz w:val="17"/>
          <w:szCs w:val="17"/>
          <w:color w:val="auto"/>
        </w:rPr>
        <w:t>Our average net premium rate is calculated by dividing net premiums earned for the U.S. mortgage insurance portfolio by average insurance in force for the period and is dependent on a number of factors, including: (1) changes in our base premium rate due to the risk characteristics and average coverage on the mortgages we insure, the mix of monthly premiums compared to single premiums in our portfolio, and changes to our pricing for NIW;</w:t>
      </w:r>
    </w:p>
    <w:p>
      <w:pPr>
        <w:spacing w:after="0" w:line="2" w:lineRule="exact"/>
        <w:rPr>
          <w:sz w:val="20"/>
          <w:szCs w:val="20"/>
          <w:color w:val="auto"/>
        </w:rPr>
      </w:pPr>
    </w:p>
    <w:p>
      <w:pPr>
        <w:ind w:right="12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non-refundable single premiums during the period; (3) premiums ceded under third-party reinsurance agreements. The following table presents the average net premium rate for our U.S. mortgage insurance portfolio:</w:t>
      </w:r>
    </w:p>
    <w:p>
      <w:pPr>
        <w:spacing w:after="0" w:line="24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gridSpan w:val="2"/>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0.44 %</w:t>
            </w:r>
          </w:p>
        </w:tc>
      </w:tr>
      <w:tr>
        <w:trPr>
          <w:trHeight w:val="230"/>
        </w:trPr>
        <w:tc>
          <w:tcPr>
            <w:tcW w:w="8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0.04</w:t>
            </w:r>
          </w:p>
        </w:tc>
      </w:tr>
      <w:tr>
        <w:trPr>
          <w:trHeight w:val="223"/>
        </w:trPr>
        <w:tc>
          <w:tcPr>
            <w:tcW w:w="7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0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0.48</w:t>
            </w:r>
          </w:p>
        </w:tc>
      </w:tr>
      <w:tr>
        <w:trPr>
          <w:trHeight w:val="230"/>
        </w:trPr>
        <w:tc>
          <w:tcPr>
            <w:tcW w:w="8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6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(0.06)</w:t>
            </w:r>
          </w:p>
        </w:tc>
      </w:tr>
      <w:tr>
        <w:trPr>
          <w:trHeight w:val="248"/>
        </w:trPr>
        <w:tc>
          <w:tcPr>
            <w:tcW w:w="7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0.42 %</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the continued use of third-party reinsurance along with changes to the level of future cancellations of non-refundable single premium policies and mix of IIF will reduce our average net premium rate in future periods.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of March 31, 2022, our combined net risk in force for our U.S. insurance companies was $30.3 billion and our combined statutory capital was $3.1 billion, resulting in a risk-to-capital ratio of 9.9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60" w:type="dxa"/>
            <w:vAlign w:val="bottom"/>
          </w:tcPr>
          <w:p>
            <w:pPr>
              <w:spacing w:after="0"/>
              <w:rPr>
                <w:sz w:val="16"/>
                <w:szCs w:val="16"/>
                <w:color w:val="auto"/>
              </w:rPr>
            </w:pPr>
          </w:p>
        </w:tc>
        <w:tc>
          <w:tcPr>
            <w:tcW w:w="28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204,361</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gains,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244,797</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provision for losses and LAE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42,239</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32,537</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135,648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the Three Months Ended March 31, 2021</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we reported net income of $274.2 million, compared to net income of $135.6 million for the three months ended March 31, 2021. The increase in our operating results in three months ended March 31, 2022 over the same period in 2021 was primarily due to a decrease in the provision for losses and LAE and an increase in income from other invested assets, partially offset by an increase in net realized investment losses and an increase in income tax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Net premiums earned decreased in the three months ended March 31, 2022 by 2%, compared to the three months ended March 31, 2021 primarily due a decrease in our average net premium rate, partially offset by an increase in our average IIF to $206.6 billion at March 31, 2022 from $197.7 billion at March 31, 2021. The average net premium rate was 0.39% and 0.42% for the three months ended March 31, 2022 and 2021, respectively. See "—Key Performance Indicators—Average Net Premium Rate" above. In the three months ended March 31, 2022, premiums earned on the cancellation of non-refundable single premium policies decreased to $9.1 million from $19.8 million in the three months ended March 31, 2021 as a result of a decrease in existing borrowers refinancing their mortgages during 2022 as compared to 2021. In the three months ended March 31, 2022 ceded premiums decreased to $20.5 million from $30.9 million for the same period of 2021 primarily due to a reduction in loss reserves ceded under our QSR Agreement that reduced ceded premium.</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premiums written decreased in the three months ended March 31, 2022 by 2%, compared to the three months ended March 31, 2021 primarily due to a decrease in new single premium policies written, changes in the mix of mortgages we insure and changes in our pricing, partially offset by a decrease in premiums ceded under third-party reinsurance agreements and an increase in average IIF in the respective period.</w:t>
      </w:r>
    </w:p>
    <w:p>
      <w:pPr>
        <w:spacing w:after="0" w:line="20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2022 and 2021, unearned premiums decreased by $15.6 million and $14.7 million, respectively. The change in unearned premiums was a result of net premiums written on single premium policies of $4.1 million and $18.3 million, respectively, which was offset by $19.7 million and $33.0 million, respectively, of unearned premium that was recognized in earnings during the periods.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Realized Investment Gains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increase in net investment income for the three months ended March 31, 2022 as compared to the same period in 2021 was due to the increase in the weighted average balance of our investment portfolio. The average cash and investment portfolio balance increased to $5.0 billion for the three months ended March 31, 2022 from $4.6 billion for the three months ended March 31, 2021. The increase in the average cash and investment portfolio was primarily due to investing cash flows from operations. The pre-tax investment income yield increased from 2.0% in the three months ended March 31, 2021 to 2.1% in the three months ended March 31, 2022 primarily due to an increase in investment yields due to rising interest rates and a decrease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21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Realized investment gains (losses) for the three months ended March 31, 2022 was a net loss of $7.4 million as compared to a net gain of $0.6 million for the three months ended March 31, 2021. Included in the results for the three months ended March 31, 2022 are impairments of $6.8 million due to our intent to sell securities in an unrealized loss position.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Income from other invested assets for the three months ended March 31, 2022 was $24.7 million as compared to $0.5 million for the three months ended March 31, 2021. 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quarter ended March 31, 2022, includes $15.0 million of net unrealized gains.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Other income was $7.2 million and $2.8 million for the three months ended March 31, 2022 and 2021, respectively. The increase in other income for the three months ended March 31, 2022 as compared to the comparable period of 2021 was primarily due to changes in the fair value of the embedded derivatives contained in certain of our reinsurance agreements, partially offset by decreases in Triad service fee income and contract underwriting revenues. In the three months ended March 31, 2022 we recorded a net favorable increase in the fair value of the embedded derivatives of $4.4 million compared to a net unfavorable decrease of $0.6 million in </w:t>
      </w:r>
      <w:r>
        <w:rPr>
          <w:rFonts w:ascii="Times New Roman" w:cs="Times New Roman" w:eastAsia="Times New Roman" w:hAnsi="Times New Roman"/>
          <w:sz w:val="18"/>
          <w:szCs w:val="18"/>
          <w:color w:val="242021"/>
        </w:rPr>
        <w:t>the</w:t>
      </w:r>
      <w:r>
        <w:rPr>
          <w:rFonts w:ascii="Times New Roman" w:cs="Times New Roman" w:eastAsia="Times New Roman" w:hAnsi="Times New Roman"/>
          <w:sz w:val="18"/>
          <w:szCs w:val="18"/>
          <w:color w:val="auto"/>
        </w:rPr>
        <w:t xml:space="preserve"> three months ended March 31, 2021. Other income also includes underwriting consulting services to third-party reinsurers.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The decrease in the provision for losses and LAE in the three months ended March 31, 2022 as compared to the same period in 2021 was primarily due to a decrease in the estimate of ultimate loss for Early COVID Defaults as well as cure activity and a decrease in new defaults reported for defaults with reserves using our normal reserve methodology in the three months ended March 31, 2022 as compared to the comparable period of 2021.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38"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29,080</w:t>
            </w:r>
          </w:p>
        </w:tc>
      </w:tr>
      <w:tr>
        <w:trPr>
          <w:trHeight w:val="21"/>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Case reserves (in thousands) </w:t>
            </w: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270,292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377,079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reserves (in thousands) </w:t>
            </w:r>
            <w:r>
              <w:rPr>
                <w:rFonts w:ascii="Times New Roman" w:cs="Times New Roman" w:eastAsia="Times New Roman" w:hAnsi="Times New Roman"/>
                <w:sz w:val="18"/>
                <w:szCs w:val="18"/>
                <w:b w:val="1"/>
                <w:bCs w:val="1"/>
                <w:color w:val="auto"/>
              </w:rPr>
              <w:t>(1)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292,818</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409,811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14,923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29,080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2" w:lineRule="exact"/>
        <w:rPr>
          <w:sz w:val="20"/>
          <w:szCs w:val="20"/>
          <w:color w:val="auto"/>
        </w:rPr>
      </w:pPr>
    </w:p>
    <w:p>
      <w:pPr>
        <w:ind w:left="660" w:right="240" w:hanging="328"/>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$0.3 million and $1.3 million as of March 31, 2022 and 2021, respectively.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the defaulted loans reported to us in the second and third quarters of 2020 have reached the end of their forbearance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During the first quarter of 2022, the Early COVID Defaults cured at elevated levels, and the cumulative cure rate for the Early COVID Defaults at</w:t>
      </w:r>
    </w:p>
    <w:p>
      <w:pPr>
        <w:spacing w:after="0" w:line="234" w:lineRule="auto"/>
        <w:rPr>
          <w:sz w:val="20"/>
          <w:szCs w:val="20"/>
          <w:color w:val="auto"/>
        </w:rPr>
      </w:pPr>
      <w:r>
        <w:rPr>
          <w:rFonts w:ascii="Times New Roman" w:cs="Times New Roman" w:eastAsia="Times New Roman" w:hAnsi="Times New Roman"/>
          <w:sz w:val="18"/>
          <w:szCs w:val="18"/>
          <w:color w:val="auto"/>
        </w:rPr>
        <w:t>March 31, 2022 exceeded our initial estimated cure rate implied by our 7% estimate of ultimate loss for these defaults. Based on cure activity through</w:t>
      </w:r>
    </w:p>
    <w:p>
      <w:pPr>
        <w:spacing w:after="0" w:line="235" w:lineRule="auto"/>
        <w:rPr>
          <w:sz w:val="20"/>
          <w:szCs w:val="20"/>
          <w:color w:val="auto"/>
        </w:rPr>
      </w:pPr>
      <w:r>
        <w:rPr>
          <w:rFonts w:ascii="Times New Roman" w:cs="Times New Roman" w:eastAsia="Times New Roman" w:hAnsi="Times New Roman"/>
          <w:sz w:val="18"/>
          <w:szCs w:val="18"/>
          <w:color w:val="auto"/>
        </w:rPr>
        <w:t>March 31, 2022 and our expectations for future cure activity, we lowered our estimate of ultimate loss for the Early COVID Defaults to 4% as of March 31,</w:t>
      </w:r>
    </w:p>
    <w:p>
      <w:pPr>
        <w:spacing w:after="0" w:line="235" w:lineRule="auto"/>
        <w:rPr>
          <w:sz w:val="20"/>
          <w:szCs w:val="20"/>
          <w:color w:val="auto"/>
        </w:rPr>
      </w:pPr>
      <w:r>
        <w:rPr>
          <w:rFonts w:ascii="Times New Roman" w:cs="Times New Roman" w:eastAsia="Times New Roman" w:hAnsi="Times New Roman"/>
          <w:sz w:val="18"/>
          <w:szCs w:val="18"/>
          <w:color w:val="auto"/>
        </w:rPr>
        <w:t>2022 which resulted in a benefit recorded to the provision for losses of $101.2 million. The reserve for losses and LAE at March 31, 2022 includes</w:t>
      </w:r>
    </w:p>
    <w:p>
      <w:pPr>
        <w:spacing w:after="0" w:line="235" w:lineRule="auto"/>
        <w:rPr>
          <w:sz w:val="20"/>
          <w:szCs w:val="20"/>
          <w:color w:val="auto"/>
        </w:rPr>
      </w:pPr>
      <w:r>
        <w:rPr>
          <w:rFonts w:ascii="Times New Roman" w:cs="Times New Roman" w:eastAsia="Times New Roman" w:hAnsi="Times New Roman"/>
          <w:sz w:val="18"/>
          <w:szCs w:val="18"/>
          <w:color w:val="auto"/>
        </w:rPr>
        <w:t>$136.9 million of reserves for Early COVID Defaults. It is reasonably possible that our estimate of the losses for the Early COVID Defaults could change</w:t>
      </w:r>
    </w:p>
    <w:p>
      <w:pPr>
        <w:spacing w:after="0" w:line="235" w:lineRule="auto"/>
        <w:rPr>
          <w:sz w:val="20"/>
          <w:szCs w:val="20"/>
          <w:color w:val="auto"/>
        </w:rPr>
      </w:pPr>
      <w:r>
        <w:rPr>
          <w:rFonts w:ascii="Times New Roman" w:cs="Times New Roman" w:eastAsia="Times New Roman" w:hAnsi="Times New Roman"/>
          <w:sz w:val="18"/>
          <w:szCs w:val="18"/>
          <w:color w:val="auto"/>
        </w:rPr>
        <w:t>in the near term as a result of changes in the economic environment, the continued impact of the pandemic on the economic environment, and the results of</w:t>
      </w:r>
    </w:p>
    <w:p>
      <w:pPr>
        <w:spacing w:after="0" w:line="234" w:lineRule="auto"/>
        <w:rPr>
          <w:sz w:val="20"/>
          <w:szCs w:val="20"/>
          <w:color w:val="auto"/>
        </w:rPr>
      </w:pPr>
      <w:r>
        <w:rPr>
          <w:rFonts w:ascii="Times New Roman" w:cs="Times New Roman" w:eastAsia="Times New Roman" w:hAnsi="Times New Roman"/>
          <w:sz w:val="18"/>
          <w:szCs w:val="18"/>
          <w:color w:val="auto"/>
        </w:rPr>
        <w:t>existing and future governmental programs designed to assist individuals and businesses impacted by the virus. The average reserve per Early COVID</w:t>
      </w:r>
    </w:p>
    <w:p>
      <w:pPr>
        <w:spacing w:after="0" w:line="235" w:lineRule="auto"/>
        <w:rPr>
          <w:sz w:val="20"/>
          <w:szCs w:val="20"/>
          <w:color w:val="auto"/>
        </w:rPr>
      </w:pPr>
      <w:r>
        <w:rPr>
          <w:rFonts w:ascii="Times New Roman" w:cs="Times New Roman" w:eastAsia="Times New Roman" w:hAnsi="Times New Roman"/>
          <w:sz w:val="18"/>
          <w:szCs w:val="18"/>
          <w:color w:val="auto"/>
        </w:rPr>
        <w:t>Default was approximately 75% as of March 31, 2022 as compared to approximately 76% as of December 31, 2021 and approximately 21% as of March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 The increase in the average case reserve per default compared to the comparable period of 2021 was primarily due to cure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for Early COVID Defaults. The reserve for losses and LAE at March 31, 2022 includes $136.9 million of reserves for Early COVID Defaults.</w:t>
      </w:r>
    </w:p>
    <w:p>
      <w:pPr>
        <w:spacing w:after="0" w:line="25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credit characteristics of defaults reported subsequent to September 30, 2020 have trended towards those of the pre-pandemic periods and we have observed the normalization of other default patterns during this period. In addition, beginning in October 2020, the economic conditions have been different than those experienced in the second and third quarters of 2020. We believe that while defaults subsequent to September 30, 2020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consistent with pre-pandemic defaults. Accordingly, beginning in the fourth quarter of 2020, we resumed establishing reserves for defaults reported after September 30, 2020 using our normal reserve methodology.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LAE: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374,941</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355,880</w:t>
            </w:r>
          </w:p>
        </w:tc>
        <w:tc>
          <w:tcPr>
            <w:tcW w:w="0" w:type="dxa"/>
            <w:vAlign w:val="bottom"/>
          </w:tcPr>
          <w:p>
            <w:pPr>
              <w:spacing w:after="0"/>
              <w:rPr>
                <w:sz w:val="1"/>
                <w:szCs w:val="1"/>
                <w:color w:val="auto"/>
              </w:rPr>
            </w:pPr>
          </w:p>
        </w:tc>
      </w:tr>
      <w:tr>
        <w:trPr>
          <w:trHeight w:val="20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47,989</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(15,667)</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24,907</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411,123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3400" w:type="dxa"/>
            <w:vAlign w:val="bottom"/>
            <w:gridSpan w:val="3"/>
            <w:vMerge w:val="continue"/>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269,069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64,332</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312,976</w:t>
            </w:r>
          </w:p>
        </w:tc>
        <w:tc>
          <w:tcPr>
            <w:tcW w:w="1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181,859</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347,926</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270,292</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933,312</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20,272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52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$0.3 million as of March 31,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March 31, 2021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3400" w:type="dxa"/>
            <w:vAlign w:val="bottom"/>
            <w:gridSpan w:val="3"/>
            <w:vMerge w:val="continue"/>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329,223</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215,949</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1,022,979</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120,128</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500,658</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377,079</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1,855,096</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28,281</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409,811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520" w:hanging="328"/>
        <w:spacing w:after="0" w:line="282"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$1.3 million as of March 31, 2021.</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the provision for losses and LAE was a benefit of $106.9 million, comprised of $131.2 million of favorable prior years’ loss development, including $101.2 million related to Early COVID Defaults, partially offset by a provision of $24.4 million for current year losses. During the three months ended March 31, 2021, the provision for losses and LAE was $32.3 million, comprised of $48.0 million of current year losses partially offset by $15.7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the periods indicated for our U.S. mortgage insurance portfolio:</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are the components of our other underwriting and operating expenses for the periods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3"/>
        </w:trPr>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9"/>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r>
      <w:tr>
        <w:trPr>
          <w:trHeight w:val="19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7"/>
                <w:szCs w:val="17"/>
                <w:color w:val="auto"/>
              </w:rPr>
            </w:pPr>
          </w:p>
        </w:tc>
        <w:tc>
          <w:tcPr>
            <w:tcW w:w="7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6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4"/>
        </w:trPr>
        <w:tc>
          <w:tcPr>
            <w:tcW w:w="6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4"/>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employees at end of period</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365</w:t>
            </w: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increased in the three months ended March 31, 2022 as compared to the three months ended March 31, 2021 due to increased incentive compensation, partially offset by decreased salaries and wages as a result of the decreased headcount. Compensation and benefits includes salaries, wages and bonus, stock compensation expense, benefits and payroll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decreased primarily due to a decrease in our effective premium tax rate.</w:t>
      </w:r>
    </w:p>
    <w:p>
      <w:pPr>
        <w:spacing w:after="0" w:line="252"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decreased primarily as a result of decreases in professional fees and amortization of net deferred acquisition costs partially offset by increased travel expenses and a decrease in ceding commission earned under the QSR Agreement. Other expenses include professional fees, travel, marketing, hardware, software, rent, depreciation and amortization and other facilities expenses.</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we incurred interest expense of $2.2 million, as compared to $2.1 million for the three months ended March 31, 2021. In the three months ended March 31, 2022, interest expense increased primarily due to an increase in the average amounts outstanding under the Credit Facility, partially offset by a decrease in the weighted average interest rate for borrowings outstanding. For the three months ended March 31, 2022, the average amount outstanding under the Credit Facility was $425.0 million as compared to $325.0 million for the three months ended March 31, 2021. For the three months ended March 31, 2022, the borrowings under the Credit Facility had a weighted average interest rate of 1.85% as compared to 2.16% for the three months ended March 31, 2021.</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$54.3 million and $32.5 million for the three months ended March 31, 2022 and 2021, respectively. The provision for income taxes for the three months ended March 31, 2022 was calculated using an estimated annual effective tax rate of 16.0% as compared to an estimated annual effective tax rate of 15.9% for the three months ended March 31, 2021. For the three months ended March 31, 2022, income tax expense includes $7.0 million of discrete tax expense associated with realized and unrealized gains and losses. For the three months ended March 31, 2021, income tax expense includes $5.7 million of discrete tax expense associated with an increase in the estimate of our beginning of the year deferred state income tax liability. The tax effects associated with realized and unrealized gains and losses and the increase to our deferred state income tax liability are treated as a discrete items in the reporting period in which they occur and are not considered in determining the annual effective tax rate.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Credit Facility;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Credit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we had substantial liquidity with cash of $203.8 million, short-term investments of $517.4 million and fixed maturity investments of $4.1 billion. We also had $400 million available capacity under the revolving credit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component of our Credit Facility, with $425 million of borrowings outstanding under our Credit Facility. Borrowings under the Credit Facility contractually mature on December 10, 2026. Holding company net cash and investments available for sale totaled $578.6 million at March 31, 2022.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2022.</w:t>
      </w:r>
    </w:p>
    <w:p>
      <w:pPr>
        <w:spacing w:after="0" w:line="19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related to COVID-19,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252"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ordinary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2022, Essent Guaranty had unassigned surplus of approximately $376.7 million and Essent PA had unassigned surplus of approximately $17.9 million. As of March 31, 2022, Essent Guaranty and Essent PA could pay additional ordinary dividends in 2022 of $376.7 million and $5.6 million, respectively.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March 31, 2022, Essent Re had total equity of $1.3 billion. In connection with its insurance and reinsurance activities, Essent Re is required to maintain assets in trusts for the benefit of its contractual counterparties. See Note 3 to our condensed consolidated financial statements. At March 31, 2022, our insurance subsidiaries were in compliance with these rules, regulations and agreements.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122,354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90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5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Cash flow provided by operating activities totaled $180.6 million for the three months ended March 31, 2022, as compared to $187.8 million for the three months ended March 31, 2021. The decrease in cash flow provided by operating activities was primarily due to a decrease in premiums collected.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Cash flow provided by investing activities totaled $38.9 million for the three months ended March 31, 2022, primarily related to proceeds from the sales of investments available for sale associated with targeted repositioning of components of our investment portfolio partially offset by a net increase in short-term investments and purchases of investments available for sale. Cash flow used in investing activities totaled $186.3 million for the three months ended March 31, 2021, related to investing cash flows from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Cash flow used in financing activities totaled $97.2 million for the three months ended March 31, 2022, primarily related to the repurchases of common stock as part of our share repurchase plan and treasury stock acquired from employees to satisfy tax withholding obligations and quarterly cash dividends paid in March. Cash flow used in financing activities totaled $23.3 million for the three months ended March 31, 2021, primarily related to the quarterly cash dividends paid in March and treasury stock acquired from employees to satisfy tax withholding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no capital contributions were made to our U.S. insurance subsidiaries and Essent Guaranty paid a dividend to Essent US Holdings, Inc. of $100 million. During the three months ended March 31, 2021, no capital contributions were made to our U.S. insurance subsidiaries and our U.S. insurance subsidiaries did not pay dividends to Essent Group or any intermediate holding companies.</w:t>
      </w:r>
    </w:p>
    <w:p>
      <w:pPr>
        <w:spacing w:after="0" w:line="203" w:lineRule="exact"/>
        <w:rPr>
          <w:sz w:val="20"/>
          <w:szCs w:val="20"/>
          <w:color w:val="auto"/>
        </w:rPr>
      </w:pPr>
    </w:p>
    <w:p>
      <w:pPr>
        <w:ind w:right="40" w:firstLine="180"/>
        <w:spacing w:after="0" w:line="252"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in 2015 through September 30, 2021. The aggregate excess of loss reinsurance coverages decrease over a ten-year period as the underlying covered mortgages amortize. Based on the level of delinquencies reported to us, the insurance-linked note transactions (the "ILNs") that Essent Guaranty has entered into prior to March 31, 2020 became subject to a "trigger event" as of June 25, 2020. The aggregate excess of loss reinsurance coverage will not amortize during the continuation of a trigger event. As of November 26, 2021, Radnor Re 2019-2 was no longer subject to a trigger event. Effective September 1, 2019, Essent Guaranty entered into a quota share reinsurance agreement with a panel of third-party reinsurers ("QSR 2019"). Under QSR 2019,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63% that varies directly and inversely with ceded claims. Effective January 1, 2022, Essent Guaranty entered into a quota share reinsurance agreement with a panel of third-party reinsurers ("QSR 2022"). Under QSR 2022, Essent Guaranty will cede premiums earned related to 20% of risk on all eligible policies written January 1, 2022 through December 31, 2022, in exchange for reimbursement of ceded claims and claims expenses on covered policies, a 20% ceding commission, and a profit commission of up to 62% that varies directly and inversely with ceded claims. These reinsurance coverages also reduces net risk in force and PMIERs Minimum Required Assets. See Note 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combined risk-to-capital calculation for our U.S. insurance subsidiaries as of March 31, 2022 was as follows:</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Combined statutory capital:</w:t>
      </w: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1,138,937</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1,919,943</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3,058,880</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30,331,197</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8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three months ended March 31, 2022 and 2021, Essent Re paid no dividends to Essent Group and Essent Group made no capital contributions to Essent Re. As of March 31, 2022, Essent Re had total stockholders’ equity of $1.3 billion and net risk in force of $16.5 billion.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rated A3 with a stable outlook by Moody’s Investors Service (“Moody's”), BBB+ with a stable outlook by S&amp;P and A (Excellent) with stable outlook by A.M. Best. The insurer financial strength rating of Essent Re is BBB+ with a stable outlook by S&amp;P and A (Excellent) with stable outlook by A.M. Best.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March 31, 2022, Essent Guaranty, our GSE-approved mortgage insurance company, was in compliance with PMIERs 2.0. As of March 31, 2022, Essent Guaranty's Available Assets were $3.19 billion or 174% of its Minimum Required Assets of $1.84 billion based on our interpretation of PMIERs 2.0.</w:t>
      </w:r>
    </w:p>
    <w:p>
      <w:pPr>
        <w:spacing w:after="0" w:line="2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stockholders’ equity was $4.22 billion, compared to $4.24 billion as of December 31, 2021. Stockholders' equity decreased primarily due to a decrease in accumulated other comprehensive income related to an increase in our net unrealized investment losses associated with increases in market interest rates in the three months ended March 31, 2022, the repurchase of common shares under our share repurchase plan and dividends paid partially offset by net income generated in 2022.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investments totaled $4.9 billion compared to $5.1 billion as of December 31, 2021. In addition, our total cash was $203.8 million as of March 31, 2022, compared to $81.5 million as of December 31, 2021. The decrease in investments was primarily due to an increase in our net unrealized investment losses primarily due to increases in market interest rates in the three months ended March 31, 2022 and the targeted repositioning of components of our investment portfolio which increased cash, partially offset by investing net cash flows from operations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80" w:type="dxa"/>
            <w:vAlign w:val="bottom"/>
          </w:tcPr>
          <w:p>
            <w:pPr>
              <w:spacing w:after="0"/>
              <w:rPr>
                <w:sz w:val="16"/>
                <w:szCs w:val="16"/>
                <w:color w:val="auto"/>
              </w:rPr>
            </w:pPr>
          </w:p>
        </w:tc>
        <w:tc>
          <w:tcPr>
            <w:tcW w:w="19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2"/>
                <w:szCs w:val="2"/>
                <w:color w:val="auto"/>
              </w:rPr>
            </w:pPr>
          </w:p>
        </w:tc>
        <w:tc>
          <w:tcPr>
            <w:tcW w:w="198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gridSpan w:val="4"/>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41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9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383,597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4,662,905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4,962,887</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allocation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tax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Government</w:t>
            </w: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300" w:type="dxa"/>
            <w:vAlign w:val="bottom"/>
          </w:tcPr>
          <w:p>
            <w:pPr>
              <w:spacing w:after="0"/>
              <w:rPr>
                <w:sz w:val="16"/>
                <w:szCs w:val="16"/>
                <w:color w:val="auto"/>
              </w:rPr>
            </w:pPr>
          </w:p>
        </w:tc>
        <w:tc>
          <w:tcPr>
            <w:tcW w:w="202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2,372,351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2,412,273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427,282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4,662,905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4,962,887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21" w:lineRule="exact"/>
        <w:rPr>
          <w:rFonts w:ascii="Times New Roman" w:cs="Times New Roman" w:eastAsia="Times New Roman" w:hAnsi="Times New Roman"/>
          <w:sz w:val="18"/>
          <w:szCs w:val="18"/>
          <w:color w:val="auto"/>
        </w:rPr>
      </w:pPr>
    </w:p>
    <w:p>
      <w:pPr>
        <w:ind w:left="3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2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1,277,568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1,104,397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561,297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1,445,099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1,501,229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4,662,905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4,962,887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 Ten Investments Available for Sale Holdings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4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gridSpan w:val="3"/>
            <w:vMerge w:val="continue"/>
          </w:tcPr>
          <w:p>
            <w:pPr>
              <w:spacing w:after="0"/>
              <w:rPr>
                <w:sz w:val="11"/>
                <w:szCs w:val="11"/>
                <w:color w:val="auto"/>
              </w:rPr>
            </w:pPr>
          </w:p>
        </w:tc>
        <w:tc>
          <w:tcPr>
            <w:tcW w:w="38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12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Gain (Loss)(1)</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Rating(2)</w:t>
            </w:r>
          </w:p>
        </w:tc>
        <w:tc>
          <w:tcPr>
            <w:tcW w:w="0" w:type="dxa"/>
            <w:vAlign w:val="bottom"/>
          </w:tcPr>
          <w:p>
            <w:pPr>
              <w:spacing w:after="0"/>
              <w:rPr>
                <w:sz w:val="1"/>
                <w:szCs w:val="1"/>
                <w:color w:val="auto"/>
              </w:rPr>
            </w:pPr>
          </w:p>
        </w:tc>
      </w:tr>
      <w:tr>
        <w:trPr>
          <w:trHeight w:val="229"/>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1.500% 8/15/2026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32,624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0.250% 5/31/2025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23,865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2.625% 6/30/2023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0.000% 2/23/2023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3.500% 1/1/2058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18,737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0.875% 6/30/2026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18,373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5.250% 11/15/2028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17,876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0.125% 10/15/2023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17,091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0.375% 1/31/2026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14,299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Fannie Mae 2.000% 8/1/2050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13,762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196,282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4"/>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61"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1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3"/>
          </w:tcPr>
          <w:p>
            <w:pPr>
              <w:jc w:val="right"/>
              <w:ind w:right="20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tcBorders>
              <w:bottom w:val="single" w:sz="8" w:color="auto"/>
            </w:tcBorders>
          </w:tcPr>
          <w:p>
            <w:pPr>
              <w:spacing w:after="0"/>
              <w:rPr>
                <w:sz w:val="18"/>
                <w:szCs w:val="18"/>
                <w:color w:val="auto"/>
              </w:rPr>
            </w:pPr>
          </w:p>
        </w:tc>
      </w:tr>
      <w:tr>
        <w:trPr>
          <w:trHeight w:val="19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20" w:type="dxa"/>
            <w:vAlign w:val="bottom"/>
            <w:gridSpan w:val="3"/>
          </w:tcPr>
          <w:p>
            <w:pPr>
              <w:jc w:val="right"/>
              <w:ind w:right="321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2.000% 10/1/2051</w:t>
            </w:r>
          </w:p>
        </w:tc>
        <w:tc>
          <w:tcPr>
            <w:tcW w:w="3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34,743</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1.500% 8/15/2026</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34,404</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0.000% 6/30/2022</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28,548</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0.250% 5/31/2025</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24,918</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3.500% 1/1/2058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21,424</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2.625% 6/30/2023</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20,348</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U.S. Treasury 0.000%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12/29/2022</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19,376</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U.S. Treasury 0.875%</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6/30/2026</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19,349</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U.S. Treasury 5.250%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11/15/2028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19,082</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U.S. Treasury 0.125%</w:t>
            </w:r>
          </w:p>
        </w:tc>
        <w:tc>
          <w:tcPr>
            <w:tcW w:w="1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10/15/2023</w:t>
            </w:r>
          </w:p>
        </w:tc>
        <w:tc>
          <w:tcPr>
            <w:tcW w:w="3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17,449</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239,641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municipal debt securities for states that represent more than 10% of the total municipal bond position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3"/>
                <w:szCs w:val="13"/>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3"/>
                <w:szCs w:val="13"/>
                <w:color w:val="auto"/>
              </w:rPr>
            </w:pP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0" w:type="dxa"/>
            <w:vAlign w:val="bottom"/>
          </w:tcPr>
          <w:p>
            <w:pPr>
              <w:spacing w:after="0"/>
              <w:rPr>
                <w:sz w:val="1"/>
                <w:szCs w:val="1"/>
                <w:color w:val="auto"/>
              </w:rPr>
            </w:pPr>
          </w:p>
        </w:tc>
      </w:tr>
      <w:tr>
        <w:trPr>
          <w:trHeight w:val="196"/>
        </w:trPr>
        <w:tc>
          <w:tcPr>
            <w:tcW w:w="598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29"/>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Bay Area Toll Authority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San Joaquin Hills Transportation Corridor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Community Hospitals of Central California Obligated Group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City of Anaheim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State of California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City of Carson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Golden State Tobacco Securitization Corp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San Jose Unified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Redwoods, a Community of Seniors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City of Long Beach CA Harbor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City of Inglewood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 Angeles Unified School District/CA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County of Kern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City of Los Angeles Department of Airports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City of Monterey Park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County of Riverside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Foothill-Eastern Transportation Corridor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Riverside County Transportation Commission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Kaiser Foundation Hospitals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University of California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175"/>
        </w:trPr>
        <w:tc>
          <w:tcPr>
            <w:tcW w:w="5980" w:type="dxa"/>
            <w:vAlign w:val="bottom"/>
            <w:gridSpan w:val="3"/>
          </w:tcPr>
          <w:p>
            <w:pPr>
              <w:ind w:left="240"/>
              <w:spacing w:after="0" w:line="176" w:lineRule="exact"/>
              <w:rPr>
                <w:sz w:val="20"/>
                <w:szCs w:val="20"/>
                <w:color w:val="auto"/>
              </w:rPr>
            </w:pPr>
            <w:r>
              <w:rPr>
                <w:rFonts w:ascii="Times New Roman" w:cs="Times New Roman" w:eastAsia="Times New Roman" w:hAnsi="Times New Roman"/>
                <w:sz w:val="18"/>
                <w:szCs w:val="18"/>
                <w:color w:val="auto"/>
              </w:rPr>
              <w:t>City of San Francisco CA Public Utilities Commission Water</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City of El Cajon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City of Torrance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County of Sacramento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City of El Monte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Alameda Corridor Transportation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Cathedral City Redevelopment Agency Successor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Pomona Redevelopment Agency Successor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California Independent System Operator Corp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County of San Bernardino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California County Tobacco Securitization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Oxnard Union High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City of San Jose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City of Riverside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Compton Community College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City of Los Angeles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Port of Oakland</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328"/>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above securities may include financial guaranty insurance or state enhancements. The above ratings include the effect of these credit enhancements, if applicable.</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March 31, 2022, our estimated off-balance sheet maximum exposure to loss from the Radnor Re entities was $0.7 million, representing the estimated net present value of investment earnings on the assets in the reinsurance trusts. See Note 4 to our condensed consolidated financial statements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the filing date of this report, there were no significant changes in our critical accounting policies from those discussed in our 2021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0" w:lineRule="exact"/>
        <w:rPr>
          <w:sz w:val="20"/>
          <w:szCs w:val="20"/>
          <w:color w:val="auto"/>
        </w:rPr>
      </w:pPr>
    </w:p>
    <w:p>
      <w:pPr>
        <w:jc w:val="both"/>
        <w:ind w:left="660" w:right="220" w:hanging="328"/>
        <w:spacing w:after="0" w:line="261"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5" w:lineRule="exact"/>
        <w:rPr>
          <w:rFonts w:ascii="Times New Roman" w:cs="Times New Roman" w:eastAsia="Times New Roman" w:hAnsi="Times New Roman"/>
          <w:sz w:val="18"/>
          <w:szCs w:val="18"/>
          <w:i w:val="1"/>
          <w:iCs w:val="1"/>
          <w:color w:val="auto"/>
        </w:rPr>
      </w:pPr>
    </w:p>
    <w:p>
      <w:pPr>
        <w:ind w:left="660" w:right="38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volatility/changes in the real or perceived credit quality of investments. </w:t>
      </w:r>
      <w:r>
        <w:rPr>
          <w:rFonts w:ascii="Times New Roman" w:cs="Times New Roman" w:eastAsia="Times New Roman" w:hAnsi="Times New Roman"/>
          <w:sz w:val="18"/>
          <w:szCs w:val="18"/>
          <w:color w:val="auto"/>
        </w:rPr>
        <w:t>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(e.g., rating agency) assessments, will reduce the value and potentially the liquidity of investments.</w:t>
      </w:r>
    </w:p>
    <w:p>
      <w:pPr>
        <w:spacing w:after="0" w:line="185"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5" w:lineRule="exact"/>
        <w:rPr>
          <w:rFonts w:ascii="Times New Roman" w:cs="Times New Roman" w:eastAsia="Times New Roman" w:hAnsi="Times New Roman"/>
          <w:sz w:val="18"/>
          <w:szCs w:val="18"/>
          <w:i w:val="1"/>
          <w:iCs w:val="1"/>
          <w:color w:val="auto"/>
        </w:rPr>
      </w:pPr>
    </w:p>
    <w:p>
      <w:pPr>
        <w:ind w:left="660" w:right="50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when rates fall below the interest rate of the debt.</w:t>
      </w:r>
    </w:p>
    <w:p>
      <w:pPr>
        <w:spacing w:after="0" w:line="16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6"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At March 31, 2022, the effective duration of our investments available for sale was 3.7 years, which means that an instantaneous parallel shift (movement up or down) in the yield curve of 100 basis points would result in a change of 3.7% in fair value of our investments available for sale. Excluding short-term investments, our investments available for sale effective duration was 4.1 years, which means that an instantaneous parallel shift (movement up or down) in the yield curve of 100 basis points would result in a change of 4.1% in fair value of our investments available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2022, the end of the period covered by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2021.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March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3880" w:type="dxa"/>
            <w:vAlign w:val="bottom"/>
            <w:gridSpan w:val="3"/>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7"/>
                <w:szCs w:val="17"/>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1 - February 28,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334,126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912,883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80" w:hanging="328"/>
        <w:spacing w:after="0" w:line="258"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the Company was authorized to purchase up to $250 million of its common shares, announced in May 2021, of which $227.7 million had been utilized. The remaining $22.3 million in the table represents the amount available to repurchase shares under the share repurchase plan as of March 31, 2022. In April 2022, the Company repurchased an additional 543,399 common shares at a total cost of $22.3 million, completing the repurchase plan. In May 2022, the Board of Directors approved a new share repurchase plan that authorizes the Company to repurchase up to $250 million of its common shares in the open market by the end of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Annual General Meeting of Shareholders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4, 2022, we held our 2022 Annual General Meeting of Shareholders (the "Annual Meeting"). A total of 108,788,046 common shares were entitled to vote as of March 4, 2022, the record date for the Annual Meeting, of which 101,056,112 shares were present in person or by proxy at the Annual Meeting.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final voting results for each matter presented to shareholders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790"/>
        </w:trPr>
        <w:tc>
          <w:tcPr>
            <w:tcW w:w="9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Proposal 1 - Election of three Class II directors to serve through the 2025 Annual General Meeting of Shareholders:</w:t>
            </w:r>
          </w:p>
        </w:tc>
        <w:tc>
          <w:tcPr>
            <w:tcW w:w="222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69"/>
        </w:trPr>
        <w:tc>
          <w:tcPr>
            <w:tcW w:w="4240" w:type="dxa"/>
            <w:vAlign w:val="bottom"/>
            <w:tcBorders>
              <w:top w:val="single" w:sz="8" w:color="auto"/>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Class II Director to Serve Through the 2025 Annual</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r>
      <w:tr>
        <w:trPr>
          <w:trHeight w:val="243"/>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General Meeting of Shareholders:</w:t>
            </w: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r>
      <w:tr>
        <w:trPr>
          <w:trHeight w:val="230"/>
        </w:trPr>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Robert Glanville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95,650,564</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2,715,387</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2,690,161</w:t>
            </w:r>
          </w:p>
        </w:tc>
      </w:tr>
      <w:tr>
        <w:trPr>
          <w:trHeight w:val="229"/>
        </w:trPr>
        <w:tc>
          <w:tcPr>
            <w:tcW w:w="4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Angela L. Heise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98,128,974</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236,977</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2,690,161</w:t>
            </w:r>
          </w:p>
        </w:tc>
      </w:tr>
      <w:tr>
        <w:trPr>
          <w:trHeight w:val="234"/>
        </w:trPr>
        <w:tc>
          <w:tcPr>
            <w:tcW w:w="4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Allan Levine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89,668,628</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8,697,323</w:t>
            </w:r>
          </w:p>
        </w:tc>
        <w:tc>
          <w:tcPr>
            <w:tcW w:w="1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2,690,161</w:t>
            </w:r>
          </w:p>
        </w:tc>
      </w:tr>
    </w:tbl>
    <w:p>
      <w:pPr>
        <w:spacing w:after="0" w:line="3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Proposal 2 - The re-appointment of PricewaterhouseCoopers LLP as the Company's independent registered public accounting firm for the year ending December 31, 2022 and until the 2023 Annual General Meeting of Shareholders, and the referral of the determination of the auditors' compensation to the board of directors, was ratified: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100,430,436</w:t>
            </w:r>
          </w:p>
        </w:tc>
      </w:tr>
      <w:tr>
        <w:trPr>
          <w:trHeight w:val="229"/>
        </w:trPr>
        <w:tc>
          <w:tcPr>
            <w:tcW w:w="336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593,859</w:t>
            </w:r>
          </w:p>
        </w:tc>
      </w:tr>
      <w:tr>
        <w:trPr>
          <w:trHeight w:val="229"/>
        </w:trPr>
        <w:tc>
          <w:tcPr>
            <w:tcW w:w="336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31,817</w:t>
            </w:r>
          </w:p>
        </w:tc>
      </w:tr>
      <w:tr>
        <w:trPr>
          <w:trHeight w:val="54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3 - Provide a non-binding, advisory vote on our executive compensation:</w:t>
            </w:r>
          </w:p>
        </w:tc>
        <w:tc>
          <w:tcPr>
            <w:tcW w:w="1440" w:type="dxa"/>
            <w:vAlign w:val="bottom"/>
          </w:tcPr>
          <w:p>
            <w:pPr>
              <w:spacing w:after="0"/>
              <w:rPr>
                <w:sz w:val="24"/>
                <w:szCs w:val="24"/>
                <w:color w:val="auto"/>
              </w:rPr>
            </w:pPr>
          </w:p>
        </w:tc>
      </w:tr>
      <w:tr>
        <w:trPr>
          <w:trHeight w:val="27"/>
        </w:trPr>
        <w:tc>
          <w:tcPr>
            <w:tcW w:w="3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336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95,609,960</w:t>
            </w:r>
          </w:p>
        </w:tc>
      </w:tr>
      <w:tr>
        <w:trPr>
          <w:trHeight w:val="230"/>
        </w:trPr>
        <w:tc>
          <w:tcPr>
            <w:tcW w:w="336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2,698,996</w:t>
            </w:r>
          </w:p>
        </w:tc>
      </w:tr>
      <w:tr>
        <w:trPr>
          <w:trHeight w:val="229"/>
        </w:trPr>
        <w:tc>
          <w:tcPr>
            <w:tcW w:w="336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56,994</w:t>
            </w:r>
          </w:p>
        </w:tc>
      </w:tr>
      <w:tr>
        <w:trPr>
          <w:trHeight w:val="234"/>
        </w:trPr>
        <w:tc>
          <w:tcPr>
            <w:tcW w:w="336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2,690,162</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 Provide a non-binding, advisory vote on the frequency of our advisory votes on executive compensation:</w:t>
      </w:r>
    </w:p>
    <w:p>
      <w:pPr>
        <w:spacing w:after="0" w:line="54" w:lineRule="exact"/>
        <w:rPr>
          <w:sz w:val="20"/>
          <w:szCs w:val="20"/>
          <w:color w:val="auto"/>
        </w:rPr>
      </w:pPr>
    </w:p>
    <w:tbl>
      <w:tblPr>
        <w:tblLayout w:type="fixed"/>
        <w:tblInd w:w="3360" w:type="dxa"/>
        <w:tblCellMar>
          <w:top w:w="0" w:type="dxa"/>
          <w:left w:w="0" w:type="dxa"/>
          <w:bottom w:w="0" w:type="dxa"/>
          <w:right w:w="0" w:type="dxa"/>
        </w:tblCellMar>
      </w:tblP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96,075,312</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49,486</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Years"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2,190,729</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50,423</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2,690,162</w:t>
            </w:r>
          </w:p>
        </w:tc>
      </w:tr>
    </w:tbl>
    <w:p>
      <w:pPr>
        <w:spacing w:after="0" w:line="306"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Recognizing the result of the non-binding, advisory vote of shareholders on the frequency of advisory votes on our executive compensation at the Annual Meeting, our Board of Directors has determined that the Company will hold a non-binding, advisory vote on our executive compensation on an annual basis until the next required vote on the frequency of such votes on our executive compensation.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t>
            </w:r>
          </w:p>
        </w:tc>
        <w:tc>
          <w:tcPr>
            <w:tcW w:w="10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9940" w:type="dxa"/>
            <w:vAlign w:val="bottom"/>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00" w:type="dxa"/>
            <w:vAlign w:val="bottom"/>
          </w:tcPr>
          <w:p>
            <w:pPr>
              <w:spacing w:after="0"/>
              <w:rPr>
                <w:sz w:val="15"/>
                <w:szCs w:val="15"/>
                <w:color w:val="auto"/>
              </w:rPr>
            </w:pPr>
          </w:p>
        </w:tc>
        <w:tc>
          <w:tcPr>
            <w:tcW w:w="99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4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4"/>
        </w:trPr>
        <w:tc>
          <w:tcPr>
            <w:tcW w:w="6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00" w:type="dxa"/>
            <w:vAlign w:val="bottom"/>
          </w:tcPr>
          <w:p>
            <w:pPr>
              <w:spacing w:after="0"/>
              <w:rPr>
                <w:sz w:val="16"/>
                <w:szCs w:val="16"/>
                <w:color w:val="auto"/>
              </w:rPr>
            </w:pPr>
          </w:p>
        </w:tc>
        <w:tc>
          <w:tcPr>
            <w:tcW w:w="994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4"/>
        </w:trPr>
        <w:tc>
          <w:tcPr>
            <w:tcW w:w="6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00" w:type="dxa"/>
            <w:vAlign w:val="bottom"/>
          </w:tcPr>
          <w:p>
            <w:pPr>
              <w:spacing w:after="0"/>
              <w:rPr>
                <w:sz w:val="16"/>
                <w:szCs w:val="16"/>
                <w:color w:val="auto"/>
              </w:rPr>
            </w:pPr>
          </w:p>
        </w:tc>
        <w:tc>
          <w:tcPr>
            <w:tcW w:w="994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w w:val="99"/>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bl>
    <w:p>
      <w:pPr>
        <w:ind w:left="1560" w:right="180" w:hanging="1534"/>
        <w:spacing w:after="0" w:line="218" w:lineRule="auto"/>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this Quarterly Report on Form 10-Q for the quarter ended March 31, 2022,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Mark A. Casale</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ind w:left="53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121" w:right="3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76" w:lineRule="exact"/>
        <w:rPr>
          <w:sz w:val="20"/>
          <w:szCs w:val="20"/>
          <w:color w:val="auto"/>
        </w:rPr>
      </w:pPr>
    </w:p>
    <w:p>
      <w:pPr>
        <w:ind w:right="80" w:firstLine="8"/>
        <w:spacing w:after="0" w:line="282" w:lineRule="auto"/>
        <w:tabs>
          <w:tab w:leader="none" w:pos="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60" w:firstLine="8"/>
        <w:spacing w:after="0" w:line="532" w:lineRule="auto"/>
        <w:tabs>
          <w:tab w:leader="none" w:pos="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6, 2022</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0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2022-05-07T11:25:21Z</dcterms:created>
  <dcterms:modified xsi:type="dcterms:W3CDTF">2022-05-07T11:25:21Z</dcterms:modified>
</cp:coreProperties>
</file>