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167640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324485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6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period ended September 30, 2016</w:t>
      </w:r>
    </w:p>
    <w:p>
      <w:pPr>
        <w:spacing w:after="0" w:line="230"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w:t>
      </w:r>
    </w:p>
    <w:p>
      <w:pPr>
        <w:spacing w:after="0" w:line="6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1934</w:t>
      </w:r>
    </w:p>
    <w:p>
      <w:pPr>
        <w:sectPr>
          <w:pgSz w:w="11900" w:h="16838" w:orient="portrait"/>
          <w:cols w:equalWidth="0" w:num="1">
            <w:col w:w="11240"/>
          </w:cols>
          <w:pgMar w:left="240" w:top="233" w:right="419" w:bottom="1440" w:gutter="0" w:footer="0" w:header="0"/>
        </w:sectPr>
      </w:pPr>
    </w:p>
    <w:p>
      <w:pPr>
        <w:spacing w:after="0" w:line="21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200" w:space="620"/>
            <w:col w:w="4420"/>
          </w:cols>
          <w:pgMar w:left="240" w:top="233" w:right="419" w:bottom="1440" w:gutter="0" w:footer="0" w:header="0"/>
          <w:type w:val="continuous"/>
        </w:sectPr>
      </w:pP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194945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tbl>
      <w:tblPr>
        <w:tblLayout w:type="fixed"/>
        <w:tblInd w:w="1660" w:type="dxa"/>
        <w:tblCellMar>
          <w:top w:w="0" w:type="dxa"/>
          <w:left w:w="0" w:type="dxa"/>
          <w:bottom w:w="0" w:type="dxa"/>
          <w:right w:w="0" w:type="dxa"/>
        </w:tblCellMar>
      </w:tblPr>
      <w:tr>
        <w:trPr>
          <w:trHeight w:val="391"/>
        </w:trPr>
        <w:tc>
          <w:tcPr>
            <w:tcW w:w="1600" w:type="dxa"/>
            <w:vAlign w:val="bottom"/>
          </w:tcPr>
          <w:p>
            <w:pPr>
              <w:spacing w:after="0"/>
              <w:rPr>
                <w:sz w:val="24"/>
                <w:szCs w:val="24"/>
                <w:color w:val="auto"/>
              </w:rPr>
            </w:pPr>
          </w:p>
        </w:tc>
        <w:tc>
          <w:tcPr>
            <w:tcW w:w="4480" w:type="dxa"/>
            <w:vAlign w:val="bottom"/>
          </w:tcPr>
          <w:p>
            <w:pPr>
              <w:jc w:val="center"/>
              <w:ind w:left="320"/>
              <w:spacing w:after="0"/>
              <w:rPr>
                <w:sz w:val="20"/>
                <w:szCs w:val="20"/>
                <w:color w:val="auto"/>
              </w:rPr>
            </w:pPr>
            <w:r>
              <w:rPr>
                <w:rFonts w:ascii="Arial" w:cs="Arial" w:eastAsia="Arial" w:hAnsi="Arial"/>
                <w:sz w:val="32"/>
                <w:szCs w:val="32"/>
                <w:b w:val="1"/>
                <w:bCs w:val="1"/>
                <w:color w:val="auto"/>
                <w:w w:val="98"/>
              </w:rPr>
              <w:t>ESSENT GROUP LTD.</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600" w:type="dxa"/>
            <w:vAlign w:val="bottom"/>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r>
      <w:tr>
        <w:trPr>
          <w:trHeight w:val="588"/>
        </w:trPr>
        <w:tc>
          <w:tcPr>
            <w:tcW w:w="608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2"/>
              </w:rPr>
              <w:t>Bermuda</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Not Applicable</w:t>
            </w:r>
          </w:p>
        </w:tc>
      </w:tr>
      <w:tr>
        <w:trPr>
          <w:trHeight w:val="256"/>
        </w:trPr>
        <w:tc>
          <w:tcPr>
            <w:tcW w:w="6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(I.R.S. Employer</w:t>
            </w:r>
          </w:p>
        </w:tc>
      </w:tr>
      <w:tr>
        <w:trPr>
          <w:trHeight w:val="230"/>
        </w:trPr>
        <w:tc>
          <w:tcPr>
            <w:tcW w:w="6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incorporation or organization)</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Identification Number)</w:t>
            </w:r>
          </w:p>
        </w:tc>
      </w:tr>
      <w:tr>
        <w:trPr>
          <w:trHeight w:val="252"/>
        </w:trPr>
        <w:tc>
          <w:tcPr>
            <w:tcW w:w="1600" w:type="dxa"/>
            <w:vAlign w:val="bottom"/>
          </w:tcPr>
          <w:p>
            <w:pPr>
              <w:spacing w:after="0"/>
              <w:rPr>
                <w:sz w:val="21"/>
                <w:szCs w:val="21"/>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89"/>
              </w:rPr>
              <w:t>Clarendon House</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1600" w:type="dxa"/>
            <w:vAlign w:val="bottom"/>
          </w:tcPr>
          <w:p>
            <w:pPr>
              <w:spacing w:after="0"/>
              <w:rPr>
                <w:sz w:val="18"/>
                <w:szCs w:val="18"/>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90"/>
              </w:rPr>
              <w:t>2 Church Street</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600" w:type="dxa"/>
            <w:vAlign w:val="bottom"/>
          </w:tcPr>
          <w:p>
            <w:pPr>
              <w:spacing w:after="0"/>
              <w:rPr>
                <w:sz w:val="19"/>
                <w:szCs w:val="19"/>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94"/>
              </w:rPr>
              <w:t>Hamilton HM11, Bermuda</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color w:val="auto"/>
                <w:w w:val="91"/>
              </w:rPr>
              <w:t>(Address of principal executive offices and zip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6080" w:type="dxa"/>
            <w:vAlign w:val="bottom"/>
            <w:gridSpan w:val="2"/>
          </w:tcPr>
          <w:p>
            <w:pPr>
              <w:jc w:val="center"/>
              <w:ind w:left="1950"/>
              <w:spacing w:after="0"/>
              <w:rPr>
                <w:sz w:val="20"/>
                <w:szCs w:val="20"/>
                <w:color w:val="auto"/>
              </w:rPr>
            </w:pPr>
            <w:r>
              <w:rPr>
                <w:rFonts w:ascii="Arial" w:cs="Arial" w:eastAsia="Arial" w:hAnsi="Arial"/>
                <w:sz w:val="18"/>
                <w:szCs w:val="18"/>
                <w:b w:val="1"/>
                <w:bCs w:val="1"/>
                <w:color w:val="auto"/>
                <w:w w:val="90"/>
              </w:rPr>
              <w:t>(441) 297-9901</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color w:val="auto"/>
                <w:w w:val="90"/>
              </w:rPr>
              <w:t>(Registrant’s telephone number, including area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29" w:lineRule="exact"/>
        <w:rPr>
          <w:sz w:val="24"/>
          <w:szCs w:val="24"/>
          <w:color w:val="auto"/>
        </w:rPr>
      </w:pPr>
    </w:p>
    <w:p>
      <w:pPr>
        <w:jc w:val="both"/>
        <w:ind w:right="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233" w:right="419" w:bottom="1440" w:gutter="0" w:footer="0" w:header="0"/>
          <w:type w:val="continuous"/>
        </w:sectPr>
      </w:pPr>
    </w:p>
    <w:p>
      <w:pPr>
        <w:spacing w:after="0" w:line="157"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7300" w:space="720"/>
            <w:col w:w="3220"/>
          </w:cols>
          <w:pgMar w:left="240" w:top="233" w:right="419" w:bottom="1440" w:gutter="0" w:footer="0" w:header="0"/>
          <w:type w:val="continuous"/>
        </w:sect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20" w:space="720"/>
            <w:col w:w="3600"/>
          </w:cols>
          <w:pgMar w:left="240" w:top="233" w:right="419" w:bottom="1440" w:gutter="0" w:footer="0" w:header="0"/>
          <w:type w:val="continuous"/>
        </w:sectPr>
      </w:pPr>
    </w:p>
    <w:p>
      <w:pPr>
        <w:spacing w:after="0" w:line="43" w:lineRule="exact"/>
        <w:rPr>
          <w:sz w:val="24"/>
          <w:szCs w:val="24"/>
          <w:color w:val="auto"/>
        </w:rPr>
      </w:pPr>
    </w:p>
    <w:p>
      <w:pPr>
        <w:ind w:left="600" w:right="1500" w:hanging="41"/>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November 1, 2016 was 93,105,055.</w:t>
      </w:r>
    </w:p>
    <w:p>
      <w:pPr>
        <w:sectPr>
          <w:pgSz w:w="11900" w:h="16838" w:orient="portrait"/>
          <w:cols w:equalWidth="0" w:num="1">
            <w:col w:w="11240"/>
          </w:cols>
          <w:pgMar w:left="240" w:top="233"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6"/>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Item 2.</w:t>
              </w:r>
            </w:hyperlink>
          </w:p>
        </w:tc>
        <w:tc>
          <w:tcPr>
            <w:tcW w:w="1060" w:type="dxa"/>
            <w:vAlign w:val="bottom"/>
            <w:gridSpan w:val="7"/>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3.</w:t>
              </w:r>
            </w:hyperlink>
          </w:p>
        </w:tc>
        <w:tc>
          <w:tcPr>
            <w:tcW w:w="1060" w:type="dxa"/>
            <w:vAlign w:val="bottom"/>
            <w:gridSpan w:val="7"/>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4.</w:t>
              </w:r>
            </w:hyperlink>
          </w:p>
        </w:tc>
        <w:tc>
          <w:tcPr>
            <w:tcW w:w="1060" w:type="dxa"/>
            <w:vAlign w:val="bottom"/>
            <w:gridSpan w:val="7"/>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PART II.</w:t>
              </w:r>
            </w:hyperlink>
          </w:p>
        </w:tc>
        <w:tc>
          <w:tcPr>
            <w:tcW w:w="900" w:type="dxa"/>
            <w:vAlign w:val="bottom"/>
            <w:gridSpan w:val="4"/>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4"/>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5"/>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4">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6.</w:t>
              </w:r>
            </w:hyperlink>
          </w:p>
        </w:tc>
        <w:tc>
          <w:tcPr>
            <w:tcW w:w="1060" w:type="dxa"/>
            <w:vAlign w:val="bottom"/>
            <w:gridSpan w:val="7"/>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6">
              <w:r>
                <w:rPr>
                  <w:rFonts w:ascii="Arial" w:cs="Arial" w:eastAsia="Arial" w:hAnsi="Arial"/>
                  <w:sz w:val="18"/>
                  <w:szCs w:val="18"/>
                  <w:b w:val="1"/>
                  <w:bCs w:val="1"/>
                  <w:color w:val="0000EE"/>
                  <w:w w:val="96"/>
                </w:rPr>
                <w:t>SIGNATURES</w:t>
              </w:r>
            </w:hyperlink>
          </w:p>
        </w:tc>
        <w:tc>
          <w:tcPr>
            <w:tcW w:w="4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EXHIBIT INDEX</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i w:val="1"/>
          <w:iCs w:val="1"/>
          <w:color w:val="auto"/>
        </w:rPr>
        <w:t>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2015 filed with the Securities and Exchange Commission. These factors include, without limitation, the following:</w:t>
      </w:r>
    </w:p>
    <w:p>
      <w:pPr>
        <w:spacing w:after="0" w:line="179"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2016 — $1,399,093; 2015 — $1,189,978)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1,431,673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1,190,638</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2016 — $150,483; 2015 — $85,994)</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150,483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85,996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1,582,156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24,606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16,637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$45,567 in 2016 and $42,479 in 2015)</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119,412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3,492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1,817,728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1,469,099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219,996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201,045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87,964</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Revolving credit facility borrowings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28,093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507,513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349,858</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- 93,102 shares in 2016 and 92,650 shares in 2015</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913,215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904,221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373,649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213,729</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1,310,215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1,119,241</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1,817,728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1,469,099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115,887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97,478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324,866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272,134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(35,041)</w:t>
            </w: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110,801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83,694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305,915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237,093</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14,322</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1,765</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2,634</w:t>
            </w:r>
          </w:p>
        </w:tc>
      </w:tr>
      <w:tr>
        <w:trPr>
          <w:trHeight w:val="237"/>
        </w:trPr>
        <w:tc>
          <w:tcPr>
            <w:tcW w:w="65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121,254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91,736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331,885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255,814</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28,714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95,645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83,360</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91,066</w:t>
            </w:r>
          </w:p>
        </w:tc>
      </w:tr>
      <w:tr>
        <w:trPr>
          <w:trHeight w:val="29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164,748</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51,896</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59,711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40,821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112,852</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6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84"/>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90,961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90,418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90,886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90,317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91,678</w:t>
            </w:r>
          </w:p>
        </w:tc>
      </w:tr>
      <w:tr>
        <w:trPr>
          <w:trHeight w:val="297"/>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112,852</w:t>
            </w:r>
          </w:p>
        </w:tc>
      </w:tr>
      <w:tr>
        <w:trPr>
          <w:trHeight w:val="284"/>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6540" w:type="dxa"/>
            <w:vAlign w:val="bottom"/>
            <w:gridSpan w:val="2"/>
          </w:tcPr>
          <w:p>
            <w:pPr>
              <w:ind w:left="280"/>
              <w:spacing w:after="0"/>
              <w:rPr>
                <w:sz w:val="20"/>
                <w:szCs w:val="20"/>
                <w:color w:val="auto"/>
              </w:rPr>
            </w:pPr>
            <w:r>
              <w:rPr>
                <w:rFonts w:ascii="Arial" w:cs="Arial" w:eastAsia="Arial" w:hAnsi="Arial"/>
                <w:sz w:val="18"/>
                <w:szCs w:val="18"/>
                <w:color w:val="auto"/>
                <w:w w:val="93"/>
              </w:rPr>
              <w:t>Change in unrealized (depreciation) appreciation of investments, net of tax (benefit)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6540" w:type="dxa"/>
            <w:vAlign w:val="bottom"/>
            <w:gridSpan w:val="2"/>
          </w:tcPr>
          <w:p>
            <w:pPr>
              <w:ind w:left="520"/>
              <w:spacing w:after="0"/>
              <w:rPr>
                <w:sz w:val="20"/>
                <w:szCs w:val="20"/>
                <w:color w:val="auto"/>
              </w:rPr>
            </w:pPr>
            <w:r>
              <w:rPr>
                <w:rFonts w:ascii="Arial" w:cs="Arial" w:eastAsia="Arial" w:hAnsi="Arial"/>
                <w:sz w:val="18"/>
                <w:szCs w:val="18"/>
                <w:color w:val="auto"/>
                <w:w w:val="91"/>
              </w:rPr>
              <w:t>expense of ($897) and $2,013 in the three months ended September 30, 2016 and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540" w:type="dxa"/>
            <w:vAlign w:val="bottom"/>
            <w:gridSpan w:val="2"/>
          </w:tcPr>
          <w:p>
            <w:pPr>
              <w:ind w:left="520"/>
              <w:spacing w:after="0"/>
              <w:rPr>
                <w:sz w:val="20"/>
                <w:szCs w:val="20"/>
                <w:color w:val="auto"/>
              </w:rPr>
            </w:pPr>
            <w:r>
              <w:rPr>
                <w:rFonts w:ascii="Arial" w:cs="Arial" w:eastAsia="Arial" w:hAnsi="Arial"/>
                <w:sz w:val="18"/>
                <w:szCs w:val="18"/>
                <w:color w:val="auto"/>
                <w:w w:val="95"/>
              </w:rPr>
              <w:t>2015 and $9,866 and $121 in the nine months ended September 30, 2016 and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400" w:type="dxa"/>
            <w:vAlign w:val="bottom"/>
          </w:tcPr>
          <w:p>
            <w:pPr>
              <w:ind w:left="52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22,053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r>
      <w:tr>
        <w:trPr>
          <w:trHeight w:val="257"/>
        </w:trPr>
        <w:tc>
          <w:tcPr>
            <w:tcW w:w="65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57,703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45,081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181,973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113,232</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2015</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1,388</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893,285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7"/>
              <w:spacing w:after="0"/>
              <w:rPr>
                <w:sz w:val="20"/>
                <w:szCs w:val="20"/>
                <w:color w:val="auto"/>
              </w:rPr>
            </w:pPr>
            <w:r>
              <w:rPr>
                <w:rFonts w:ascii="Arial" w:cs="Arial" w:eastAsia="Arial" w:hAnsi="Arial"/>
                <w:sz w:val="16"/>
                <w:szCs w:val="16"/>
                <w:b w:val="1"/>
                <w:bCs w:val="1"/>
                <w:color w:val="auto"/>
              </w:rPr>
              <w:t>4,667</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56,398</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955,738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157,331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157,331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13,633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equity transactions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904,221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213,729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1,119,241</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159,920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159,920</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
              <w:spacing w:after="0"/>
              <w:rPr>
                <w:sz w:val="20"/>
                <w:szCs w:val="20"/>
                <w:color w:val="auto"/>
              </w:rPr>
            </w:pPr>
            <w:r>
              <w:rPr>
                <w:rFonts w:ascii="Arial" w:cs="Arial" w:eastAsia="Arial" w:hAnsi="Arial"/>
                <w:sz w:val="16"/>
                <w:szCs w:val="16"/>
                <w:color w:val="auto"/>
              </w:rPr>
              <w:t>22,053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22,053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11,902</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3,963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September 30, 2016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913,215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21,954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373,649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1,310,215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159,920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112,852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9,959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42,811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40,077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policy acquisition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Prepaid federal income tax</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(47,739)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Reserve for losses and LAE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6,121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Unearned premium reserve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35,041</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2,214</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198,827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159,186</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Net change in short-term investments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(64,487)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89,088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(587,878)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21,868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7,525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244,429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332,853</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property and equipment, net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(251,771)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(161,644)</w:t>
            </w:r>
          </w:p>
        </w:tc>
      </w:tr>
      <w:tr>
        <w:trPr>
          <w:trHeight w:val="277"/>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Revolving credit facility borrowings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acquired</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(5,135)</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Payment of issuance costs for revolving credit facility</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2,390</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Payment of offering costs</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(3,230)</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(5,688)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24,411</w:t>
            </w:r>
          </w:p>
        </w:tc>
      </w:tr>
      <w:tr>
        <w:trPr>
          <w:trHeight w:val="297"/>
        </w:trPr>
        <w:tc>
          <w:tcPr>
            <w:tcW w:w="7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16,336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18,723</w:t>
            </w:r>
          </w:p>
        </w:tc>
      </w:tr>
      <w:tr>
        <w:trPr>
          <w:trHeight w:val="271"/>
        </w:trPr>
        <w:tc>
          <w:tcPr>
            <w:tcW w:w="7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tax payments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7"/>
        </w:trPr>
        <w:tc>
          <w:tcPr>
            <w:tcW w:w="7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2015,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2016 prior to the issuance of these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This update is intended to provide a consistent approach in recognizing revenue. In accordance with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The Company is currently evaluating the impact the adoption of this ASU will have on the consolidated financial statements; however, this update is not expected to impact the recognition of revenue related to insurance premiums or investments, which represent a significant portion of our total revenues.</w:t>
      </w:r>
    </w:p>
    <w:p>
      <w:pPr>
        <w:spacing w:after="0" w:line="17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 xml:space="preserve">In May 2015, the FASB issued ASU 2015-09, </w:t>
      </w:r>
      <w:r>
        <w:rPr>
          <w:rFonts w:ascii="Arial" w:cs="Arial" w:eastAsia="Arial" w:hAnsi="Arial"/>
          <w:sz w:val="17"/>
          <w:szCs w:val="17"/>
          <w:i w:val="1"/>
          <w:iCs w:val="1"/>
          <w:color w:val="auto"/>
        </w:rPr>
        <w:t>Disclosures about Short-Duration Contracts (Topic 944)</w:t>
      </w:r>
      <w:r>
        <w:rPr>
          <w:rFonts w:ascii="Arial" w:cs="Arial" w:eastAsia="Arial" w:hAnsi="Arial"/>
          <w:sz w:val="17"/>
          <w:szCs w:val="17"/>
          <w:color w:val="auto"/>
        </w:rPr>
        <w:t>. The amendments in this update require insurance entities to disclose certain information about the liability for unpaid claims and claim adjustment expenses. The additional information required is focused on improvements in disclosures regarding insurance liabilities, including the nature, amount, timing, and uncertainty of cash flows related to those liabilities and the effect of those cash flows on the statement of comprehensive income. The disclosures required by this update are effective for annual periods beginning after December 15, 2015, and interim periods within annual periods beginning after December 15, 2016, and is to be applied retrospectively. The Company is currently evaluating the new disclosures required by this ASU.</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is evaluating the impact the adoption of this ASU will have on the consolidated financial statements.</w:t>
      </w:r>
    </w:p>
    <w:p>
      <w:pPr>
        <w:spacing w:after="0" w:line="154"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This update is intended to simplify several aspects of the accounting for share-based payment award transactions, including the income tax consequences, classification of awards as either equity or liabilities, and classification on the statement of cash flows. The new guidance requires all excess tax benefits and tax deficiencies to be recognized as income tax expense or benefit in the income statement and treated as discrete items in the reporting period. In addition, excess tax benefits are required to be classified along with other income tax cash flows as an operating activity. Further, the new guidance allows for a policy election to account for forfeitures as they occur rather than on an estimated basis. The provisions of this update are effective for annual and interim periods beginning after December 15, 2016. The Company expects to elect to recognize forfeitures as they occur and estimates that the initial adoption of this update will not have a material impact on stockholders' equity as of January 1, 2017. The classification of excess tax benefits and tax deficiencies as income tax benefit or expense may result in net income volatility in reporting periods subsequent to 2016. To date, realized excess tax benefits have been recognized in additional paid-in-capital. The amount of excess tax benefits or tax deficiencies in future periods will vary based on the market value of the Company’s common stock at the vesting dates of nonvested common share and nonvested common share units.</w:t>
      </w:r>
    </w:p>
    <w:p>
      <w:pPr>
        <w:spacing w:after="0" w:line="17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2016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4"/>
                <w:szCs w:val="14"/>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188,547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192,769</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17,319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284,610</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318,264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332,063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443,882</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47,569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48,465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127,498</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135,484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135,484</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1,549,576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1,582,156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272,733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56,380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1,275,972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603"/>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vMerge w:val="restart"/>
          </w:tcPr>
          <w:p>
            <w:pPr>
              <w:jc w:val="right"/>
              <w:ind w:right="8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September 30, 2016,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60" w:type="dxa"/>
            <w:vAlign w:val="bottom"/>
          </w:tcPr>
          <w:p>
            <w:pPr>
              <w:spacing w:after="0"/>
              <w:rPr>
                <w:sz w:val="14"/>
                <w:szCs w:val="14"/>
                <w:color w:val="auto"/>
              </w:rPr>
            </w:pPr>
          </w:p>
        </w:tc>
        <w:tc>
          <w:tcPr>
            <w:tcW w:w="148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29,202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29,222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112,209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115,538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188,547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192,769</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17,319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103,752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121,513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128,980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93,800</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318,264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332,063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31,708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31,743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251,267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254,381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148,348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155,187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433,824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443,882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280,878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284,610</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47,569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48,465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127,691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127,498</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135,484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135,484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1,549,576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1,582,156</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2,790</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34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1,025</w:t>
            </w:r>
          </w:p>
        </w:tc>
      </w:tr>
      <w:tr>
        <w:trPr>
          <w:trHeight w:val="702"/>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69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2016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20,642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6,515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18,208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22,759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57,934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80,693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183,269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93,898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277,167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47,850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26,075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633,959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66,780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700,739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other-than-temporary impairments of $73 thousand and $80 thousand in the three and nine months ended September 30, 2016, respectively, on securities in an unrealized loss position. The impairments resulted from our intent to sell these securities subsequent to the reporting date. There were no other-than-temporary impairments of investments in the nine months ended September 30, 2015.</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$8.6 million as of September 30, 2016 and $8.5 million as of December 31, 2015. In connection with its insurance and reinsurance activities, Essent Re is required to maintain assets in trusts for the benefit of its contractual counterparties. The fair value of the investments required to be on deposit in these trusts was $304.0 million at September 30, 2016 and $171.5 million at December 31,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15,542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15,590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5,322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consists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16,034</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603</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16,637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16,637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nine months ended September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10,356</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7,706</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1,323</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14,548</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25,731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14,548</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814</w:t>
            </w:r>
          </w:p>
        </w:tc>
      </w:tr>
    </w:tbl>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For the nine months ended September 30, 2016, $3.2 million was paid for incurred claims and claim adjustment expenses attributable to insured events of prior years. There has been a $4.7 million favorable prior year development during the nine months ended September 30, 2016. Reserves remaining as of September 30, 2016 for prior years are $9.8 million as a result of re-estimation of unpaid losses and loss adjustment expenses. For the nine months ended September 30, 2015, $1.3 million was paid for incurred claims and claim adjustment expenses attributable to insured events of prior years. There had been a $2.7 million favorable prior year development during the nine months ended September 30, 2015. Reserves remaining as of September 30, 2015 for prior years were $4.5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19, 2016, Essent Group and its subsidiaries, Essent Irish Intermediate Holdings Limited and Essent US Holdings, Inc. (collectively, the "Borrowers"), entered into a three-year, secured revolving credit facility with a committed capacity of $200 million (the “Facility”). Borrowings under the Facility may be used for working capital and general corporate purposes, including, without limitation, capital contributions to Essent’s insurance and reinsurance subsidiaries. Borrowings will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Facility are secured by certain assets of the Borrowers, excluding the stock and assets of its insurance and reinsurance subsidiaries. The Facility contains several covenants, including financial covenants relating to minimum net worth, capital and liquidity levels, maximum debt to capitalization level and Essent Guaranty's compliance with the PMIERS. This description is not intended to be complete in all respects and is qualified in its entirety by the terms of the Facility, including its covenants. As of September 30, 2016, the Company was in compliance with the covenants and $50 million had been borrowed under the Facility with an interest rate of 2.52%.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$93,008 and $16,903 related to remedies for the nine months ended September 30, 2016 and 2015. As of September 30, 2016, management believes any potential claims for indemnification related to contract underwriting services through September 30, 2016 are not material to our financial position or results of operations.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2016,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nine months ended September 30, 2016:</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580"/>
              <w:spacing w:after="0"/>
              <w:rPr>
                <w:sz w:val="20"/>
                <w:szCs w:val="20"/>
                <w:color w:val="auto"/>
              </w:rPr>
            </w:pPr>
            <w:r>
              <w:rPr>
                <w:rFonts w:ascii="Arial" w:cs="Arial" w:eastAsia="Arial" w:hAnsi="Arial"/>
                <w:sz w:val="14"/>
                <w:szCs w:val="14"/>
                <w:b w:val="1"/>
                <w:bCs w:val="1"/>
                <w:color w:val="auto"/>
              </w:rPr>
              <w:t>Time-Based Share</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2016</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February 2016, certain members of senior management were granted nonvested common shares under the Essent Group Ltd. 2013 Long-Term Incentive Plan that were subject to time-based and performance-based vesting. The time-based share awards granted in February 2016 vest in three equal installments on March 1, 2017, 2018 and 2019. The performance-based share awards granted in February 2016 vest based upon our compounded annual book value per share growth percentage during a three-year performance period that commenced on January 1, 2016 and vest on March 1, 2019. The portion of the nonvested performance-based share awards that will be earned based upon the achievement of compounded annual book value per share growth is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&lt;13%</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13%</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2015, in February 2016, time-based share awards and share units were issued to certain employees that vest in three equal installments on March 1, 2017, 2018 and 2019. In May 2016, time-based share units were granted to non-employee directors that vest one year from the date of grant.</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total fair value on the vesting date of nonvested shares or share units that vested was $14.8 million and $21.5 million for the nine months ended September 30, 2016 and 2015, respectively. As of September 30, 2016, there was $19.3 million of total unrecognized compensation expense related to nonvested shares or share units outstanding at September 30, 2016 and we expect to recognize the expense over a weighted average period of 1.7 years.</w:t>
      </w:r>
    </w:p>
    <w:p>
      <w:pPr>
        <w:spacing w:after="0" w:line="14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182,286 in the nine months ended September 30, 2016. The tendered shares were recorded at cost, included in treasury stock and have been cancelled as of September 30,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9,959</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3,197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59,711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159,920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112,852</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59,711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159,920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112,852</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90,961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90,418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90,886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90,317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92,399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91,841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92,133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91,678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were 1,574 and 905 antidilutive shares for the three months ended September 30, 2016 and 2015, respectively and 128,569 and 100,232 antidilutive shares for the nine months ended September 30, 2016 and 2015,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nonvested performance-based share awards are considered contingently issuable for purposes of the EPS calculation. Based on the compounded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annual book value per share growth as of September 30, 2016, 100% of the performance-based share awards would be issuable under the terms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arrangements if September 30, 2016 was the end of the performance period. Based on the compounded annual book value per share growth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100% of the performance-based share awards would have been issuable under the terms of the arrangements if September 30, 2015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end of the performance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nine months ended September 30, 2016 and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Three Months Ended September 30, 2016</w:t>
            </w:r>
          </w:p>
        </w:tc>
        <w:tc>
          <w:tcPr>
            <w:tcW w:w="14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23,962</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losses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losses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Nine Months Ended September 30, 2016</w:t>
            </w:r>
          </w:p>
        </w:tc>
        <w:tc>
          <w:tcPr>
            <w:tcW w:w="1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3"/>
                <w:szCs w:val="23"/>
                <w:color w:val="auto"/>
              </w:rPr>
            </w:pPr>
          </w:p>
        </w:tc>
      </w:tr>
      <w:tr>
        <w:trPr>
          <w:trHeight w:val="223"/>
        </w:trPr>
        <w:tc>
          <w:tcPr>
            <w:tcW w:w="4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23,137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w w:val="97"/>
              </w:rPr>
              <w:t>Less: Reclassification adjustment for gains included in net income (1)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22,053</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31,919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22,053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21,954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Three Months Ended September 30, 2015</w:t>
            </w: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Net of Tax</w:t>
            </w:r>
          </w:p>
        </w:tc>
        <w:tc>
          <w:tcPr>
            <w:tcW w:w="20" w:type="dxa"/>
            <w:vAlign w:val="bottom"/>
            <w:tcBorders>
              <w:bottom w:val="single" w:sz="8" w:color="auto"/>
            </w:tcBorders>
          </w:tcPr>
          <w:p>
            <w:pPr>
              <w:spacing w:after="0"/>
              <w:rPr>
                <w:sz w:val="22"/>
                <w:szCs w:val="2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2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Borders>
              <w:top w:val="single" w:sz="8" w:color="auto"/>
            </w:tcBorders>
          </w:tcPr>
          <w:p>
            <w:pPr>
              <w:spacing w:after="0"/>
              <w:rPr>
                <w:sz w:val="20"/>
                <w:szCs w:val="20"/>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Nine Months Ended September 30, 2015</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4,667</w:t>
            </w:r>
          </w:p>
        </w:tc>
        <w:tc>
          <w:tcPr>
            <w:tcW w:w="20" w:type="dxa"/>
            <w:vAlign w:val="bottom"/>
          </w:tcPr>
          <w:p>
            <w:pPr>
              <w:spacing w:after="0"/>
              <w:rPr>
                <w:sz w:val="23"/>
                <w:szCs w:val="23"/>
                <w:color w:val="auto"/>
              </w:rPr>
            </w:pPr>
          </w:p>
        </w:tc>
      </w:tr>
      <w:tr>
        <w:trPr>
          <w:trHeight w:val="223"/>
        </w:trPr>
        <w:tc>
          <w:tcPr>
            <w:tcW w:w="4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w w:val="97"/>
              </w:rPr>
              <w:t>Less: Reclassification adjustment for gains included in net income (1)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620" w:right="2780" w:hanging="5288"/>
        <w:spacing w:after="0" w:line="810"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net realized investment gains on our condensed consolidated statements of comprehensive income.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2016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4"/>
                <w:szCs w:val="14"/>
                <w:color w:val="auto"/>
              </w:rPr>
            </w:pPr>
          </w:p>
        </w:tc>
        <w:tc>
          <w:tcPr>
            <w:tcW w:w="1220" w:type="dxa"/>
            <w:vAlign w:val="bottom"/>
          </w:tcPr>
          <w:p>
            <w:pPr>
              <w:jc w:val="center"/>
              <w:ind w:right="3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192,769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192,769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284,610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284,610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332,063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443,882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443,882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48,465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127,498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127,498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135,484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1,582,156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1,582,156</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24"/>
                <w:szCs w:val="24"/>
                <w:color w:val="auto"/>
              </w:rPr>
            </w:pPr>
          </w:p>
        </w:tc>
        <w:tc>
          <w:tcPr>
            <w:tcW w:w="1220" w:type="dxa"/>
            <w:vAlign w:val="bottom"/>
          </w:tcPr>
          <w:p>
            <w:pPr>
              <w:jc w:val="center"/>
              <w:ind w:right="31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177,607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U.S. agency mortgage-backed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159,602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279,828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396,732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126,629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1,276,634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 debt securities, mortgage-backed securities and asset-backed securities are classified as Level 2 investments.</w:t>
      </w:r>
    </w:p>
    <w:p>
      <w:pPr>
        <w:spacing w:after="0" w:line="193" w:lineRule="exact"/>
        <w:rPr>
          <w:rFonts w:ascii="Arial" w:cs="Arial" w:eastAsia="Arial" w:hAnsi="Arial"/>
          <w:sz w:val="18"/>
          <w:szCs w:val="18"/>
          <w:color w:val="auto"/>
        </w:rPr>
      </w:pPr>
    </w:p>
    <w:p>
      <w:pPr>
        <w:ind w:left="660" w:right="60"/>
        <w:spacing w:after="0" w:line="269" w:lineRule="auto"/>
        <w:rPr>
          <w:rFonts w:ascii="Arial" w:cs="Arial" w:eastAsia="Arial" w:hAnsi="Arial"/>
          <w:sz w:val="18"/>
          <w:szCs w:val="18"/>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and corporate debt securities are valued by our primary vendor using recently executed transactions and proprietary models based on observable inputs, such as interest rate spreads, yield curves and credit risk. Mortgage-backed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79"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liabilities — We define fair value as the current amount that would be exchanged to sell an asset or transfer a liability, other than in a forced liquidation. Through June 30, 2016, certain of our Freddie Mac Agency Credit Insurance Structure ("ACIS") contracts were accounted for as derivatives. In determining an exit market, we considered the fact that there is not a principal market for these contracts. In the absence of a principal market, we valued these ACIS contracts in a hypothetical market where market participants, and potential counterparties, included other mortgage guaranty insurers or reinsurers with similar credit quality to us. We believed that in the absence of a principal market, this hypothetical market provides the most relevant information with respect to fair value estimates. These ACIS contracts were classified as Level 3 of the fair value hierarchy. During the quarter ended September 30, 2016, these contracts were amended and are now accounted for as insurance contracts rather than derivatives.</w:t>
      </w:r>
    </w:p>
    <w:p>
      <w:pPr>
        <w:spacing w:after="0" w:line="192" w:lineRule="exact"/>
        <w:rPr>
          <w:rFonts w:ascii="Arial" w:cs="Arial" w:eastAsia="Arial" w:hAnsi="Arial"/>
          <w:sz w:val="18"/>
          <w:szCs w:val="18"/>
          <w:color w:val="auto"/>
        </w:rPr>
      </w:pPr>
    </w:p>
    <w:p>
      <w:pPr>
        <w:ind w:left="660"/>
        <w:spacing w:after="0" w:line="272" w:lineRule="auto"/>
        <w:rPr>
          <w:rFonts w:ascii="Arial" w:cs="Arial" w:eastAsia="Arial" w:hAnsi="Arial"/>
          <w:sz w:val="18"/>
          <w:szCs w:val="18"/>
          <w:color w:val="auto"/>
        </w:rPr>
      </w:pPr>
      <w:r>
        <w:rPr>
          <w:rFonts w:ascii="Arial" w:cs="Arial" w:eastAsia="Arial" w:hAnsi="Arial"/>
          <w:sz w:val="17"/>
          <w:szCs w:val="17"/>
          <w:color w:val="auto"/>
        </w:rPr>
        <w:t>Through June 30, 2016, we determined the fair value of our derivative instruments primarily using internally-generated models. We utilized market observable inputs, such as the performance of the underlying pool of mortgages, mortgage prepayment speeds and pricing spreads on the reference STACR notes issued by Freddie Mac, whenever they were available. There was a high degree of uncertainty about our fair value estimates since our contracts were not traded or exchanged, which made external validation and corroboration of our estimates difficult. Considerable judgment was required to interpret market data to develop the estimates of fair value. Accordingly, the estimates may not have been indicative of amounts we could have realized in a market exchange or negotiated termination. The use of different market assumptions or estimation methodologies may have had a material effect on the estimated fair value amounts.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2016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192,769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192,769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17,385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17,385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284,610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332,063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332,063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443,882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443,882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48,465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48,465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127,498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135,484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135,484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328,253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1,253,903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1,582,156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24"/>
                <w:szCs w:val="2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177,607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279,828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55,356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244,705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1,031,929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ind w:right="11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following table presents changes during the three and nine months ended September 30, 2016 and 2015 in Level 3 liabilities measured at fair value on a recurring basis, and the net realized and unrealized losses related to the Level 3 liabilities in the condensed consolidated balance sheets at September 30, 2016 and 2015. During the nine months ended September 30, 2016, and in the year ended December 31, 2015, we had no Level 3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260" w:type="dxa"/>
            <w:vAlign w:val="bottom"/>
            <w:gridSpan w:val="6"/>
          </w:tcPr>
          <w:p>
            <w:pPr>
              <w:jc w:val="right"/>
              <w:ind w:right="6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ind w:left="38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2260" w:type="dxa"/>
            <w:vAlign w:val="bottom"/>
            <w:gridSpan w:val="6"/>
          </w:tcPr>
          <w:p>
            <w:pPr>
              <w:jc w:val="right"/>
              <w:ind w:right="7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Level 3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5"/>
          </w:tcPr>
          <w:p>
            <w:pPr>
              <w:ind w:left="40"/>
              <w:spacing w:after="0"/>
              <w:rPr>
                <w:sz w:val="20"/>
                <w:szCs w:val="20"/>
                <w:color w:val="auto"/>
              </w:rPr>
            </w:pPr>
            <w:r>
              <w:rPr>
                <w:rFonts w:ascii="Arial" w:cs="Arial" w:eastAsia="Arial" w:hAnsi="Arial"/>
                <w:sz w:val="18"/>
                <w:szCs w:val="18"/>
                <w:color w:val="auto"/>
              </w:rPr>
              <w:t>Fair value of derivative liabilities at beginning of period</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(gains) included in income</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8"/>
              </w:rPr>
              <w:t>Purchases, sales, issues and settlements,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Gross transfers in</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transfers out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20" w:type="dxa"/>
            <w:vAlign w:val="bottom"/>
            <w:gridSpan w:val="5"/>
          </w:tcPr>
          <w:p>
            <w:pPr>
              <w:ind w:left="40"/>
              <w:spacing w:after="0"/>
              <w:rPr>
                <w:sz w:val="20"/>
                <w:szCs w:val="20"/>
                <w:color w:val="auto"/>
              </w:rPr>
            </w:pPr>
            <w:r>
              <w:rPr>
                <w:rFonts w:ascii="Arial" w:cs="Arial" w:eastAsia="Arial" w:hAnsi="Arial"/>
                <w:sz w:val="18"/>
                <w:szCs w:val="18"/>
                <w:color w:val="auto"/>
              </w:rPr>
              <w:t>Fair value of derivative liabilities at end of period</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67"/>
        </w:trPr>
        <w:tc>
          <w:tcPr>
            <w:tcW w:w="318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gridSpan w:val="3"/>
          </w:tcPr>
          <w:p>
            <w:pPr>
              <w:spacing w:after="0"/>
              <w:rPr>
                <w:sz w:val="5"/>
                <w:szCs w:val="5"/>
                <w:color w:val="auto"/>
              </w:rPr>
            </w:pPr>
          </w:p>
        </w:tc>
        <w:tc>
          <w:tcPr>
            <w:tcW w:w="1860" w:type="dxa"/>
            <w:vAlign w:val="bottom"/>
            <w:tcBorders>
              <w:bottom w:val="single" w:sz="8" w:color="CCEEFF"/>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00" w:type="dxa"/>
            <w:vAlign w:val="bottom"/>
            <w:gridSpan w:val="7"/>
          </w:tcPr>
          <w:p>
            <w:pPr>
              <w:ind w:left="40"/>
              <w:spacing w:after="0"/>
              <w:rPr>
                <w:sz w:val="20"/>
                <w:szCs w:val="20"/>
                <w:color w:val="auto"/>
              </w:rPr>
            </w:pPr>
            <w:r>
              <w:rPr>
                <w:rFonts w:ascii="Arial" w:cs="Arial" w:eastAsia="Arial" w:hAnsi="Arial"/>
                <w:sz w:val="18"/>
                <w:szCs w:val="18"/>
                <w:color w:val="auto"/>
                <w:w w:val="94"/>
              </w:rPr>
              <w:t>Changes in net unrealized losses (gains) included in income on instruments held at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end of period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91"/>
        </w:trPr>
        <w:tc>
          <w:tcPr>
            <w:tcW w:w="11420" w:type="dxa"/>
            <w:vAlign w:val="bottom"/>
            <w:gridSpan w:val="22"/>
          </w:tcPr>
          <w:p>
            <w:pPr>
              <w:ind w:left="660"/>
              <w:spacing w:after="0"/>
              <w:rPr>
                <w:sz w:val="20"/>
                <w:szCs w:val="20"/>
                <w:color w:val="auto"/>
              </w:rPr>
            </w:pPr>
            <w:r>
              <w:rPr>
                <w:rFonts w:ascii="Arial" w:cs="Arial" w:eastAsia="Arial" w:hAnsi="Arial"/>
                <w:sz w:val="18"/>
                <w:szCs w:val="18"/>
                <w:color w:val="auto"/>
                <w:w w:val="95"/>
              </w:rPr>
              <w:t>The following table summarizes the significant unobservable inputs used in our recurring Level 3 fair value measurements as of December 31,</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w w:val="91"/>
              </w:rPr>
              <w:t>Unobservable Input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w w:val="98"/>
              </w:rPr>
              <w:t>Constant prepayment rate</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w w:val="90"/>
              </w:rPr>
              <w:t>Default rate</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gridSpan w:val="7"/>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3"/>
              </w:rPr>
              <w:t>Reference STACR credit spread</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significant unobservable inputs used for derivative liabilities are constant prepayment rates (“CPR”) and default rates on the reference pool of mortgages and the credit spreads on the reference STACR notes. An increase in the CPR, default rate or reference STACR credit spread will increase the fair value of the liability.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Accounting</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2015</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156,138</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128,048</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560,746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513,402</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436,082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278,820</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11,711</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46,378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46,093</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34,387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25,038</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2016 and 2015,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At September 30, 2016 and 2015,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September 30, 2016 and December 31, 2015, Essent Guaranty, our GSE-approved mortgage insurance company, was in compliance with the PMIERs.</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nine months ended September 30, 2016, Essent Guaranty increased its contingency reserve by $121.0 million and Essent PA increased its contingency reserve by $6.9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nine months ended September 30, 2016 or 2015.</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2015, all such requirements were met.</w:t>
      </w:r>
    </w:p>
    <w:p>
      <w:pPr>
        <w:spacing w:after="0" w:line="17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Essent Re's statutory capital and surplus was $333.5 million as of September 30, 2016, and statutory net income for the nine months ended September 30, 2016 was $35.8 million.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Statutory capital and surplus and net income determined in accordance with statutory accounting practices differs from GAAP. In the nine months ended September 30, 2016, the more significant differences from GAAP for Essent Re relate to policy acquisition costs and accounting for insurance and certain reinsurance policies issued in connection with the ACIS program. Under statutory accounting practices, policy acquisition costs are charged to expense when the related premiums are written while such costs are capitalized and amortized to expense over the life of the policy under GAAP. Under statutory accounting practices, the insurance and reinsurance policies issued in connection with the ACIS program are accounted for as insurance with premium received recorded as premiums earned. Through June 30, 2016, the insurance and certain reinsurance policies for the ACIS program were accounted for as derivatives under GAAP with the fair value of these policies reported as an asset or liability and changes in the fair value of these policies reported in earnings as a component of other income. During the quarter ended September 30, 2016, these contracts were amended and are now accounted for as insurance contracts rather than derivatives. See Note 11.</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2015 as filed with the Securities and Exchange Commission and referred to herein as the “Annual Report,” and our condensed consolidated financial statements and related notes as of and for the three and nine months ended September 30, 2016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12.4% Market Share for the nine months ended September 30, 2016.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Inc. ("Essent Guaranty"), our wholly-owned insurance subsidiary, is rated Baa2 with a stable outlook by Moody’s Investor Services (“Moody's”) and is rated BBB+ with a stable outlook by Standard &amp; Poor’s Rating Services (“S&amp;P”).</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had master policy relationships with approximately 1,340 customers as of September 30, 2016. Our holding company is domiciled in Bermuda and our U.S. insurance business is headquartered in Radnor, Pennsylvania. We operate additional underwriting and service centers in Winston-Salem, North Carolina and Irvine, California. We have a highly experienced, talented team with 372 employees as of September 30, 2016. We generated new insurance written of approximately $10.3 billion and $24.5 billion for the three and nine months ended September 30, 2016, respectively, compared to approximately $7.6 billion and $20.2 billion for the three and nine months ended September 30, 2015, respectively. As of September 30, 2016, we had approximately $77.6 billion of insurance in force.</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September 30, 2016, Essent Re provides insurance or reinsurance in connection with GSE risk share transactions covering approximately $302.2 million of risk on mortgage loans in reference pools associated with Freddie Mac's Agency Credit Insurance Structure ("ACIS") and Fannie Mae's Credit Insurance Risk Transfer ("CIRT") programs. Essent Re has also reinsured 25% of Essent Guaranty’s GSE-eligible mortgage insurance NIW originated since July 1, 2014 under a quota share reinsurance agreement. On November 3, 2016, S&amp;P Global Ratings assigned its BBB+ long-term counterparty and financial strength ratings to Essent Re with a stable outlook.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September 30, 2016, Essent Guaranty, our GSE-approved mortgage insurance company, was in compliance with the PMIERs. See additional discussion in “— Liquidity and Capital Resources —Private Mortgage Insurer Eligibility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2016 were non-refundable. Premiums collected on annual policies are recognized as net premiums earned on a straight-line basis over the year of coverage. For the nine months ended September 30, 2016, monthly and single premium policies comprised 80.9% and 19.1%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changes in persistency rates can have a significant impact on our profitability. The persistency rate on our portfolio was 79.4% at September 30, 2016. Generally, higher prepayment speeds lead to lower persistency.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September 30, 2016.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2017 and provides for two subsequent one-year renewals at Triad’s option.</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Through June 30, 2016, the insurance and certain of the reinsurance policies issued by Essent Re in connection with the ACIS program were accounted for as derivatives under U.S. generally accepted accounting principles ("GAAP") with the fair value of these policies reported as an asset or liability and changes in the fair value of these policies reported in earnings. Changes in the fair value of these policies were impacted by changes in market observable factors. These policies were amended in the three months ended September 30, 2016 and are now accounted for as insurance rather than as derivatives.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80% of our IIF as of September 30, 2016 having been originated since January 1, 2014. As a result, based on historical industry performance, we expect the number of defaults and claims we experience, as well as our provision for losses and loss adjustment expenses, to increase as our portfolio further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As of September 30, 2016, 80% of our IIF relates to business written since January 1, 2014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most significant expense is compensation and benefits for our employees, which represented 64% and 65% of other underwriting and operating expenses for the three and nine months ended September 30, 2016, respectively, compared to 62% and 64% of other underwriting and operating expenses for the three and nine months ended September 30, 2015, respectively. Compensation and benefits expense includes base and incentive cash compensation, stock compensation expense, benefits and payroll taxes. Compensation and benefits expense has steadily increased as we have increased our staffing from 332 employees at January 1, 2015 to 372 at September 30, 2016,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78"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2016 as compared to 2015 and for the full year 2017 as compared to 2016.</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 The amount of income tax expense or benefit recorded in future periods will be dependent on the jurisdictions in which we operate and the tax laws and regulations in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nine months ended September 30, 2016 and 2015 for our U.S. mortgage insurance portfolio. In addition, this table includes our risk in force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72,267,099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57,435,859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65,242,453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50,762,594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3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10,299,161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7,384,654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24,381,007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19,956,875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204,867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266,125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(4,951,887)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(2,883,974)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(12,102,141)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(8,844,188)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77,614,373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62,141,406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77,614,373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62,141,406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gridSpan w:val="2"/>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74,996,355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59,947,730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70,473,765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55,790,285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19,289,387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15,229,575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19,289,387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15,229,575</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cancellation activity has been relatively low to date because the average age of our insurance portfolio is young. The following is a summary of our IIF at September 30, 2016 by vintage: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4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(through September 30)</w:t>
            </w:r>
          </w:p>
        </w:tc>
        <w:tc>
          <w:tcPr>
            <w:tcW w:w="4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23,799,414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2015</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22,509,458</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16,001,540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2013</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10,373,377</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4,247,993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2011</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647,804</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4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34,787</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160" w:type="dxa"/>
            <w:vAlign w:val="bottom"/>
            <w:gridSpan w:val="2"/>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77,614,373</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040" w:type="dxa"/>
            <w:vAlign w:val="bottom"/>
            <w:vMerge w:val="restart"/>
          </w:tcPr>
          <w:p>
            <w:pPr>
              <w:jc w:val="right"/>
              <w:ind w:right="20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0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 For the three and nine months ended September 30, 2016, our average premium rate was 0.58% and 0.57%, respectively, as compared to 0.55% and 0.57% for the three and nine months ended September 30, 2015,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September 30, 2016, our combined net risk in force for our U.S. insurance companies was $15.9 billion and our combined statutory capital was $1.1 billion, resulting in a risk-to-capital ratio of 14.8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2016, no capital contributions were made by Essent Group Ltd. to our U.S. insurance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2015, capital contributions of $20.0 million were made by Essent Group Ltd. to our U.S. insurance subsidiaries.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115,887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97,478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324,866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272,134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110,801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83,694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305,915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237,093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2,634</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121,254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91,736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331,885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255,814</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32,848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95,645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83,360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losses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91,066</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83,441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59,629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224,580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164,748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51,896</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59,711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40,821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159,920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112,852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2016 Compared to the Three and Nine Months Ended September 30, 2015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September 30, 2016, we reported net income of $59.7 million, compared to net income of $40.8 million for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2015. For the nine months ended September 30, 2016, we reported net income of $159.9 million, compared to net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$112.9 million for the nine months ended September 30, 2015. The increase in our operating results in 2016 over the same periods in 2015 was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increase in net premiums earned associated with the growth of our IIF, the increase in net investment income and favorable valuation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the ACIS contracts formerly accounted for as derivatives, partially offset by increases in other underwriting and operating expenses,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losses and loss adjustment expenses and income taxes.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Net premiums earned increased in the three months ended September 30, 2016 by 32% compared to the three months ended September 30, 2015 primarily due to the increase in our average IIF from $59.9 billion at September 30, 2015 to $75.0 billion at September 30, 2016, as well as an increase in average premium rate from 0.55% for the three months ended September 30, 2015 to 0.58% for the three months ended September 30, 2016. The increase in the average premium rate during the three months ended September 30, 2016 is due primarily to an increase in premium earned on the cancellation of non-refundable single premium policies. Net premiums earned increased in the nine months ended September 30, 2016 by 29% compared to the nine months ended September 30, 2015 due to the increase in our average IIF from $55.8 billion at September 30, 2015 to $70.5 billion at September 30, 2016. The average premium rate was 0.57% in the nine months ended September 30, 2016 and 2015.</w:t>
      </w:r>
    </w:p>
    <w:p>
      <w:pPr>
        <w:spacing w:after="0" w:line="178"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increase in net premiums written was due primarily to the increase in average IIF of 25% for the three months ended September 30, 2016 and 26% for the nine months ended September 30, 2016 as compared to the same periods in 2015. Net premiums written increased in each of the three and nine months ended September 30, 2016 by 19%, over the three and nine months ended September 30, 2015.</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three months ended September 30, 2016 and 2015, unearned premiums increased by $5.1 million and $13.8 million, respectively. The change in unearned premiums was a result of net premiums written on single premium policies of $27.7 million and $27.6 million, respectively, which was partially offset by $22.6 million and $13.8 million, respectively, of unearned premium that was recognized in earnings during the periods. In the nine months ended September 30, 2016 and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unearned premiums increased by $19.0 million and $35.0 million, respectively. This was a result of net premiums written on single premium policies of $77.9 million and $77.0 million, respectively, which was partially offset by $58.9 million and $42.0 million, respectively, of unearned premium that was recognized in earnings during the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15,542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15,590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5,322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net investment income for the three and nine months ended September 30, 2016 as compared to the same periods in 2015 was due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the weighted average balance of our investment portfolio and the increase in the pre-tax investment income yield. The average cash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portfolio balance was $1.5 billion for the three months ended September 30, 2016 compared to $1.2 billion for the three months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2015. The average cash and investment portfolio balance was $1.4 billion for the nine months ended September 30, 2016 compared to $1.1 billion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30, 2015. The pre-tax investment income yield increased from 1.9% and 1.8% in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respectively, to 2.0% and 2.1% in the three and nine months ended September 30, 2016, respectively, primarily due to an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our investment portfolio invested in spread assets. The pre-tax investment income yields are calculated based on amortized cost. See “— Liquidity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Capital Resources” below for further details of our investment portfolio.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increase in other income for the three months ended September 30, 2016 was primarily due to a $2.0 million favorable valuation adjustment associated with an amendment to the ACIS contracts during the quarter. As a result of the amendment, these contracts are now accounted for as insurance rather than as derivatives. The increase in other income for the three months ended September 30, 2016 was also due to an increase in contract underwriting revenue. For the same period in 2015, other income includes a $1.3 million increase in the estimated fair value of our ACIS contracts resulting from the decrease in observed prepayment speeds associated with the underlying pool of mortgages on the reference STACR notes. The increase in other income for the nine months ended September 30, 2016 compared to the same period in 2015 was primarily due to $1.9 million of favorable net valuation adjustments associated with the ACIS contracts formerly accounted for as derivatives, as well as an increase in contract underwriting revenue, partially offset by a decrease in Triad service fees associated with a reduction in the number of Triad's mortgage insurance policies in force.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increase in the provision for losses and LAE in the three and nine months ended September 30, 2016 as compared to the same periods in 2015 was primarily due to increases in the number of insured loans in default, partially offset by previously identified defaults that cured.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72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2016</w:t>
            </w:r>
          </w:p>
        </w:tc>
        <w:tc>
          <w:tcPr>
            <w:tcW w:w="1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1,328</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w:t>
            </w:r>
          </w:p>
        </w:tc>
        <w:tc>
          <w:tcPr>
            <w:tcW w:w="1820" w:type="dxa"/>
            <w:vAlign w:val="bottom"/>
            <w:tcBorders>
              <w:bottom w:val="single" w:sz="8" w:color="CCEEFF"/>
            </w:tcBorders>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814</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increase in the number of defaults at September 30, 2016 compared to September 30, 2015 was primarily due to the increase in our IIF and policies in force, as well as further seasoning of our insurance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As of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3"/>
              </w:rPr>
              <w:t>23,572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13,343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Pr>
          <w:p>
            <w:pPr>
              <w:spacing w:after="0"/>
              <w:rPr>
                <w:sz w:val="21"/>
                <w:szCs w:val="21"/>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814</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decrease in the average reserve per default was primarily due to changes in the composition (such as mark-to-market loan-to-value ratios, risk in force, and number of months past due) of the underlying loans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10,356</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period</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7,706</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1,585</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25,731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25,731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14,548</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September 30, 2016</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6,245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43,000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10,207</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25,814</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5,351</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8,387</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1,878</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23,572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79,079</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25,731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September 30, 2015</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3,700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23,220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6,570</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15,771</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2,484</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3,414</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590</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13,343</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42,995</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14,548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months ended September 30, 2016, the provision for losses and LAE was $5.0 million, comprised of $6.8 million of current year losses partially offset by $1.9 million of favorable prior years’ loss development. During the three months ended September 30, 2015, the provision for losses and LAE was $3.4 million, comprised of $4.3 million of current year losses partially offset by $0.9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nine months ended September 30, 2016, the provision for losses and LAE was $11.7 million, comprised of $16.4 million of current year losses partially offset by $4.7 million of favorable prior years’ loss development. During the nine months ended September 30, 2015, the provision for losses and LAE was $7.7 million, comprised of $10.4 million of current year losses partially offset by $2.7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30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1,530</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675"/>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276"/>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4"/>
              </w:rPr>
              <w:t>Three Months Ended 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6"/>
              </w:rPr>
              <w:t>2016</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21,041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17,796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61,743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53,459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11,807</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10,918</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33,902</w:t>
            </w:r>
          </w:p>
        </w:tc>
        <w:tc>
          <w:tcPr>
            <w:tcW w:w="100" w:type="dxa"/>
            <w:vAlign w:val="bottom"/>
          </w:tcPr>
          <w:p>
            <w:pPr>
              <w:spacing w:after="0"/>
              <w:rPr>
                <w:sz w:val="21"/>
                <w:szCs w:val="21"/>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29,901</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36</w:t>
            </w: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32,848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95,645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83,360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364</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3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Compensation and benefits increased primarily due to the increase in our workforce to 372 at September 30, 2016 from 332 at January 1, 2015. Additional employees were hired to 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146"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expense was $23.7 million and $18.8 million for the three months ended September 30, 2016 and 2015, respectively. Our income tax expense was $64.7 million and $51.9 million for the nine months ended September 30, 2016 and 2015, respectively. Our effective tax rate was 28.4% and 31.5% for the three months ended September 30, 2016 and 2015, respectively, and 28.8% and 31.5% for the nine months ended September 30, 2016 and 2015, respectively. For interim reporting periods, we use an annualized effective tax rate method required under GAAP to calculate the income tax provision. In the three and nine months ended September 30, 2016 and 2015, our effective tax rate reflects the impact of the change in our expectations for the proportion of consolidated earnings to be generated in the United States compared to Bermuda in each year. We expect the proportion of our consolidated earnings generated in Bermuda to be higher in 2016 than in 2015 as a result of an increase in the amount of risk in force associated with insurance and reinsurance contracts executed with Freddie Mac and Fannie Mae and the quota share reinsurance agreement between Essent Guaranty and Essent Re. Bermuda does not have a corporate income tax.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borrowings under our revolving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obligations consist primarily of:</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repayment of borrowings under our revolving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September 30, 2016, we had substantial liquidity with cash of $16.3 million, short-term investments of $150.5 million and fixed maturity investments of $1.4 billion. We also had $150 million available under our revolving credit facility, with $50 million of borrowings outstanding under this facility. Borrowings accrue interest at a floating rate tied to a standard short-term borrowing index, selected at the Company’s option, plus an applicable margin. As of September 30, 2016, the interest rate on the borrowings was 2.52%. At September 30, 2016, net cash and investments at the holding company was $44.6 million.</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September 30, 2016, Essent Guaranty had negative unassigned surplus of approximately $4.6 million and therefore would require prior approval by the Pennsylvania Insurance Commissioner to make any dividend payment or other distributions in 2016. Essent Guaranty has paid no dividends since its inception. Essent PA had unassigned surplus of approximately $7.4 million as of September 30, 2016. During the nine months ended September 30, 2016, Essent PA paid to its parent company, Essent US Holdings, Inc., a $3.75 million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September 30, 2016, Essent Re had total equity of $343.4 million. At September 30, 2016, our insurance subsidiaries were in compliance with these rules, regulations and agreements. In connection with its insurance and reinsurance activities, Essent Re is required to maintain assets in trusts for the benefit of its contractual counterparties. See Note 3 to our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198,827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159,186</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(251,771)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(161,644)</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44,674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(5,688)</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Cash flow provided by operating activities totaled $198.8 million for the nine months ended September 30, 2016, as compared to $159.2 million for the nine months ended September 30, 2015. The increase in cash flow provided by operating activities of $39.6 million in 2016 was primarily a result of increases in premiums collected and net investment income, partially offset by increases in expenses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Cash flow used in investing activities totaled $251.8 million for the nine months ended September 30, 2016, as compared to $161.6 million for the nine months ended September 30, 2015. The increase in cash flow used in investing activities primarily related to investing cash flows from the business and investing the $50 million borrowed under the revolving credit facility.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Cash flow provided by financing activities totaled $44.7 million for the nine months ended September 30, 2016, as compared to cash flow used of $3.2 million for the nine months ended September 30, 2015. The increase in cash flow provided by financing activities was primarily related to the $50 million borrowing under the revolving credit facility. The proceeds of this borrowing were contributed to Essent Re to support new business.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2016, no capital contributions were made by Essent Group Ltd. to our U.S. insurance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2015, capital contributions of $20.0 million were made by Essent Group Ltd. to our U.S. insurance subsidiaries.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September 30, 2016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608,022</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470,469</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1,078,491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15,912,766</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For additional information regarding regulatory capital, see Note 12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Essent Re has entered into risk share insurance and reinsurance transactions with Freddie Mac and Fannie Mae. Essent Re also executed a quota share reinsurance transaction with Essent Guaranty to reinsure 25% of Essent Guaranty’s GSE-eligible NIW effective July 1, 2014. During the nine months ended September 30, 2016, Essent Group Ltd. made capital contributions to Essent Re of $80.0 million to support new business. As of September 30, 2016, Essent Re had total stockholders’ equity of $343.4 million and net risk in force of $3.7 billion.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Baa2 with a stable outlook by Moody's and BBB+ with a stable outlook by S&amp;P. On November 3, 2016, S&amp;P Global Ratings assigned its BBB+ long-term counterparty and financial strength ratings to Essent Re with a stable outlook.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September 30, 2016, Essent Guaranty, our GSE-approved mortgage insurance company, was in compliance with the PMIERs. As of September 30, 2016, Essent Guaranty's Available Assets were $1.12 billion and its Minimum Required Assets were $1.06 billion based on our interpretation of the PMIERs.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September 30, 2016, stockholders’ equity was $1.3 billion compared to $1.1 billion as of December 31, 2015. This increase was primarily due to net income generated in 2016, as well as an increase in accumulated other comprehensive income related to an increase in our unrealized investment gains.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total fair value of our investment portfolio was $1.6 billion as of September 30, 2016 and $1.3 billion as of December 31, 2015. In addition, our total cash was $16.3 million as of September 30, 2016, compared to $24.6 million as of December 31, 2015.</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4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 2016</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0"/>
              </w:rPr>
              <w:t>December 31, 2015</w:t>
            </w: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3"/>
          </w:tcPr>
          <w:p>
            <w:pPr>
              <w:spacing w:after="0"/>
              <w:rPr>
                <w:sz w:val="22"/>
                <w:szCs w:val="22"/>
                <w:color w:val="auto"/>
              </w:rPr>
            </w:pPr>
          </w:p>
        </w:tc>
        <w:tc>
          <w:tcPr>
            <w:tcW w:w="12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192,769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17,385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13,782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284,610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159,602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332,063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279,828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443,882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396,732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Mortgage-backed securities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48,465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55,356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127,498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135,484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67,098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1,582,156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1,276,634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603"/>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(1) The following table summarizes municipal debt securities as of :</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center"/>
              <w:ind w:left="34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(2) The following table summarizes corporate debt securities as of :</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center"/>
              <w:ind w:left="34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Consumer, cyclical</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35</w:t>
            </w: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September 30, 2016</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2015</w:t>
            </w:r>
          </w:p>
        </w:tc>
        <w:tc>
          <w:tcPr>
            <w:tcW w:w="1160" w:type="dxa"/>
            <w:vAlign w:val="bottom"/>
            <w:tcBorders>
              <w:bottom w:val="single" w:sz="8" w:color="auto"/>
            </w:tcBorders>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766,996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554,789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86,306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74,322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5.8</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104,229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89,533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78,244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68,587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5.4</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149,804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126,920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9.9</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122,374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122,745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9.6</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86,904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87,781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83,698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80,137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6.3</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79,609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21,222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19,662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57"/>
        </w:trPr>
        <w:tc>
          <w:tcPr>
            <w:tcW w:w="40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1,582,156</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1,276,634</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21"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 2016</w:t>
            </w:r>
          </w:p>
        </w:tc>
        <w:tc>
          <w:tcPr>
            <w:tcW w:w="6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December 31, 2015</w:t>
            </w:r>
          </w:p>
        </w:tc>
        <w:tc>
          <w:tcPr>
            <w:tcW w:w="1360" w:type="dxa"/>
            <w:vAlign w:val="bottom"/>
            <w:tcBorders>
              <w:bottom w:val="single" w:sz="8" w:color="auto"/>
            </w:tcBorders>
          </w:tcPr>
          <w:p>
            <w:pPr>
              <w:spacing w:after="0"/>
              <w:rPr>
                <w:sz w:val="16"/>
                <w:szCs w:val="16"/>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Percent</w:t>
            </w: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368,735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235,001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226,659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141,995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11.1</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161,027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214,274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16.8</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206,732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104,772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8.2</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104,669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141,428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11.1</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514,334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439,164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34.4</w:t>
            </w: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1,582,156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1,276,634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3"/>
          </w:tcPr>
          <w:p>
            <w:pPr>
              <w:jc w:val="right"/>
              <w:ind w:right="120"/>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3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21,026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740" w:type="dxa"/>
            <w:vAlign w:val="bottom"/>
          </w:tcPr>
          <w:p>
            <w:pPr>
              <w:ind w:left="20"/>
              <w:spacing w:after="0"/>
              <w:rPr>
                <w:sz w:val="20"/>
                <w:szCs w:val="20"/>
                <w:color w:val="auto"/>
              </w:rPr>
            </w:pPr>
            <w:r>
              <w:rPr>
                <w:rFonts w:ascii="Arial" w:cs="Arial" w:eastAsia="Arial" w:hAnsi="Arial"/>
                <w:sz w:val="18"/>
                <w:szCs w:val="18"/>
                <w:color w:val="auto"/>
              </w:rPr>
              <w:t>8/15/2026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20,314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2.250%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Ginnie Mae 4.000% 8/20/2045</w:t>
            </w: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16,449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740" w:type="dxa"/>
            <w:vAlign w:val="bottom"/>
          </w:tcPr>
          <w:p>
            <w:pPr>
              <w:ind w:left="20"/>
              <w:spacing w:after="0"/>
              <w:rPr>
                <w:sz w:val="20"/>
                <w:szCs w:val="20"/>
                <w:color w:val="auto"/>
              </w:rPr>
            </w:pPr>
            <w:r>
              <w:rPr>
                <w:rFonts w:ascii="Arial" w:cs="Arial" w:eastAsia="Arial" w:hAnsi="Arial"/>
                <w:sz w:val="18"/>
                <w:szCs w:val="18"/>
                <w:color w:val="auto"/>
              </w:rPr>
              <w:t>10/20/2016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Freddie Mac 2.500% 10/1/2030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Fannie Mae 3.000% 7/25/2045</w:t>
            </w: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11,735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Freddie Mac 3.000% 8/1/2046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Freddie Mac 3.000% 7/1/2046</w:t>
            </w:r>
          </w:p>
        </w:tc>
        <w:tc>
          <w:tcPr>
            <w:tcW w:w="1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10,985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154,031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151,192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6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September 30, 2016, for securities in unrealized loss positions, management believes decline in fair values is principally associated with the changes in the interest rate environment subsequent to their purchase and there are no other-than-temporary impairments.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2015</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5/15/2025</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2.250% 11/15/2024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2.500% 10/1/2030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6/30/2022</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0.000%</w:t>
            </w:r>
          </w:p>
        </w:tc>
        <w:tc>
          <w:tcPr>
            <w:tcW w:w="1140" w:type="dxa"/>
            <w:vAlign w:val="bottom"/>
          </w:tcPr>
          <w:p>
            <w:pPr>
              <w:ind w:left="20"/>
              <w:spacing w:after="0"/>
              <w:rPr>
                <w:sz w:val="20"/>
                <w:szCs w:val="20"/>
                <w:color w:val="auto"/>
              </w:rPr>
            </w:pPr>
            <w:r>
              <w:rPr>
                <w:rFonts w:ascii="Arial" w:cs="Arial" w:eastAsia="Arial" w:hAnsi="Arial"/>
                <w:sz w:val="18"/>
                <w:szCs w:val="18"/>
                <w:color w:val="auto"/>
              </w:rPr>
              <w:t>3/3/2016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2.250%</w:t>
            </w:r>
          </w:p>
        </w:tc>
        <w:tc>
          <w:tcPr>
            <w:tcW w:w="1140" w:type="dxa"/>
            <w:vAlign w:val="bottom"/>
          </w:tcPr>
          <w:p>
            <w:pPr>
              <w:ind w:left="20"/>
              <w:spacing w:after="0"/>
              <w:rPr>
                <w:sz w:val="20"/>
                <w:szCs w:val="20"/>
                <w:color w:val="auto"/>
              </w:rPr>
            </w:pPr>
            <w:r>
              <w:rPr>
                <w:rFonts w:ascii="Arial" w:cs="Arial" w:eastAsia="Arial" w:hAnsi="Arial"/>
                <w:sz w:val="18"/>
                <w:szCs w:val="18"/>
                <w:color w:val="auto"/>
              </w:rPr>
              <w:t>11/15/2025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1.000%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9/30/2016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0.750%</w:t>
            </w:r>
          </w:p>
        </w:tc>
        <w:tc>
          <w:tcPr>
            <w:tcW w:w="1140" w:type="dxa"/>
            <w:vAlign w:val="bottom"/>
          </w:tcPr>
          <w:p>
            <w:pPr>
              <w:ind w:left="20"/>
              <w:spacing w:after="0"/>
              <w:rPr>
                <w:sz w:val="20"/>
                <w:szCs w:val="20"/>
                <w:color w:val="auto"/>
              </w:rPr>
            </w:pPr>
            <w:r>
              <w:rPr>
                <w:rFonts w:ascii="Arial" w:cs="Arial" w:eastAsia="Arial" w:hAnsi="Arial"/>
                <w:sz w:val="18"/>
                <w:szCs w:val="18"/>
                <w:color w:val="auto"/>
              </w:rPr>
              <w:t>3/15/2017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150,652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37</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municipal debt securities for states that represent more than 10% of the total municipal bond position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8,451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Dallas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College Station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Alvin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Pasadena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Tarrant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44,579</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2015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September 30, 2016, the effective duration of our investment portfolio, including cash, was 3.5 years, which means that an instantaneous parallel shift (movement up or down) in the yield curve of 100 basis points would result in a change of 3.5% in fair value of our investment portfolio. Excluding cash, our investment portfolio effective duration was 3.9 years, which means that an instantaneous parallel shift (movement up or down) in the yield curve of 100 basis points would result in a change of 3.9%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2016, the end of the period covered by this Quarterly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2015.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September 30, 2016.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5"/>
              </w:rPr>
              <w:t>Total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2016</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1,868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August 1 - August 31, 2016</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 2016</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1,513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3,381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financial information from this Quarterly Report on Form 10-Q for the quarter ended September 30, 2016, formatted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November 4, 2016</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November 4, 2016</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November 4, 2016</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25" w:right="4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8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financial information from this Quarterly Report on Form 10-Q for the quarter ended September 30, 2016, formatted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500"/>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918"/>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4,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140" w:firstLine="8"/>
        <w:spacing w:after="0" w:line="324"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2016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4, 2016</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lowerLetter"/>
      <w:start w:val="3"/>
    </w:lvl>
  </w:abstractNum>
  <w:abstractNum w:abstractNumId="24">
    <w:nsid w:val="836C40E"/>
    <w:multiLevelType w:val="hybridMultilevel"/>
    <w:lvl w:ilvl="0">
      <w:lvlJc w:val="left"/>
      <w:lvlText w:val="%1."/>
      <w:numFmt w:val="decimal"/>
      <w:start w:val="5"/>
    </w:lvl>
    <w:lvl w:ilvl="1">
      <w:lvlJc w:val="left"/>
      <w:lvlText w:val="(%2)"/>
      <w:numFmt w:val="lowerLetter"/>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3"/>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3"/>
    </w:lvl>
  </w:abstractNum>
  <w:abstractNum w:abstractNumId="30">
    <w:nsid w:val="737B8DDC"/>
    <w:multiLevelType w:val="hybridMultilevel"/>
    <w:lvl w:ilvl="0">
      <w:lvlJc w:val="left"/>
      <w:lvlText w:val="%1."/>
      <w:numFmt w:val="decimal"/>
      <w:start w:val="5"/>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2020-01-21T15:21:40Z</dcterms:created>
  <dcterms:modified xsi:type="dcterms:W3CDTF">2020-01-21T15:21:40Z</dcterms:modified>
</cp:coreProperties>
</file>