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111760</wp:posOffset>
            </wp:positionV>
            <wp:extent cx="3068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138430</wp:posOffset>
            </wp:positionV>
            <wp:extent cx="3068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6"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period ended September 30, 2020</w:t>
      </w:r>
    </w:p>
    <w:p>
      <w:pPr>
        <w:spacing w:after="0" w:line="123" w:lineRule="exact"/>
        <w:rPr>
          <w:sz w:val="24"/>
          <w:szCs w:val="24"/>
          <w:color w:val="auto"/>
        </w:rPr>
      </w:pPr>
    </w:p>
    <w:p>
      <w:pPr>
        <w:ind w:left="820" w:hanging="488"/>
        <w:spacing w:after="0"/>
        <w:tabs>
          <w:tab w:leader="none" w:pos="8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20"/>
          </w:cols>
          <w:pgMar w:left="320" w:top="229" w:right="359" w:bottom="1440" w:gutter="0" w:footer="0" w:header="0"/>
        </w:sectPr>
      </w:pPr>
    </w:p>
    <w:p>
      <w:pPr>
        <w:spacing w:after="0" w:line="4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66" w:lineRule="exact"/>
        <w:rPr>
          <w:sz w:val="24"/>
          <w:szCs w:val="24"/>
          <w:color w:val="auto"/>
        </w:rPr>
      </w:pPr>
    </w:p>
    <w:p>
      <w:pPr>
        <w:sectPr>
          <w:pgSz w:w="11900" w:h="16838" w:orient="portrait"/>
          <w:cols w:equalWidth="0" w:num="2">
            <w:col w:w="6060" w:space="560"/>
            <w:col w:w="4600"/>
          </w:cols>
          <w:pgMar w:left="320" w:top="229" w:right="35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116205</wp:posOffset>
            </wp:positionV>
            <wp:extent cx="3068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p>
      <w:pPr>
        <w:spacing w:after="0" w:line="253" w:lineRule="exact"/>
        <w:rPr>
          <w:sz w:val="24"/>
          <w:szCs w:val="24"/>
          <w:color w:val="auto"/>
        </w:rPr>
      </w:pPr>
    </w:p>
    <w:tbl>
      <w:tblPr>
        <w:tblLayout w:type="fixed"/>
        <w:tblInd w:w="10" w:type="dxa"/>
        <w:tblCellMar>
          <w:top w:w="0" w:type="dxa"/>
          <w:left w:w="0" w:type="dxa"/>
          <w:bottom w:w="0" w:type="dxa"/>
          <w:right w:w="0" w:type="dxa"/>
        </w:tblCellMar>
      </w:tblPr>
      <w:tr>
        <w:trPr>
          <w:trHeight w:val="362"/>
        </w:trPr>
        <w:tc>
          <w:tcPr>
            <w:tcW w:w="3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2"/>
          </w:tcPr>
          <w:p>
            <w:pPr>
              <w:jc w:val="center"/>
              <w:ind w:right="400"/>
              <w:spacing w:after="0"/>
              <w:rPr>
                <w:sz w:val="20"/>
                <w:szCs w:val="20"/>
                <w:color w:val="auto"/>
              </w:rPr>
            </w:pPr>
            <w:r>
              <w:rPr>
                <w:rFonts w:ascii="Times New Roman" w:cs="Times New Roman" w:eastAsia="Times New Roman" w:hAnsi="Times New Roman"/>
                <w:sz w:val="29"/>
                <w:szCs w:val="29"/>
                <w:b w:val="1"/>
                <w:bCs w:val="1"/>
                <w:color w:val="auto"/>
                <w:w w:val="97"/>
              </w:rPr>
              <w:t>ESSENT GROUP LTD.</w:t>
            </w:r>
          </w:p>
        </w:tc>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10"/>
        </w:trPr>
        <w:tc>
          <w:tcPr>
            <w:tcW w:w="3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56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168"/>
        </w:trPr>
        <w:tc>
          <w:tcPr>
            <w:tcW w:w="3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180" w:type="dxa"/>
            <w:vAlign w:val="bottom"/>
          </w:tcPr>
          <w:p>
            <w:pPr>
              <w:spacing w:after="0"/>
              <w:rPr>
                <w:sz w:val="14"/>
                <w:szCs w:val="14"/>
                <w:color w:val="auto"/>
              </w:rPr>
            </w:pPr>
          </w:p>
        </w:tc>
      </w:tr>
      <w:tr>
        <w:trPr>
          <w:trHeight w:val="312"/>
        </w:trPr>
        <w:tc>
          <w:tcPr>
            <w:tcW w:w="3780" w:type="dxa"/>
            <w:vAlign w:val="bottom"/>
            <w:gridSpan w:val="2"/>
          </w:tcPr>
          <w:p>
            <w:pPr>
              <w:jc w:val="center"/>
              <w:ind w:left="1536"/>
              <w:spacing w:after="0"/>
              <w:rPr>
                <w:sz w:val="20"/>
                <w:szCs w:val="20"/>
                <w:color w:val="auto"/>
              </w:rPr>
            </w:pPr>
            <w:r>
              <w:rPr>
                <w:rFonts w:ascii="Times New Roman" w:cs="Times New Roman" w:eastAsia="Times New Roman" w:hAnsi="Times New Roman"/>
                <w:sz w:val="16"/>
                <w:szCs w:val="16"/>
                <w:b w:val="1"/>
                <w:bCs w:val="1"/>
                <w:color w:val="auto"/>
                <w:w w:val="99"/>
              </w:rPr>
              <w:t>Bermuda</w:t>
            </w:r>
          </w:p>
        </w:tc>
        <w:tc>
          <w:tcPr>
            <w:tcW w:w="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40" w:type="dxa"/>
            <w:vAlign w:val="bottom"/>
            <w:gridSpan w:val="2"/>
          </w:tcPr>
          <w:p>
            <w:pPr>
              <w:jc w:val="center"/>
              <w:ind w:right="1610"/>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68"/>
        </w:trPr>
        <w:tc>
          <w:tcPr>
            <w:tcW w:w="3780" w:type="dxa"/>
            <w:vAlign w:val="bottom"/>
            <w:gridSpan w:val="2"/>
          </w:tcPr>
          <w:p>
            <w:pPr>
              <w:jc w:val="center"/>
              <w:ind w:left="1536"/>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40" w:type="dxa"/>
            <w:vAlign w:val="bottom"/>
            <w:gridSpan w:val="2"/>
          </w:tcPr>
          <w:p>
            <w:pPr>
              <w:jc w:val="center"/>
              <w:ind w:right="1610"/>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780" w:type="dxa"/>
            <w:vAlign w:val="bottom"/>
            <w:gridSpan w:val="2"/>
          </w:tcPr>
          <w:p>
            <w:pPr>
              <w:jc w:val="center"/>
              <w:ind w:left="1516"/>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40" w:type="dxa"/>
            <w:vAlign w:val="bottom"/>
            <w:gridSpan w:val="2"/>
          </w:tcPr>
          <w:p>
            <w:pPr>
              <w:jc w:val="center"/>
              <w:ind w:right="1610"/>
              <w:spacing w:after="0"/>
              <w:rPr>
                <w:sz w:val="20"/>
                <w:szCs w:val="20"/>
                <w:color w:val="auto"/>
              </w:rPr>
            </w:pPr>
            <w:r>
              <w:rPr>
                <w:rFonts w:ascii="Times New Roman" w:cs="Times New Roman" w:eastAsia="Times New Roman" w:hAnsi="Times New Roman"/>
                <w:sz w:val="16"/>
                <w:szCs w:val="16"/>
                <w:color w:val="auto"/>
                <w:w w:val="99"/>
              </w:rPr>
              <w:t>Identification Number)</w:t>
            </w:r>
          </w:p>
        </w:tc>
      </w:tr>
      <w:tr>
        <w:trPr>
          <w:trHeight w:val="273"/>
        </w:trPr>
        <w:tc>
          <w:tcPr>
            <w:tcW w:w="3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3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Clarendon House</w:t>
            </w:r>
          </w:p>
        </w:tc>
        <w:tc>
          <w:tcPr>
            <w:tcW w:w="560" w:type="dxa"/>
            <w:vAlign w:val="bottom"/>
          </w:tcPr>
          <w:p>
            <w:pPr>
              <w:spacing w:after="0"/>
              <w:rPr>
                <w:sz w:val="23"/>
                <w:szCs w:val="23"/>
                <w:color w:val="auto"/>
              </w:rPr>
            </w:pPr>
          </w:p>
        </w:tc>
        <w:tc>
          <w:tcPr>
            <w:tcW w:w="3180" w:type="dxa"/>
            <w:vAlign w:val="bottom"/>
          </w:tcPr>
          <w:p>
            <w:pPr>
              <w:spacing w:after="0"/>
              <w:rPr>
                <w:sz w:val="23"/>
                <w:szCs w:val="23"/>
                <w:color w:val="auto"/>
              </w:rPr>
            </w:pPr>
          </w:p>
        </w:tc>
      </w:tr>
      <w:tr>
        <w:trPr>
          <w:trHeight w:val="189"/>
        </w:trPr>
        <w:tc>
          <w:tcPr>
            <w:tcW w:w="3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2 Church Street</w:t>
            </w:r>
          </w:p>
        </w:tc>
        <w:tc>
          <w:tcPr>
            <w:tcW w:w="56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191"/>
        </w:trPr>
        <w:tc>
          <w:tcPr>
            <w:tcW w:w="3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Hamilton HM11, Bermuda</w:t>
            </w:r>
          </w:p>
        </w:tc>
        <w:tc>
          <w:tcPr>
            <w:tcW w:w="56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187"/>
        </w:trPr>
        <w:tc>
          <w:tcPr>
            <w:tcW w:w="3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tc>
        <w:tc>
          <w:tcPr>
            <w:tcW w:w="56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191"/>
        </w:trPr>
        <w:tc>
          <w:tcPr>
            <w:tcW w:w="3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8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(441) 297-9901</w:t>
            </w: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210"/>
        </w:trPr>
        <w:tc>
          <w:tcPr>
            <w:tcW w:w="3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56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452"/>
        </w:trPr>
        <w:tc>
          <w:tcPr>
            <w:tcW w:w="74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121"/>
        </w:trPr>
        <w:tc>
          <w:tcPr>
            <w:tcW w:w="3780" w:type="dxa"/>
            <w:vAlign w:val="bottom"/>
            <w:tcBorders>
              <w:bottom w:val="single" w:sz="8" w:color="auto"/>
            </w:tcBorders>
            <w:gridSpan w:val="2"/>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gridSpan w:val="2"/>
          </w:tcPr>
          <w:p>
            <w:pPr>
              <w:spacing w:after="0"/>
              <w:rPr>
                <w:sz w:val="10"/>
                <w:szCs w:val="10"/>
                <w:color w:val="auto"/>
              </w:rPr>
            </w:pPr>
          </w:p>
        </w:tc>
      </w:tr>
      <w:tr>
        <w:trPr>
          <w:trHeight w:val="208"/>
        </w:trPr>
        <w:tc>
          <w:tcPr>
            <w:tcW w:w="3780" w:type="dxa"/>
            <w:vAlign w:val="bottom"/>
            <w:tcBorders>
              <w:left w:val="single" w:sz="8" w:color="auto"/>
              <w:bottom w:val="single" w:sz="8" w:color="auto"/>
            </w:tcBorders>
            <w:gridSpan w:val="2"/>
          </w:tcPr>
          <w:p>
            <w:pPr>
              <w:jc w:val="center"/>
              <w:ind w:left="316"/>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0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20" w:type="dxa"/>
            <w:vAlign w:val="bottom"/>
            <w:tcBorders>
              <w:bottom w:val="single" w:sz="8" w:color="auto"/>
            </w:tcBorders>
          </w:tcPr>
          <w:p>
            <w:pPr>
              <w:spacing w:after="0"/>
              <w:rPr>
                <w:sz w:val="18"/>
                <w:szCs w:val="18"/>
                <w:color w:val="auto"/>
              </w:rPr>
            </w:pPr>
          </w:p>
        </w:tc>
        <w:tc>
          <w:tcPr>
            <w:tcW w:w="3740" w:type="dxa"/>
            <w:vAlign w:val="bottom"/>
            <w:tcBorders>
              <w:bottom w:val="single" w:sz="8" w:color="auto"/>
              <w:right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5"/>
        </w:trPr>
        <w:tc>
          <w:tcPr>
            <w:tcW w:w="3780" w:type="dxa"/>
            <w:vAlign w:val="bottom"/>
            <w:tcBorders>
              <w:left w:val="single" w:sz="8" w:color="auto"/>
              <w:bottom w:val="single" w:sz="8" w:color="auto"/>
            </w:tcBorders>
            <w:gridSpan w:val="2"/>
          </w:tcPr>
          <w:p>
            <w:pPr>
              <w:jc w:val="center"/>
              <w:ind w:left="316"/>
              <w:spacing w:after="0"/>
              <w:rPr>
                <w:sz w:val="20"/>
                <w:szCs w:val="20"/>
                <w:color w:val="auto"/>
              </w:rPr>
            </w:pPr>
            <w:r>
              <w:rPr>
                <w:rFonts w:ascii="Times New Roman" w:cs="Times New Roman" w:eastAsia="Times New Roman" w:hAnsi="Times New Roman"/>
                <w:sz w:val="18"/>
                <w:szCs w:val="18"/>
                <w:color w:val="auto"/>
              </w:rPr>
              <w:t>Common Shares, $0.015 par value</w:t>
            </w:r>
          </w:p>
        </w:tc>
        <w:tc>
          <w:tcPr>
            <w:tcW w:w="400" w:type="dxa"/>
            <w:vAlign w:val="bottom"/>
            <w:tcBorders>
              <w:bottom w:val="single" w:sz="8" w:color="auto"/>
              <w:right w:val="single" w:sz="8" w:color="auto"/>
            </w:tcBorders>
          </w:tcPr>
          <w:p>
            <w:pPr>
              <w:spacing w:after="0"/>
              <w:rPr>
                <w:sz w:val="19"/>
                <w:szCs w:val="19"/>
                <w:color w:val="auto"/>
              </w:rPr>
            </w:pPr>
          </w:p>
        </w:tc>
        <w:tc>
          <w:tcPr>
            <w:tcW w:w="2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ESNT</w:t>
            </w:r>
          </w:p>
        </w:tc>
        <w:tc>
          <w:tcPr>
            <w:tcW w:w="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06" w:lineRule="exact"/>
        <w:rPr>
          <w:sz w:val="24"/>
          <w:szCs w:val="24"/>
          <w:color w:val="auto"/>
        </w:rPr>
      </w:pPr>
    </w:p>
    <w:p>
      <w:pPr>
        <w:jc w:val="both"/>
        <w:ind w:right="40" w:firstLine="567"/>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w:t>
      </w:r>
    </w:p>
    <w:p>
      <w:pPr>
        <w:spacing w:after="0" w:line="27" w:lineRule="exact"/>
        <w:rPr>
          <w:sz w:val="24"/>
          <w:szCs w:val="24"/>
          <w:color w:val="auto"/>
        </w:rPr>
      </w:pPr>
    </w:p>
    <w:p>
      <w:pPr>
        <w:jc w:val="both"/>
        <w:ind w:right="20"/>
        <w:spacing w:after="0" w:line="226" w:lineRule="exact"/>
        <w:rPr>
          <w:sz w:val="20"/>
          <w:szCs w:val="20"/>
          <w:color w:val="auto"/>
        </w:rPr>
      </w:pPr>
      <w:r>
        <w:rPr>
          <w:rFonts w:ascii="Times New Roman" w:cs="Times New Roman" w:eastAsia="Times New Roman" w:hAnsi="Times New Roman"/>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3" w:lineRule="exact"/>
        <w:rPr>
          <w:sz w:val="24"/>
          <w:szCs w:val="24"/>
          <w:color w:val="auto"/>
        </w:rPr>
      </w:pPr>
    </w:p>
    <w:p>
      <w:pPr>
        <w:jc w:val="both"/>
        <w:ind w:right="140" w:firstLine="56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2440" w:type="dxa"/>
        <w:tblCellMar>
          <w:top w:w="0" w:type="dxa"/>
          <w:left w:w="0" w:type="dxa"/>
          <w:bottom w:w="0" w:type="dxa"/>
          <w:right w:w="0" w:type="dxa"/>
        </w:tblCellMar>
      </w:tblP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6" w:lineRule="exact"/>
        <w:rPr>
          <w:sz w:val="24"/>
          <w:szCs w:val="24"/>
          <w:color w:val="auto"/>
        </w:rPr>
      </w:pPr>
    </w:p>
    <w:p>
      <w:pPr>
        <w:ind w:right="220" w:firstLine="567"/>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580" w:right="1400"/>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the registrant’s common shares outstanding as of November 2, 2020 was 112,423,304.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82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769"/>
        </w:trPr>
        <w:tc>
          <w:tcPr>
            <w:tcW w:w="1420" w:type="dxa"/>
            <w:vAlign w:val="bottom"/>
          </w:tcPr>
          <w:p>
            <w:pPr>
              <w:spacing w:after="0"/>
              <w:rPr>
                <w:sz w:val="24"/>
                <w:szCs w:val="24"/>
                <w:color w:val="auto"/>
              </w:rPr>
            </w:pPr>
          </w:p>
        </w:tc>
        <w:tc>
          <w:tcPr>
            <w:tcW w:w="82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Essent Group Ltd. and Subsidiaries</w:t>
            </w:r>
          </w:p>
        </w:tc>
        <w:tc>
          <w:tcPr>
            <w:tcW w:w="1500" w:type="dxa"/>
            <w:vAlign w:val="bottom"/>
          </w:tcPr>
          <w:p>
            <w:pPr>
              <w:spacing w:after="0"/>
              <w:rPr>
                <w:sz w:val="24"/>
                <w:szCs w:val="24"/>
                <w:color w:val="auto"/>
              </w:rPr>
            </w:pPr>
          </w:p>
        </w:tc>
      </w:tr>
      <w:tr>
        <w:trPr>
          <w:trHeight w:val="432"/>
        </w:trPr>
        <w:tc>
          <w:tcPr>
            <w:tcW w:w="1420" w:type="dxa"/>
            <w:vAlign w:val="bottom"/>
          </w:tcPr>
          <w:p>
            <w:pPr>
              <w:spacing w:after="0"/>
              <w:rPr>
                <w:sz w:val="24"/>
                <w:szCs w:val="24"/>
                <w:color w:val="auto"/>
              </w:rPr>
            </w:pPr>
          </w:p>
        </w:tc>
        <w:tc>
          <w:tcPr>
            <w:tcW w:w="82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500" w:type="dxa"/>
            <w:vAlign w:val="bottom"/>
          </w:tcPr>
          <w:p>
            <w:pPr>
              <w:spacing w:after="0"/>
              <w:rPr>
                <w:sz w:val="24"/>
                <w:szCs w:val="24"/>
                <w:color w:val="auto"/>
              </w:rPr>
            </w:pPr>
          </w:p>
        </w:tc>
      </w:tr>
      <w:tr>
        <w:trPr>
          <w:trHeight w:val="432"/>
        </w:trPr>
        <w:tc>
          <w:tcPr>
            <w:tcW w:w="1420" w:type="dxa"/>
            <w:vAlign w:val="bottom"/>
          </w:tcPr>
          <w:p>
            <w:pPr>
              <w:spacing w:after="0"/>
              <w:rPr>
                <w:sz w:val="24"/>
                <w:szCs w:val="24"/>
                <w:color w:val="auto"/>
              </w:rPr>
            </w:pPr>
          </w:p>
        </w:tc>
        <w:tc>
          <w:tcPr>
            <w:tcW w:w="82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500" w:type="dxa"/>
            <w:vAlign w:val="bottom"/>
          </w:tcPr>
          <w:p>
            <w:pPr>
              <w:spacing w:after="0"/>
              <w:rPr>
                <w:sz w:val="24"/>
                <w:szCs w:val="24"/>
                <w:color w:val="auto"/>
              </w:rPr>
            </w:pPr>
          </w:p>
        </w:tc>
      </w:tr>
      <w:tr>
        <w:trPr>
          <w:trHeight w:val="567"/>
        </w:trPr>
        <w:tc>
          <w:tcPr>
            <w:tcW w:w="142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4">
              <w:r>
                <w:rPr>
                  <w:rFonts w:ascii="Times New Roman" w:cs="Times New Roman" w:eastAsia="Times New Roman" w:hAnsi="Times New Roman"/>
                  <w:sz w:val="18"/>
                  <w:szCs w:val="18"/>
                  <w:b w:val="1"/>
                  <w:bCs w:val="1"/>
                  <w:u w:val="single" w:color="auto"/>
                  <w:color w:val="0000FF"/>
                </w:rPr>
                <w:t>PART I.</w:t>
              </w:r>
            </w:hyperlink>
          </w:p>
        </w:tc>
        <w:tc>
          <w:tcPr>
            <w:tcW w:w="8260" w:type="dxa"/>
            <w:vAlign w:val="bottom"/>
          </w:tcPr>
          <w:p>
            <w:pPr>
              <w:ind w:left="120"/>
              <w:spacing w:after="0"/>
              <w:rPr>
                <w:rFonts w:ascii="Times New Roman" w:cs="Times New Roman" w:eastAsia="Times New Roman" w:hAnsi="Times New Roman"/>
                <w:sz w:val="18"/>
                <w:szCs w:val="18"/>
                <w:b w:val="1"/>
                <w:bCs w:val="1"/>
                <w:u w:val="single" w:color="auto"/>
                <w:color w:val="0000FF"/>
              </w:rPr>
            </w:pPr>
            <w:hyperlink w:anchor="page5">
              <w:r>
                <w:rPr>
                  <w:rFonts w:ascii="Times New Roman" w:cs="Times New Roman" w:eastAsia="Times New Roman" w:hAnsi="Times New Roman"/>
                  <w:sz w:val="18"/>
                  <w:szCs w:val="18"/>
                  <w:b w:val="1"/>
                  <w:bCs w:val="1"/>
                  <w:u w:val="single" w:color="auto"/>
                  <w:color w:val="0000FF"/>
                </w:rPr>
                <w:t>FINANCIAL INFORMATION</w:t>
              </w:r>
            </w:hyperlink>
          </w:p>
        </w:tc>
        <w:tc>
          <w:tcPr>
            <w:tcW w:w="150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1</w:t>
              </w:r>
            </w:hyperlink>
          </w:p>
        </w:tc>
      </w:tr>
      <w:tr>
        <w:trPr>
          <w:trHeight w:val="459"/>
        </w:trPr>
        <w:tc>
          <w:tcPr>
            <w:tcW w:w="142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5">
              <w:r>
                <w:rPr>
                  <w:rFonts w:ascii="Times New Roman" w:cs="Times New Roman" w:eastAsia="Times New Roman" w:hAnsi="Times New Roman"/>
                  <w:sz w:val="18"/>
                  <w:szCs w:val="18"/>
                  <w:b w:val="1"/>
                  <w:bCs w:val="1"/>
                  <w:u w:val="single" w:color="auto"/>
                  <w:color w:val="0000FF"/>
                </w:rPr>
                <w:t>Item 1.</w:t>
              </w:r>
            </w:hyperlink>
          </w:p>
        </w:tc>
        <w:tc>
          <w:tcPr>
            <w:tcW w:w="8260" w:type="dxa"/>
            <w:vAlign w:val="bottom"/>
          </w:tcPr>
          <w:p>
            <w:pPr>
              <w:ind w:left="120"/>
              <w:spacing w:after="0"/>
              <w:rPr>
                <w:rFonts w:ascii="Times New Roman" w:cs="Times New Roman" w:eastAsia="Times New Roman" w:hAnsi="Times New Roman"/>
                <w:sz w:val="18"/>
                <w:szCs w:val="18"/>
                <w:b w:val="1"/>
                <w:bCs w:val="1"/>
                <w:u w:val="single" w:color="auto"/>
                <w:color w:val="0000FF"/>
              </w:rPr>
            </w:pPr>
            <w:hyperlink w:anchor="page5">
              <w:r>
                <w:rPr>
                  <w:rFonts w:ascii="Times New Roman" w:cs="Times New Roman" w:eastAsia="Times New Roman" w:hAnsi="Times New Roman"/>
                  <w:sz w:val="18"/>
                  <w:szCs w:val="18"/>
                  <w:b w:val="1"/>
                  <w:bCs w:val="1"/>
                  <w:u w:val="single" w:color="auto"/>
                  <w:color w:val="0000FF"/>
                </w:rPr>
                <w:t>Financial Statements (Unaudited)</w:t>
              </w:r>
            </w:hyperlink>
          </w:p>
        </w:tc>
        <w:tc>
          <w:tcPr>
            <w:tcW w:w="150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1</w:t>
              </w:r>
            </w:hyperlink>
          </w:p>
        </w:tc>
      </w:tr>
      <w:tr>
        <w:trPr>
          <w:trHeight w:val="459"/>
        </w:trPr>
        <w:tc>
          <w:tcPr>
            <w:tcW w:w="1420" w:type="dxa"/>
            <w:vAlign w:val="bottom"/>
          </w:tcPr>
          <w:p>
            <w:pPr>
              <w:spacing w:after="0"/>
              <w:rPr>
                <w:sz w:val="24"/>
                <w:szCs w:val="24"/>
                <w:color w:val="auto"/>
              </w:rPr>
            </w:pPr>
          </w:p>
        </w:tc>
        <w:tc>
          <w:tcPr>
            <w:tcW w:w="8260" w:type="dxa"/>
            <w:vAlign w:val="bottom"/>
          </w:tcPr>
          <w:p>
            <w:pPr>
              <w:ind w:left="120"/>
              <w:spacing w:after="0"/>
              <w:rPr>
                <w:rFonts w:ascii="Times New Roman" w:cs="Times New Roman" w:eastAsia="Times New Roman" w:hAnsi="Times New Roman"/>
                <w:sz w:val="18"/>
                <w:szCs w:val="18"/>
                <w:b w:val="1"/>
                <w:bCs w:val="1"/>
                <w:u w:val="single" w:color="auto"/>
                <w:color w:val="0000FF"/>
              </w:rPr>
            </w:pPr>
            <w:hyperlink w:anchor="page5">
              <w:r>
                <w:rPr>
                  <w:rFonts w:ascii="Times New Roman" w:cs="Times New Roman" w:eastAsia="Times New Roman" w:hAnsi="Times New Roman"/>
                  <w:sz w:val="18"/>
                  <w:szCs w:val="18"/>
                  <w:b w:val="1"/>
                  <w:bCs w:val="1"/>
                  <w:u w:val="single" w:color="auto"/>
                  <w:color w:val="0000FF"/>
                </w:rPr>
                <w:t>Condensed Consolidated Balance Sheets (Unaudited)</w:t>
              </w:r>
            </w:hyperlink>
          </w:p>
        </w:tc>
        <w:tc>
          <w:tcPr>
            <w:tcW w:w="150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1</w:t>
              </w:r>
            </w:hyperlink>
          </w:p>
        </w:tc>
      </w:tr>
      <w:tr>
        <w:trPr>
          <w:trHeight w:val="459"/>
        </w:trPr>
        <w:tc>
          <w:tcPr>
            <w:tcW w:w="1420" w:type="dxa"/>
            <w:vAlign w:val="bottom"/>
          </w:tcPr>
          <w:p>
            <w:pPr>
              <w:spacing w:after="0"/>
              <w:rPr>
                <w:sz w:val="24"/>
                <w:szCs w:val="24"/>
                <w:color w:val="auto"/>
              </w:rPr>
            </w:pPr>
          </w:p>
        </w:tc>
        <w:tc>
          <w:tcPr>
            <w:tcW w:w="8260" w:type="dxa"/>
            <w:vAlign w:val="bottom"/>
          </w:tcPr>
          <w:p>
            <w:pPr>
              <w:ind w:left="120"/>
              <w:spacing w:after="0"/>
              <w:rPr>
                <w:rFonts w:ascii="Times New Roman" w:cs="Times New Roman" w:eastAsia="Times New Roman" w:hAnsi="Times New Roman"/>
                <w:sz w:val="18"/>
                <w:szCs w:val="18"/>
                <w:b w:val="1"/>
                <w:bCs w:val="1"/>
                <w:u w:val="single" w:color="auto"/>
                <w:color w:val="0000FF"/>
              </w:rPr>
            </w:pPr>
            <w:hyperlink w:anchor="page5">
              <w:r>
                <w:rPr>
                  <w:rFonts w:ascii="Times New Roman" w:cs="Times New Roman" w:eastAsia="Times New Roman" w:hAnsi="Times New Roman"/>
                  <w:sz w:val="18"/>
                  <w:szCs w:val="18"/>
                  <w:b w:val="1"/>
                  <w:bCs w:val="1"/>
                  <w:u w:val="single" w:color="auto"/>
                  <w:color w:val="0000FF"/>
                </w:rPr>
                <w:t>Condensed Consolidated Statements of Comprehensive Income (Unaudited)</w:t>
              </w:r>
            </w:hyperlink>
          </w:p>
        </w:tc>
        <w:tc>
          <w:tcPr>
            <w:tcW w:w="150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2</w:t>
              </w:r>
            </w:hyperlink>
          </w:p>
        </w:tc>
      </w:tr>
      <w:tr>
        <w:trPr>
          <w:trHeight w:val="459"/>
        </w:trPr>
        <w:tc>
          <w:tcPr>
            <w:tcW w:w="1420" w:type="dxa"/>
            <w:vAlign w:val="bottom"/>
          </w:tcPr>
          <w:p>
            <w:pPr>
              <w:spacing w:after="0"/>
              <w:rPr>
                <w:sz w:val="24"/>
                <w:szCs w:val="24"/>
                <w:color w:val="auto"/>
              </w:rPr>
            </w:pPr>
          </w:p>
        </w:tc>
        <w:tc>
          <w:tcPr>
            <w:tcW w:w="8260" w:type="dxa"/>
            <w:vAlign w:val="bottom"/>
          </w:tcPr>
          <w:p>
            <w:pPr>
              <w:ind w:left="120"/>
              <w:spacing w:after="0"/>
              <w:rPr>
                <w:rFonts w:ascii="Times New Roman" w:cs="Times New Roman" w:eastAsia="Times New Roman" w:hAnsi="Times New Roman"/>
                <w:sz w:val="18"/>
                <w:szCs w:val="18"/>
                <w:b w:val="1"/>
                <w:bCs w:val="1"/>
                <w:u w:val="single" w:color="auto"/>
                <w:color w:val="0000FF"/>
              </w:rPr>
            </w:pPr>
            <w:hyperlink w:anchor="page6">
              <w:r>
                <w:rPr>
                  <w:rFonts w:ascii="Times New Roman" w:cs="Times New Roman" w:eastAsia="Times New Roman" w:hAnsi="Times New Roman"/>
                  <w:sz w:val="18"/>
                  <w:szCs w:val="18"/>
                  <w:b w:val="1"/>
                  <w:bCs w:val="1"/>
                  <w:u w:val="single" w:color="auto"/>
                  <w:color w:val="0000FF"/>
                </w:rPr>
                <w:t>Condensed Consolidated Statements of Changes in Stockholders’ Equity (Unaudited)</w:t>
              </w:r>
            </w:hyperlink>
          </w:p>
        </w:tc>
        <w:tc>
          <w:tcPr>
            <w:tcW w:w="150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3</w:t>
              </w:r>
            </w:hyperlink>
          </w:p>
        </w:tc>
      </w:tr>
      <w:tr>
        <w:trPr>
          <w:trHeight w:val="459"/>
        </w:trPr>
        <w:tc>
          <w:tcPr>
            <w:tcW w:w="1420" w:type="dxa"/>
            <w:vAlign w:val="bottom"/>
          </w:tcPr>
          <w:p>
            <w:pPr>
              <w:spacing w:after="0"/>
              <w:rPr>
                <w:sz w:val="24"/>
                <w:szCs w:val="24"/>
                <w:color w:val="auto"/>
              </w:rPr>
            </w:pPr>
          </w:p>
        </w:tc>
        <w:tc>
          <w:tcPr>
            <w:tcW w:w="8260" w:type="dxa"/>
            <w:vAlign w:val="bottom"/>
          </w:tcPr>
          <w:p>
            <w:pPr>
              <w:ind w:left="120"/>
              <w:spacing w:after="0"/>
              <w:rPr>
                <w:rFonts w:ascii="Times New Roman" w:cs="Times New Roman" w:eastAsia="Times New Roman" w:hAnsi="Times New Roman"/>
                <w:sz w:val="18"/>
                <w:szCs w:val="18"/>
                <w:b w:val="1"/>
                <w:bCs w:val="1"/>
                <w:u w:val="single" w:color="auto"/>
                <w:color w:val="0000FF"/>
              </w:rPr>
            </w:pPr>
            <w:hyperlink w:anchor="page7">
              <w:r>
                <w:rPr>
                  <w:rFonts w:ascii="Times New Roman" w:cs="Times New Roman" w:eastAsia="Times New Roman" w:hAnsi="Times New Roman"/>
                  <w:sz w:val="18"/>
                  <w:szCs w:val="18"/>
                  <w:b w:val="1"/>
                  <w:bCs w:val="1"/>
                  <w:u w:val="single" w:color="auto"/>
                  <w:color w:val="0000FF"/>
                </w:rPr>
                <w:t>Condensed Consolidated Statements of Cash Flows (Unaudited)</w:t>
              </w:r>
            </w:hyperlink>
          </w:p>
        </w:tc>
        <w:tc>
          <w:tcPr>
            <w:tcW w:w="1500" w:type="dxa"/>
            <w:vAlign w:val="bottom"/>
          </w:tcPr>
          <w:p>
            <w:pPr>
              <w:jc w:val="right"/>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4</w:t>
              </w:r>
            </w:hyperlink>
          </w:p>
        </w:tc>
      </w:tr>
      <w:tr>
        <w:trPr>
          <w:trHeight w:val="459"/>
        </w:trPr>
        <w:tc>
          <w:tcPr>
            <w:tcW w:w="1420" w:type="dxa"/>
            <w:vAlign w:val="bottom"/>
          </w:tcPr>
          <w:p>
            <w:pPr>
              <w:spacing w:after="0"/>
              <w:rPr>
                <w:sz w:val="24"/>
                <w:szCs w:val="24"/>
                <w:color w:val="auto"/>
              </w:rPr>
            </w:pPr>
          </w:p>
        </w:tc>
        <w:tc>
          <w:tcPr>
            <w:tcW w:w="8260" w:type="dxa"/>
            <w:vAlign w:val="bottom"/>
          </w:tcPr>
          <w:p>
            <w:pPr>
              <w:ind w:left="120"/>
              <w:spacing w:after="0"/>
              <w:rPr>
                <w:rFonts w:ascii="Times New Roman" w:cs="Times New Roman" w:eastAsia="Times New Roman" w:hAnsi="Times New Roman"/>
                <w:sz w:val="18"/>
                <w:szCs w:val="18"/>
                <w:b w:val="1"/>
                <w:bCs w:val="1"/>
                <w:u w:val="single" w:color="auto"/>
                <w:color w:val="0000FF"/>
              </w:rPr>
            </w:pPr>
            <w:hyperlink w:anchor="page8">
              <w:r>
                <w:rPr>
                  <w:rFonts w:ascii="Times New Roman" w:cs="Times New Roman" w:eastAsia="Times New Roman" w:hAnsi="Times New Roman"/>
                  <w:sz w:val="18"/>
                  <w:szCs w:val="18"/>
                  <w:b w:val="1"/>
                  <w:bCs w:val="1"/>
                  <w:u w:val="single" w:color="auto"/>
                  <w:color w:val="0000FF"/>
                </w:rPr>
                <w:t>Notes to Condensed Consolidated Financial Statements (Unaudited)</w:t>
              </w:r>
            </w:hyperlink>
          </w:p>
        </w:tc>
        <w:tc>
          <w:tcPr>
            <w:tcW w:w="1500" w:type="dxa"/>
            <w:vAlign w:val="bottom"/>
          </w:tcPr>
          <w:p>
            <w:pPr>
              <w:jc w:val="right"/>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5</w:t>
              </w:r>
            </w:hyperlink>
          </w:p>
        </w:tc>
      </w:tr>
      <w:tr>
        <w:trPr>
          <w:trHeight w:val="459"/>
        </w:trPr>
        <w:tc>
          <w:tcPr>
            <w:tcW w:w="142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29">
              <w:r>
                <w:rPr>
                  <w:rFonts w:ascii="Times New Roman" w:cs="Times New Roman" w:eastAsia="Times New Roman" w:hAnsi="Times New Roman"/>
                  <w:sz w:val="18"/>
                  <w:szCs w:val="18"/>
                  <w:b w:val="1"/>
                  <w:bCs w:val="1"/>
                  <w:u w:val="single" w:color="auto"/>
                  <w:color w:val="0000FF"/>
                </w:rPr>
                <w:t>Item 2.</w:t>
              </w:r>
            </w:hyperlink>
          </w:p>
        </w:tc>
        <w:tc>
          <w:tcPr>
            <w:tcW w:w="8260" w:type="dxa"/>
            <w:vAlign w:val="bottom"/>
          </w:tcPr>
          <w:p>
            <w:pPr>
              <w:ind w:left="120"/>
              <w:spacing w:after="0"/>
              <w:rPr>
                <w:rFonts w:ascii="Times New Roman" w:cs="Times New Roman" w:eastAsia="Times New Roman" w:hAnsi="Times New Roman"/>
                <w:sz w:val="18"/>
                <w:szCs w:val="18"/>
                <w:b w:val="1"/>
                <w:bCs w:val="1"/>
                <w:u w:val="single" w:color="auto"/>
                <w:color w:val="0000FF"/>
              </w:rPr>
            </w:pPr>
            <w:hyperlink w:anchor="page29">
              <w:r>
                <w:rPr>
                  <w:rFonts w:ascii="Times New Roman" w:cs="Times New Roman" w:eastAsia="Times New Roman" w:hAnsi="Times New Roman"/>
                  <w:sz w:val="18"/>
                  <w:szCs w:val="18"/>
                  <w:b w:val="1"/>
                  <w:bCs w:val="1"/>
                  <w:u w:val="single" w:color="auto"/>
                  <w:color w:val="0000FF"/>
                </w:rPr>
                <w:t>Management’s Discussion and Analysis of Financial Condition and Results of Operations</w:t>
              </w:r>
            </w:hyperlink>
          </w:p>
        </w:tc>
        <w:tc>
          <w:tcPr>
            <w:tcW w:w="1500" w:type="dxa"/>
            <w:vAlign w:val="bottom"/>
          </w:tcPr>
          <w:p>
            <w:pPr>
              <w:jc w:val="right"/>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26</w:t>
              </w:r>
            </w:hyperlink>
          </w:p>
        </w:tc>
      </w:tr>
      <w:tr>
        <w:trPr>
          <w:trHeight w:val="459"/>
        </w:trPr>
        <w:tc>
          <w:tcPr>
            <w:tcW w:w="142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51">
              <w:r>
                <w:rPr>
                  <w:rFonts w:ascii="Times New Roman" w:cs="Times New Roman" w:eastAsia="Times New Roman" w:hAnsi="Times New Roman"/>
                  <w:sz w:val="18"/>
                  <w:szCs w:val="18"/>
                  <w:b w:val="1"/>
                  <w:bCs w:val="1"/>
                  <w:u w:val="single" w:color="auto"/>
                  <w:color w:val="0000FF"/>
                </w:rPr>
                <w:t>Item 3.</w:t>
              </w:r>
            </w:hyperlink>
          </w:p>
        </w:tc>
        <w:tc>
          <w:tcPr>
            <w:tcW w:w="8260" w:type="dxa"/>
            <w:vAlign w:val="bottom"/>
          </w:tcPr>
          <w:p>
            <w:pPr>
              <w:ind w:left="120"/>
              <w:spacing w:after="0"/>
              <w:rPr>
                <w:rFonts w:ascii="Times New Roman" w:cs="Times New Roman" w:eastAsia="Times New Roman" w:hAnsi="Times New Roman"/>
                <w:sz w:val="18"/>
                <w:szCs w:val="18"/>
                <w:b w:val="1"/>
                <w:bCs w:val="1"/>
                <w:u w:val="single" w:color="auto"/>
                <w:color w:val="0000FF"/>
              </w:rPr>
            </w:pPr>
            <w:hyperlink w:anchor="page51">
              <w:r>
                <w:rPr>
                  <w:rFonts w:ascii="Times New Roman" w:cs="Times New Roman" w:eastAsia="Times New Roman" w:hAnsi="Times New Roman"/>
                  <w:sz w:val="18"/>
                  <w:szCs w:val="18"/>
                  <w:b w:val="1"/>
                  <w:bCs w:val="1"/>
                  <w:u w:val="single" w:color="auto"/>
                  <w:color w:val="0000FF"/>
                </w:rPr>
                <w:t>Quantitative and Qualitative Disclosures About Market Risk</w:t>
              </w:r>
            </w:hyperlink>
          </w:p>
        </w:tc>
        <w:tc>
          <w:tcPr>
            <w:tcW w:w="1500" w:type="dxa"/>
            <w:vAlign w:val="bottom"/>
          </w:tcPr>
          <w:p>
            <w:pPr>
              <w:jc w:val="right"/>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48</w:t>
              </w:r>
            </w:hyperlink>
          </w:p>
        </w:tc>
      </w:tr>
      <w:tr>
        <w:trPr>
          <w:trHeight w:val="459"/>
        </w:trPr>
        <w:tc>
          <w:tcPr>
            <w:tcW w:w="142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52">
              <w:r>
                <w:rPr>
                  <w:rFonts w:ascii="Times New Roman" w:cs="Times New Roman" w:eastAsia="Times New Roman" w:hAnsi="Times New Roman"/>
                  <w:sz w:val="18"/>
                  <w:szCs w:val="18"/>
                  <w:b w:val="1"/>
                  <w:bCs w:val="1"/>
                  <w:u w:val="single" w:color="auto"/>
                  <w:color w:val="0000FF"/>
                </w:rPr>
                <w:t>Item 4.</w:t>
              </w:r>
            </w:hyperlink>
          </w:p>
        </w:tc>
        <w:tc>
          <w:tcPr>
            <w:tcW w:w="8260" w:type="dxa"/>
            <w:vAlign w:val="bottom"/>
          </w:tcPr>
          <w:p>
            <w:pPr>
              <w:ind w:left="120"/>
              <w:spacing w:after="0"/>
              <w:rPr>
                <w:rFonts w:ascii="Times New Roman" w:cs="Times New Roman" w:eastAsia="Times New Roman" w:hAnsi="Times New Roman"/>
                <w:sz w:val="18"/>
                <w:szCs w:val="18"/>
                <w:b w:val="1"/>
                <w:bCs w:val="1"/>
                <w:u w:val="single" w:color="auto"/>
                <w:color w:val="0000FF"/>
              </w:rPr>
            </w:pPr>
            <w:hyperlink w:anchor="page52">
              <w:r>
                <w:rPr>
                  <w:rFonts w:ascii="Times New Roman" w:cs="Times New Roman" w:eastAsia="Times New Roman" w:hAnsi="Times New Roman"/>
                  <w:sz w:val="18"/>
                  <w:szCs w:val="18"/>
                  <w:b w:val="1"/>
                  <w:bCs w:val="1"/>
                  <w:u w:val="single" w:color="auto"/>
                  <w:color w:val="0000FF"/>
                </w:rPr>
                <w:t>Controls and Procedures</w:t>
              </w:r>
            </w:hyperlink>
          </w:p>
        </w:tc>
        <w:tc>
          <w:tcPr>
            <w:tcW w:w="1500" w:type="dxa"/>
            <w:vAlign w:val="bottom"/>
          </w:tcPr>
          <w:p>
            <w:pPr>
              <w:jc w:val="right"/>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48</w:t>
              </w:r>
            </w:hyperlink>
          </w:p>
        </w:tc>
      </w:tr>
      <w:tr>
        <w:trPr>
          <w:trHeight w:val="459"/>
        </w:trPr>
        <w:tc>
          <w:tcPr>
            <w:tcW w:w="142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52">
              <w:r>
                <w:rPr>
                  <w:rFonts w:ascii="Times New Roman" w:cs="Times New Roman" w:eastAsia="Times New Roman" w:hAnsi="Times New Roman"/>
                  <w:sz w:val="18"/>
                  <w:szCs w:val="18"/>
                  <w:b w:val="1"/>
                  <w:bCs w:val="1"/>
                  <w:u w:val="single" w:color="auto"/>
                  <w:color w:val="0000FF"/>
                </w:rPr>
                <w:t>PART II.</w:t>
              </w:r>
            </w:hyperlink>
          </w:p>
        </w:tc>
        <w:tc>
          <w:tcPr>
            <w:tcW w:w="8260" w:type="dxa"/>
            <w:vAlign w:val="bottom"/>
          </w:tcPr>
          <w:p>
            <w:pPr>
              <w:ind w:left="120"/>
              <w:spacing w:after="0"/>
              <w:rPr>
                <w:rFonts w:ascii="Times New Roman" w:cs="Times New Roman" w:eastAsia="Times New Roman" w:hAnsi="Times New Roman"/>
                <w:sz w:val="18"/>
                <w:szCs w:val="18"/>
                <w:b w:val="1"/>
                <w:bCs w:val="1"/>
                <w:u w:val="single" w:color="auto"/>
                <w:color w:val="0000FF"/>
              </w:rPr>
            </w:pPr>
            <w:hyperlink w:anchor="page52">
              <w:r>
                <w:rPr>
                  <w:rFonts w:ascii="Times New Roman" w:cs="Times New Roman" w:eastAsia="Times New Roman" w:hAnsi="Times New Roman"/>
                  <w:sz w:val="18"/>
                  <w:szCs w:val="18"/>
                  <w:b w:val="1"/>
                  <w:bCs w:val="1"/>
                  <w:u w:val="single" w:color="auto"/>
                  <w:color w:val="0000FF"/>
                </w:rPr>
                <w:t>OTHER INFORMATION</w:t>
              </w:r>
            </w:hyperlink>
          </w:p>
        </w:tc>
        <w:tc>
          <w:tcPr>
            <w:tcW w:w="1500" w:type="dxa"/>
            <w:vAlign w:val="bottom"/>
          </w:tcPr>
          <w:p>
            <w:pPr>
              <w:jc w:val="right"/>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49</w:t>
              </w:r>
            </w:hyperlink>
          </w:p>
        </w:tc>
      </w:tr>
      <w:tr>
        <w:trPr>
          <w:trHeight w:val="459"/>
        </w:trPr>
        <w:tc>
          <w:tcPr>
            <w:tcW w:w="142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53">
              <w:r>
                <w:rPr>
                  <w:rFonts w:ascii="Times New Roman" w:cs="Times New Roman" w:eastAsia="Times New Roman" w:hAnsi="Times New Roman"/>
                  <w:sz w:val="18"/>
                  <w:szCs w:val="18"/>
                  <w:b w:val="1"/>
                  <w:bCs w:val="1"/>
                  <w:u w:val="single" w:color="auto"/>
                  <w:color w:val="0000FF"/>
                </w:rPr>
                <w:t>Item 1.</w:t>
              </w:r>
            </w:hyperlink>
          </w:p>
        </w:tc>
        <w:tc>
          <w:tcPr>
            <w:tcW w:w="8260" w:type="dxa"/>
            <w:vAlign w:val="bottom"/>
          </w:tcPr>
          <w:p>
            <w:pPr>
              <w:ind w:left="120"/>
              <w:spacing w:after="0"/>
              <w:rPr>
                <w:rFonts w:ascii="Times New Roman" w:cs="Times New Roman" w:eastAsia="Times New Roman" w:hAnsi="Times New Roman"/>
                <w:sz w:val="18"/>
                <w:szCs w:val="18"/>
                <w:b w:val="1"/>
                <w:bCs w:val="1"/>
                <w:u w:val="single" w:color="auto"/>
                <w:color w:val="0000FF"/>
              </w:rPr>
            </w:pPr>
            <w:hyperlink w:anchor="page53">
              <w:r>
                <w:rPr>
                  <w:rFonts w:ascii="Times New Roman" w:cs="Times New Roman" w:eastAsia="Times New Roman" w:hAnsi="Times New Roman"/>
                  <w:sz w:val="18"/>
                  <w:szCs w:val="18"/>
                  <w:b w:val="1"/>
                  <w:bCs w:val="1"/>
                  <w:u w:val="single" w:color="auto"/>
                  <w:color w:val="0000FF"/>
                </w:rPr>
                <w:t>Legal Proceedings</w:t>
              </w:r>
            </w:hyperlink>
          </w:p>
        </w:tc>
        <w:tc>
          <w:tcPr>
            <w:tcW w:w="1500" w:type="dxa"/>
            <w:vAlign w:val="bottom"/>
          </w:tcPr>
          <w:p>
            <w:pPr>
              <w:jc w:val="right"/>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49</w:t>
              </w:r>
            </w:hyperlink>
          </w:p>
        </w:tc>
      </w:tr>
      <w:tr>
        <w:trPr>
          <w:trHeight w:val="459"/>
        </w:trPr>
        <w:tc>
          <w:tcPr>
            <w:tcW w:w="142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53">
              <w:r>
                <w:rPr>
                  <w:rFonts w:ascii="Times New Roman" w:cs="Times New Roman" w:eastAsia="Times New Roman" w:hAnsi="Times New Roman"/>
                  <w:sz w:val="18"/>
                  <w:szCs w:val="18"/>
                  <w:b w:val="1"/>
                  <w:bCs w:val="1"/>
                  <w:u w:val="single" w:color="auto"/>
                  <w:color w:val="0000FF"/>
                </w:rPr>
                <w:t>Item 1A.</w:t>
              </w:r>
            </w:hyperlink>
          </w:p>
        </w:tc>
        <w:tc>
          <w:tcPr>
            <w:tcW w:w="8260" w:type="dxa"/>
            <w:vAlign w:val="bottom"/>
          </w:tcPr>
          <w:p>
            <w:pPr>
              <w:ind w:left="120"/>
              <w:spacing w:after="0"/>
              <w:rPr>
                <w:rFonts w:ascii="Times New Roman" w:cs="Times New Roman" w:eastAsia="Times New Roman" w:hAnsi="Times New Roman"/>
                <w:sz w:val="18"/>
                <w:szCs w:val="18"/>
                <w:b w:val="1"/>
                <w:bCs w:val="1"/>
                <w:u w:val="single" w:color="auto"/>
                <w:color w:val="0000FF"/>
              </w:rPr>
            </w:pPr>
            <w:hyperlink w:anchor="page53">
              <w:r>
                <w:rPr>
                  <w:rFonts w:ascii="Times New Roman" w:cs="Times New Roman" w:eastAsia="Times New Roman" w:hAnsi="Times New Roman"/>
                  <w:sz w:val="18"/>
                  <w:szCs w:val="18"/>
                  <w:b w:val="1"/>
                  <w:bCs w:val="1"/>
                  <w:u w:val="single" w:color="auto"/>
                  <w:color w:val="0000FF"/>
                </w:rPr>
                <w:t>Risk Factors</w:t>
              </w:r>
            </w:hyperlink>
          </w:p>
        </w:tc>
        <w:tc>
          <w:tcPr>
            <w:tcW w:w="1500" w:type="dxa"/>
            <w:vAlign w:val="bottom"/>
          </w:tcPr>
          <w:p>
            <w:pPr>
              <w:jc w:val="right"/>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49</w:t>
              </w:r>
            </w:hyperlink>
          </w:p>
        </w:tc>
      </w:tr>
      <w:tr>
        <w:trPr>
          <w:trHeight w:val="459"/>
        </w:trPr>
        <w:tc>
          <w:tcPr>
            <w:tcW w:w="142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54">
              <w:r>
                <w:rPr>
                  <w:rFonts w:ascii="Times New Roman" w:cs="Times New Roman" w:eastAsia="Times New Roman" w:hAnsi="Times New Roman"/>
                  <w:sz w:val="18"/>
                  <w:szCs w:val="18"/>
                  <w:b w:val="1"/>
                  <w:bCs w:val="1"/>
                  <w:u w:val="single" w:color="auto"/>
                  <w:color w:val="0000FF"/>
                </w:rPr>
                <w:t>Item 2.</w:t>
              </w:r>
            </w:hyperlink>
          </w:p>
        </w:tc>
        <w:tc>
          <w:tcPr>
            <w:tcW w:w="8260" w:type="dxa"/>
            <w:vAlign w:val="bottom"/>
          </w:tcPr>
          <w:p>
            <w:pPr>
              <w:ind w:left="120"/>
              <w:spacing w:after="0"/>
              <w:rPr>
                <w:rFonts w:ascii="Times New Roman" w:cs="Times New Roman" w:eastAsia="Times New Roman" w:hAnsi="Times New Roman"/>
                <w:sz w:val="18"/>
                <w:szCs w:val="18"/>
                <w:b w:val="1"/>
                <w:bCs w:val="1"/>
                <w:u w:val="single" w:color="auto"/>
                <w:color w:val="0000FF"/>
              </w:rPr>
            </w:pPr>
            <w:hyperlink w:anchor="page54">
              <w:r>
                <w:rPr>
                  <w:rFonts w:ascii="Times New Roman" w:cs="Times New Roman" w:eastAsia="Times New Roman" w:hAnsi="Times New Roman"/>
                  <w:sz w:val="18"/>
                  <w:szCs w:val="18"/>
                  <w:b w:val="1"/>
                  <w:bCs w:val="1"/>
                  <w:u w:val="single" w:color="auto"/>
                  <w:color w:val="0000FF"/>
                </w:rPr>
                <w:t>Unregistered Sales of Equity Securities and Use of Proceeds</w:t>
              </w:r>
            </w:hyperlink>
          </w:p>
        </w:tc>
        <w:tc>
          <w:tcPr>
            <w:tcW w:w="1500" w:type="dxa"/>
            <w:vAlign w:val="bottom"/>
          </w:tcPr>
          <w:p>
            <w:pPr>
              <w:jc w:val="right"/>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50</w:t>
              </w:r>
            </w:hyperlink>
          </w:p>
        </w:tc>
      </w:tr>
      <w:tr>
        <w:trPr>
          <w:trHeight w:val="459"/>
        </w:trPr>
        <w:tc>
          <w:tcPr>
            <w:tcW w:w="142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54">
              <w:r>
                <w:rPr>
                  <w:rFonts w:ascii="Times New Roman" w:cs="Times New Roman" w:eastAsia="Times New Roman" w:hAnsi="Times New Roman"/>
                  <w:sz w:val="18"/>
                  <w:szCs w:val="18"/>
                  <w:b w:val="1"/>
                  <w:bCs w:val="1"/>
                  <w:u w:val="single" w:color="auto"/>
                  <w:color w:val="0000FF"/>
                </w:rPr>
                <w:t>Item 6.</w:t>
              </w:r>
            </w:hyperlink>
          </w:p>
        </w:tc>
        <w:tc>
          <w:tcPr>
            <w:tcW w:w="8260" w:type="dxa"/>
            <w:vAlign w:val="bottom"/>
          </w:tcPr>
          <w:p>
            <w:pPr>
              <w:ind w:left="120"/>
              <w:spacing w:after="0"/>
              <w:rPr>
                <w:rFonts w:ascii="Times New Roman" w:cs="Times New Roman" w:eastAsia="Times New Roman" w:hAnsi="Times New Roman"/>
                <w:sz w:val="18"/>
                <w:szCs w:val="18"/>
                <w:b w:val="1"/>
                <w:bCs w:val="1"/>
                <w:u w:val="single" w:color="auto"/>
                <w:color w:val="0000FF"/>
              </w:rPr>
            </w:pPr>
            <w:hyperlink w:anchor="page54">
              <w:r>
                <w:rPr>
                  <w:rFonts w:ascii="Times New Roman" w:cs="Times New Roman" w:eastAsia="Times New Roman" w:hAnsi="Times New Roman"/>
                  <w:sz w:val="18"/>
                  <w:szCs w:val="18"/>
                  <w:b w:val="1"/>
                  <w:bCs w:val="1"/>
                  <w:u w:val="single" w:color="auto"/>
                  <w:color w:val="0000FF"/>
                </w:rPr>
                <w:t>Exhibits</w:t>
              </w:r>
            </w:hyperlink>
          </w:p>
        </w:tc>
        <w:tc>
          <w:tcPr>
            <w:tcW w:w="1500" w:type="dxa"/>
            <w:vAlign w:val="bottom"/>
          </w:tcPr>
          <w:p>
            <w:pPr>
              <w:jc w:val="right"/>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51</w:t>
              </w:r>
            </w:hyperlink>
          </w:p>
        </w:tc>
      </w:tr>
      <w:tr>
        <w:trPr>
          <w:trHeight w:val="459"/>
        </w:trPr>
        <w:tc>
          <w:tcPr>
            <w:tcW w:w="142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55">
              <w:r>
                <w:rPr>
                  <w:rFonts w:ascii="Times New Roman" w:cs="Times New Roman" w:eastAsia="Times New Roman" w:hAnsi="Times New Roman"/>
                  <w:sz w:val="18"/>
                  <w:szCs w:val="18"/>
                  <w:b w:val="1"/>
                  <w:bCs w:val="1"/>
                  <w:u w:val="single" w:color="auto"/>
                  <w:color w:val="0000FF"/>
                </w:rPr>
                <w:t>SIGNATURES</w:t>
              </w:r>
            </w:hyperlink>
          </w:p>
        </w:tc>
        <w:tc>
          <w:tcPr>
            <w:tcW w:w="8260" w:type="dxa"/>
            <w:vAlign w:val="bottom"/>
          </w:tcPr>
          <w:p>
            <w:pPr>
              <w:spacing w:after="0"/>
              <w:rPr>
                <w:sz w:val="24"/>
                <w:szCs w:val="24"/>
                <w:color w:val="auto"/>
              </w:rPr>
            </w:pPr>
          </w:p>
        </w:tc>
        <w:tc>
          <w:tcPr>
            <w:tcW w:w="1500" w:type="dxa"/>
            <w:vAlign w:val="bottom"/>
          </w:tcPr>
          <w:p>
            <w:pPr>
              <w:jc w:val="right"/>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52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the context otherwise indicates or requires, the terms “we,” “our,” “us,” “Essent,” and the “Company,” as used in this Quarterly Report 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10-Q, refer to Essent Group Ltd. and its directly and indirectly owned subsidiaries, including our primary operating subsidiaries, Essent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Guaranty, Inc. and Essent Reinsurance Ltd., as a combined entity, except where otherwise stated or where it is clear that the terms mean only Essent Group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Ltd. exclusive of its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2019 filed with the Securities and Exchange Commission. These factors include, without limitation, the following:</w:t>
      </w:r>
    </w:p>
    <w:p>
      <w:pPr>
        <w:spacing w:after="0" w:line="192" w:lineRule="exact"/>
        <w:rPr>
          <w:sz w:val="20"/>
          <w:szCs w:val="20"/>
          <w:color w:val="auto"/>
        </w:rPr>
      </w:pPr>
    </w:p>
    <w:p>
      <w:pPr>
        <w:ind w:left="660" w:right="6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spread and severity of the outbreak of novel coronavirus disease 2019 ("COVID-19"), which is currently ongoing and still evolving; the actions taken to contain the virus or treat its impact, including government and GSE actions to mitigate the economic impact of the outbreak; the nature and extent of the forbearance and modification options available to borrowers affected by the outbreak on mortgages we insure; reserve and other accounting estimates relating to the impact of the COVID-19 outbreak; borrower behavior in response to the outbreak and its economic impact; how quickly and to what extent normal economic and operating conditions can resume, including whether any future outbreaks interrupt economic recovery; how quickly and to what extent affected borrowers can recover from the negative economic impact of the outbreak; and whether and to what extent the outbreak and related economic conditions will exacerbate other risks and uncertainties facing our business, financial condition and business strategy;</w:t>
      </w:r>
    </w:p>
    <w:p>
      <w:pPr>
        <w:spacing w:after="0" w:line="21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to Fannie Mae and Freddie Mac, which we refer to collectively as the GSEs, whether through Federal legislation, restructurings or a shift in business practices;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meet the mortgage insurer eligibility requirements of the GSEs;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customers or the loss of a significant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or investors seeking alternatives to private mortgage insurance;</w:t>
      </w:r>
    </w:p>
    <w:p>
      <w:pPr>
        <w:spacing w:after="0" w:line="252"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number of loans insured through Federal government mortgage insurance programs, including those offered by the Federal Housing Administration;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the volume of low down payment mortgage originations;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loss reserve estimates;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length of time our insurance policies are in force;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enacted U.S. Federal tax reform and its impact on us, our shareholders and our operations;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2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Mortgage” reducing the size of the mortgage origination market or creating incentives to use government mortgage insurance programs;</w:t>
      </w:r>
    </w:p>
    <w:p>
      <w:pPr>
        <w:spacing w:after="0" w:line="18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Residential Mortgage” reducing the number of low down payment loans or lenders and investors seeking alternatives to private mortgage insurance;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Basel III Capital Accord, which may discourage the use of private mortgage insurance;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risk in our investment portfolio;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the premiums we charge to compensate for our losses incurred;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management team and qualified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disturbance to our information technology systems;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our customers’ capital requirements discouraging the use of mortgage insurance;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of borrowers’ homes;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capital or reinsurance;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claims arise under and risks associated with our contract underwriting program;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practice that loss reserves are established only upon a loan default;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mortgage loan servicing, as a result of COVID-19 or otherwise;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future legal proceedings;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technological demands;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non-U.S. operations becoming subject to U.S. Federal income taxation;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considered a passive foreign investment company for U.S. Federal income tax purposes;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the ability of our insurance subsidiaries to pay dividends.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060" w:type="dxa"/>
            <w:vAlign w:val="bottom"/>
            <w:gridSpan w:val="3"/>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40" w:type="dxa"/>
            <w:vAlign w:val="bottom"/>
          </w:tcPr>
          <w:p>
            <w:pPr>
              <w:spacing w:after="0"/>
              <w:rPr>
                <w:sz w:val="24"/>
                <w:szCs w:val="24"/>
                <w:color w:val="auto"/>
              </w:rPr>
            </w:pPr>
          </w:p>
        </w:tc>
        <w:tc>
          <w:tcPr>
            <w:tcW w:w="8020" w:type="dxa"/>
            <w:vAlign w:val="bottom"/>
            <w:gridSpan w:val="2"/>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8020" w:type="dxa"/>
            <w:vAlign w:val="bottom"/>
            <w:gridSpan w:val="2"/>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Essent Group Ltd. and Subsidiaries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8020" w:type="dxa"/>
            <w:vAlign w:val="bottom"/>
            <w:gridSpan w:val="2"/>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02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Fixed maturities available for sale, at fair value (amortized cost: 2020 — $3,393,601;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3,549,397</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3,035,385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2019 — $2,967,225)</w:t>
            </w:r>
          </w:p>
        </w:tc>
        <w:tc>
          <w:tcPr>
            <w:tcW w:w="16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02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Short-term investments available for sale, at fair value (amortized cost: 2020 —</w:t>
            </w: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952,952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315,362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$952,952; 2019 — $315,360)</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4,502,349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3,350,747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invested assets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3,429,620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15,705</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(at cost, less accumulated depreciation of $60,161 in 2020 and</w:t>
            </w: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17,308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$57,639 in 2019)</w:t>
            </w:r>
          </w:p>
        </w:tc>
        <w:tc>
          <w:tcPr>
            <w:tcW w:w="1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federal income tax</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261,885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18,367</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5,107,088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3,873,425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Reserve for losses and LAE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Unearned premium reserve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278,887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249,620</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2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Credit facility borrowings (at carrying value, less unamortized deferred costs of $342</w:t>
            </w: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424,658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224,237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 2020 and $763 in 2019)</w:t>
            </w:r>
          </w:p>
        </w:tc>
        <w:tc>
          <w:tcPr>
            <w:tcW w:w="1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1,360,544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888,580</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7)</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shares, $0.015 par value: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20" w:type="dxa"/>
            <w:vAlign w:val="bottom"/>
            <w:gridSpan w:val="2"/>
          </w:tcPr>
          <w:p>
            <w:pPr>
              <w:ind w:left="420"/>
              <w:spacing w:after="0" w:line="176" w:lineRule="exact"/>
              <w:rPr>
                <w:sz w:val="20"/>
                <w:szCs w:val="20"/>
                <w:color w:val="auto"/>
              </w:rPr>
            </w:pPr>
            <w:r>
              <w:rPr>
                <w:rFonts w:ascii="Times New Roman" w:cs="Times New Roman" w:eastAsia="Times New Roman" w:hAnsi="Times New Roman"/>
                <w:sz w:val="18"/>
                <w:szCs w:val="18"/>
                <w:color w:val="auto"/>
              </w:rPr>
              <w:t>Authorized - 233,333; issued and outstanding - 112,423 shares in 2020 and 98,394</w:t>
            </w: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shares in 2019</w:t>
            </w:r>
          </w:p>
        </w:tc>
        <w:tc>
          <w:tcPr>
            <w:tcW w:w="1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1,566,448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1,118,655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2,045,976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1,808,527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3,746,544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2,984,845</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5,107,088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3,873,425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198,304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619,870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564,352</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0" w:type="dxa"/>
            <w:vAlign w:val="bottom"/>
          </w:tcPr>
          <w:p>
            <w:pPr>
              <w:spacing w:after="0"/>
              <w:rPr>
                <w:sz w:val="1"/>
                <w:szCs w:val="1"/>
                <w:color w:val="auto"/>
              </w:rPr>
            </w:pPr>
          </w:p>
        </w:tc>
      </w:tr>
      <w:tr>
        <w:trPr>
          <w:trHeight w:val="22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569,754</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61,565</w:t>
            </w: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638,805</w:t>
            </w:r>
          </w:p>
        </w:tc>
        <w:tc>
          <w:tcPr>
            <w:tcW w:w="0" w:type="dxa"/>
            <w:vAlign w:val="bottom"/>
          </w:tcPr>
          <w:p>
            <w:pPr>
              <w:spacing w:after="0"/>
              <w:rPr>
                <w:sz w:val="1"/>
                <w:szCs w:val="1"/>
                <w:color w:val="auto"/>
              </w:rPr>
            </w:pPr>
          </w:p>
        </w:tc>
      </w:tr>
      <w:tr>
        <w:trPr>
          <w:trHeight w:val="236"/>
        </w:trPr>
        <w:tc>
          <w:tcPr>
            <w:tcW w:w="5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22,057</w:t>
            </w: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124,138</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losses and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364,011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154,128</w:t>
            </w:r>
          </w:p>
        </w:tc>
        <w:tc>
          <w:tcPr>
            <w:tcW w:w="0" w:type="dxa"/>
            <w:vAlign w:val="bottom"/>
          </w:tcPr>
          <w:p>
            <w:pPr>
              <w:spacing w:after="0"/>
              <w:rPr>
                <w:sz w:val="1"/>
                <w:szCs w:val="1"/>
                <w:color w:val="auto"/>
              </w:rPr>
            </w:pPr>
          </w:p>
        </w:tc>
      </w:tr>
      <w:tr>
        <w:trPr>
          <w:trHeight w:val="236"/>
        </w:trPr>
        <w:tc>
          <w:tcPr>
            <w:tcW w:w="5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484,677</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75,922</w:t>
            </w:r>
          </w:p>
        </w:tc>
        <w:tc>
          <w:tcPr>
            <w:tcW w:w="0" w:type="dxa"/>
            <w:vAlign w:val="bottom"/>
          </w:tcPr>
          <w:p>
            <w:pPr>
              <w:spacing w:after="0"/>
              <w:rPr>
                <w:sz w:val="1"/>
                <w:szCs w:val="1"/>
                <w:color w:val="auto"/>
              </w:rPr>
            </w:pPr>
          </w:p>
        </w:tc>
      </w:tr>
      <w:tr>
        <w:trPr>
          <w:trHeight w:val="223"/>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289,439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408,755</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0"/>
        </w:trPr>
        <w:tc>
          <w:tcPr>
            <w:tcW w:w="5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97,739</w:t>
            </w:r>
          </w:p>
        </w:tc>
        <w:tc>
          <w:tcPr>
            <w:tcW w:w="0" w:type="dxa"/>
            <w:vAlign w:val="bottom"/>
          </w:tcPr>
          <w:p>
            <w:pPr>
              <w:spacing w:after="0"/>
              <w:rPr>
                <w:sz w:val="1"/>
                <w:szCs w:val="1"/>
                <w:color w:val="auto"/>
              </w:rPr>
            </w:pPr>
          </w:p>
        </w:tc>
      </w:tr>
      <w:tr>
        <w:trPr>
          <w:trHeight w:val="229"/>
        </w:trPr>
        <w:tc>
          <w:tcPr>
            <w:tcW w:w="5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98,178</w:t>
            </w: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289,439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408,755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20" w:type="dxa"/>
            <w:vAlign w:val="bottom"/>
            <w:gridSpan w:val="2"/>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Change in unrealized appreciation of investments, net</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20" w:type="dxa"/>
            <w:vAlign w:val="bottom"/>
            <w:gridSpan w:val="2"/>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of tax expense of $3,856 and $3,640 in the three months ended</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20" w:type="dxa"/>
            <w:vAlign w:val="bottom"/>
            <w:gridSpan w:val="2"/>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September 30, 2020 and 2019 and $14,469 and $18,685 in the</w:t>
            </w: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91,720</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nine months ended September 30, 2020 and 2019</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91,720</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500,475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common shares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2"/>
        </w:trPr>
        <w:tc>
          <w:tcPr>
            <w:tcW w:w="5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30"/>
        </w:trPr>
        <w:tc>
          <w:tcPr>
            <w:tcW w:w="51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2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1,561,737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1,110,800</w:t>
            </w:r>
          </w:p>
        </w:tc>
        <w:tc>
          <w:tcPr>
            <w:tcW w:w="0" w:type="dxa"/>
            <w:vAlign w:val="bottom"/>
          </w:tcPr>
          <w:p>
            <w:pPr>
              <w:spacing w:after="0"/>
              <w:rPr>
                <w:sz w:val="1"/>
                <w:szCs w:val="1"/>
                <w:color w:val="auto"/>
              </w:rPr>
            </w:pPr>
          </w:p>
        </w:tc>
      </w:tr>
      <w:tr>
        <w:trPr>
          <w:trHeight w:val="175"/>
        </w:trPr>
        <w:tc>
          <w:tcPr>
            <w:tcW w:w="518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Issuance of common shares, net of issuance costs of</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439,749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$18,894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1,566,448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1,114,586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1,566,448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1,114,586</w:t>
            </w:r>
          </w:p>
        </w:tc>
        <w:tc>
          <w:tcPr>
            <w:tcW w:w="0" w:type="dxa"/>
            <w:vAlign w:val="bottom"/>
          </w:tcPr>
          <w:p>
            <w:pPr>
              <w:spacing w:after="0"/>
              <w:rPr>
                <w:sz w:val="1"/>
                <w:szCs w:val="1"/>
                <w:color w:val="auto"/>
              </w:rPr>
            </w:pPr>
          </w:p>
        </w:tc>
      </w:tr>
      <w:tr>
        <w:trPr>
          <w:trHeight w:val="34"/>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(28,993)</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91,720</w:t>
            </w:r>
          </w:p>
        </w:tc>
        <w:tc>
          <w:tcPr>
            <w:tcW w:w="0" w:type="dxa"/>
            <w:vAlign w:val="bottom"/>
          </w:tcPr>
          <w:p>
            <w:pPr>
              <w:spacing w:after="0"/>
              <w:rPr>
                <w:sz w:val="1"/>
                <w:szCs w:val="1"/>
                <w:color w:val="auto"/>
              </w:rPr>
            </w:pPr>
          </w:p>
        </w:tc>
      </w:tr>
      <w:tr>
        <w:trPr>
          <w:trHeight w:val="262"/>
        </w:trPr>
        <w:tc>
          <w:tcPr>
            <w:tcW w:w="5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132,434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132,434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62,727</w:t>
            </w:r>
          </w:p>
        </w:tc>
        <w:tc>
          <w:tcPr>
            <w:tcW w:w="0" w:type="dxa"/>
            <w:vAlign w:val="bottom"/>
          </w:tcPr>
          <w:p>
            <w:pPr>
              <w:spacing w:after="0"/>
              <w:rPr>
                <w:sz w:val="1"/>
                <w:szCs w:val="1"/>
                <w:color w:val="auto"/>
              </w:rPr>
            </w:pPr>
          </w:p>
        </w:tc>
      </w:tr>
      <w:tr>
        <w:trPr>
          <w:trHeight w:val="229"/>
        </w:trPr>
        <w:tc>
          <w:tcPr>
            <w:tcW w:w="51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1,939,508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1,808,527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1,282,438</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408,755</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(14,812)</w:t>
            </w:r>
          </w:p>
        </w:tc>
        <w:tc>
          <w:tcPr>
            <w:tcW w:w="0" w:type="dxa"/>
            <w:vAlign w:val="bottom"/>
          </w:tcPr>
          <w:p>
            <w:pPr>
              <w:spacing w:after="0"/>
              <w:rPr>
                <w:sz w:val="1"/>
                <w:szCs w:val="1"/>
                <w:color w:val="auto"/>
              </w:rPr>
            </w:pPr>
          </w:p>
        </w:tc>
      </w:tr>
      <w:tr>
        <w:trPr>
          <w:trHeight w:val="262"/>
        </w:trPr>
        <w:tc>
          <w:tcPr>
            <w:tcW w:w="5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2,045,976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1,676,381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2,045,976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1,676,381</w:t>
            </w:r>
          </w:p>
        </w:tc>
        <w:tc>
          <w:tcPr>
            <w:tcW w:w="0" w:type="dxa"/>
            <w:vAlign w:val="bottom"/>
          </w:tcPr>
          <w:p>
            <w:pPr>
              <w:spacing w:after="0"/>
              <w:rPr>
                <w:sz w:val="1"/>
                <w:szCs w:val="1"/>
                <w:color w:val="auto"/>
              </w:rPr>
            </w:pPr>
          </w:p>
        </w:tc>
      </w:tr>
      <w:tr>
        <w:trPr>
          <w:trHeight w:val="230"/>
        </w:trPr>
        <w:tc>
          <w:tcPr>
            <w:tcW w:w="51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Treasury stock acquired</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0" w:type="dxa"/>
            <w:vAlign w:val="bottom"/>
          </w:tcPr>
          <w:p>
            <w:pPr>
              <w:spacing w:after="0"/>
              <w:rPr>
                <w:sz w:val="1"/>
                <w:szCs w:val="1"/>
                <w:color w:val="auto"/>
              </w:rPr>
            </w:pPr>
          </w:p>
        </w:tc>
      </w:tr>
      <w:tr>
        <w:trPr>
          <w:trHeight w:val="262"/>
        </w:trPr>
        <w:tc>
          <w:tcPr>
            <w:tcW w:w="5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top w:val="single" w:sz="8" w:color="CCEEFF"/>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3,746,544</w:t>
            </w: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2,855,170</w:t>
            </w: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3,746,544</w:t>
            </w: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2,855,170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7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289,439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408,755</w:t>
            </w:r>
          </w:p>
        </w:tc>
      </w:tr>
      <w:tr>
        <w:trPr>
          <w:trHeight w:val="219"/>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Gain on the sale of investments, net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w:t>
            </w:r>
          </w:p>
        </w:tc>
      </w:tr>
      <w:tr>
        <w:trPr>
          <w:trHeight w:val="219"/>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net loss (income) of other invested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Distribution of income from other invested assets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19"/>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w:t>
            </w: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12,492</w:t>
            </w:r>
          </w:p>
        </w:tc>
      </w:tr>
      <w:tr>
        <w:trPr>
          <w:trHeight w:val="219"/>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premium on investment securities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11,713</w:t>
            </w: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45,317</w:t>
            </w:r>
          </w:p>
        </w:tc>
      </w:tr>
      <w:tr>
        <w:trPr>
          <w:trHeight w:val="219"/>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Accrued investment income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19"/>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w:t>
            </w:r>
          </w:p>
        </w:tc>
      </w:tr>
      <w:tr>
        <w:trPr>
          <w:trHeight w:val="213"/>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9"/>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federal income tax</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(44,500)</w:t>
            </w:r>
          </w:p>
        </w:tc>
      </w:tr>
      <w:tr>
        <w:trPr>
          <w:trHeight w:val="213"/>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(7,428)</w:t>
            </w:r>
          </w:p>
        </w:tc>
      </w:tr>
      <w:tr>
        <w:trPr>
          <w:trHeight w:val="219"/>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Reserve for losses and LAE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11,972</w:t>
            </w:r>
          </w:p>
        </w:tc>
      </w:tr>
      <w:tr>
        <w:trPr>
          <w:trHeight w:val="213"/>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Unearned premium reserve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(5,402)</w:t>
            </w:r>
          </w:p>
        </w:tc>
      </w:tr>
      <w:tr>
        <w:trPr>
          <w:trHeight w:val="219"/>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(5,791)</w:t>
            </w:r>
          </w:p>
        </w:tc>
      </w:tr>
      <w:tr>
        <w:trPr>
          <w:trHeight w:val="207"/>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548,506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424,579</w:t>
            </w:r>
          </w:p>
        </w:tc>
      </w:tr>
      <w:tr>
        <w:trPr>
          <w:trHeight w:val="91"/>
        </w:trPr>
        <w:tc>
          <w:tcPr>
            <w:tcW w:w="7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1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change in short-term investments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(98,204)</w:t>
            </w: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 of investments available for sale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(1,053,494)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(778,937)</w:t>
            </w:r>
          </w:p>
        </w:tc>
      </w:tr>
      <w:tr>
        <w:trPr>
          <w:trHeight w:val="219"/>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maturity of investments available for sale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68,768</w:t>
            </w: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sales of investments available for sale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438,015</w:t>
            </w:r>
          </w:p>
        </w:tc>
      </w:tr>
      <w:tr>
        <w:trPr>
          <w:trHeight w:val="219"/>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other invested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(44,637)</w:t>
            </w: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Return of investment from other invested assets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r>
      <w:tr>
        <w:trPr>
          <w:trHeight w:val="219"/>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r>
      <w:tr>
        <w:trPr>
          <w:trHeight w:val="207"/>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(1,083,317)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(416,414)</w:t>
            </w:r>
          </w:p>
        </w:tc>
      </w:tr>
      <w:tr>
        <w:trPr>
          <w:trHeight w:val="91"/>
        </w:trPr>
        <w:tc>
          <w:tcPr>
            <w:tcW w:w="7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1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shares, net of costs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Credit facility borrowings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acquired</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w:t>
            </w: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Payment of issuance costs for credit facility</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(14,673)</w:t>
            </w:r>
          </w:p>
        </w:tc>
      </w:tr>
      <w:tr>
        <w:trPr>
          <w:trHeight w:val="207"/>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582,152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(23,529)</w:t>
            </w:r>
          </w:p>
        </w:tc>
      </w:tr>
      <w:tr>
        <w:trPr>
          <w:trHeight w:val="91"/>
        </w:trPr>
        <w:tc>
          <w:tcPr>
            <w:tcW w:w="7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1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(15,364)</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at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64,946</w:t>
            </w:r>
          </w:p>
        </w:tc>
      </w:tr>
      <w:tr>
        <w:trPr>
          <w:trHeight w:val="212"/>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at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118,691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49,582</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5"/>
        </w:trPr>
        <w:tc>
          <w:tcPr>
            <w:tcW w:w="7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1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payments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(33,005)</w:t>
            </w:r>
          </w:p>
        </w:tc>
      </w:tr>
      <w:tr>
        <w:trPr>
          <w:trHeight w:val="21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payments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(7,718)</w:t>
            </w:r>
          </w:p>
        </w:tc>
      </w:tr>
      <w:tr>
        <w:trPr>
          <w:trHeight w:val="111"/>
        </w:trPr>
        <w:tc>
          <w:tcPr>
            <w:tcW w:w="7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r>
      <w:tr>
        <w:trPr>
          <w:trHeight w:val="21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Noncash Transactions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In these notes to condensed consolidated financial statements, “Essent”, “Company”, “we”, “us”, and “our” refer to Essent Group Ltd. and its subsidiaries, unless the context otherwise requires.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Essent Guaranty reinsures 25% of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then in effect, Essent Guaranty also reinsures that portion of the risk that is in excess of 25% of the mortgage balance with respect to loans insured prior to April 1, 2019, after consideration of other reinsurance, to Essent Guaranty of PA, Inc. (“Essent PA”), an affiliate.</w:t>
      </w:r>
    </w:p>
    <w:p>
      <w:pPr>
        <w:spacing w:after="0" w:line="21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20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2019,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September 30, 2020 prior to the issuance of these condensed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Standards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During 2020</w:t>
      </w:r>
    </w:p>
    <w:p>
      <w:pPr>
        <w:spacing w:after="0" w:line="25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Measurement of Credit Losses on Financial Instruments (Topic 326)</w:t>
      </w:r>
      <w:r>
        <w:rPr>
          <w:rFonts w:ascii="Times New Roman" w:cs="Times New Roman" w:eastAsia="Times New Roman" w:hAnsi="Times New Roman"/>
          <w:sz w:val="18"/>
          <w:szCs w:val="18"/>
          <w:color w:val="auto"/>
        </w:rPr>
        <w:t>. This update is intended to provide financial statement users with more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The new guidance requires financial assets measured at amortized cost to be presented at the net amount expected to be collected through the use of an allowance for credit losses. Credit losses relating to available-for-sale debt securities will also be recorded through an allowance rather than as a write-down of the amortized cost of the securities. The accounting for insurance losses and loss adjustment expenses ("LAE") are not within the scope of this ASU. The provisions of this update were effective for annual and interim periods beginning after December 15, 2019 and we adopted this standard on January 1, 2020 using the modified retrospective approach. The adoption of this ASU did not have a material effect on the Company's consolidated operating results or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57" w:lineRule="exact"/>
        <w:rPr>
          <w:sz w:val="20"/>
          <w:szCs w:val="20"/>
          <w:color w:val="auto"/>
        </w:rPr>
      </w:pPr>
    </w:p>
    <w:p>
      <w:pPr>
        <w:ind w:right="100" w:firstLine="198"/>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 - 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The amendments in this update modify the disclosure requirements for fair value measurements by removing,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modifying, or adding certain disclosures. The provisions of this update were effective for interim and annual periods beginning after December 15, 2019, with early adoption permitted for the removed disclosures. We adopted this standard on January 1, 2020. The adoption of this ASU did not have a material impact on our condensed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52" w:lineRule="exact"/>
        <w:rPr>
          <w:sz w:val="20"/>
          <w:szCs w:val="20"/>
          <w:color w:val="auto"/>
        </w:rPr>
      </w:pPr>
    </w:p>
    <w:p>
      <w:pPr>
        <w:ind w:firstLine="180"/>
        <w:spacing w:after="0" w:line="257"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The amendments in this update provide temporary optional guidance to ease the potential burden in accounting for (or recognizing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effects of) reference rate reform. It provides optional expedients and exceptions for applying generally accepted accounting principles to contract, hedging relationships and other transactions affected by reference rate reform if certain criteria are met. The amendments in this update are effective as of March 12, 2020 through December 31, 2022. The Company is evaluating the impact the adoption of this ASU will have on our consolidated operating results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Investments available for sale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 (In thousands)</w:t>
            </w:r>
          </w:p>
        </w:tc>
        <w:tc>
          <w:tcPr>
            <w:tcW w:w="28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3"/>
                <w:szCs w:val="13"/>
                <w:color w:val="auto"/>
              </w:rPr>
            </w:pPr>
          </w:p>
        </w:tc>
        <w:tc>
          <w:tcPr>
            <w:tcW w:w="13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3"/>
                <w:szCs w:val="13"/>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82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3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218,942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229,417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14,640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956,581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493,673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60,752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985,384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366,227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442,723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952,952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4,346,553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161,290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4,502,349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 (In thousands)</w:t>
            </w:r>
          </w:p>
        </w:tc>
        <w:tc>
          <w:tcPr>
            <w:tcW w:w="28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20"/>
                <w:szCs w:val="20"/>
                <w:color w:val="auto"/>
              </w:rPr>
            </w:pPr>
          </w:p>
        </w:tc>
        <w:tc>
          <w:tcPr>
            <w:tcW w:w="13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20"/>
                <w:szCs w:val="20"/>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82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3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239,087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242,206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33,605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848,334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361,638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54,995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880,301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288,281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326,025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315,362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3,282,585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74,231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3,350,747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4"/>
                <w:szCs w:val="14"/>
                <w:color w:val="auto"/>
              </w:rPr>
            </w:pPr>
          </w:p>
        </w:tc>
        <w:tc>
          <w:tcPr>
            <w:tcW w:w="13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 :</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revenue bonds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obligation bonds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participation bonds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allocation bonds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tax bonds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24"/>
                <w:szCs w:val="24"/>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 :</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 non-cyclical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Energy</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cyclical</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Utilities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materials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amortized cost and fair value of investments available for sale at September 30, 2020,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60" w:type="dxa"/>
            <w:vAlign w:val="bottom"/>
          </w:tcPr>
          <w:p>
            <w:pPr>
              <w:spacing w:after="0"/>
              <w:rPr>
                <w:sz w:val="13"/>
                <w:szCs w:val="13"/>
                <w:color w:val="auto"/>
              </w:rPr>
            </w:pPr>
          </w:p>
        </w:tc>
        <w:tc>
          <w:tcPr>
            <w:tcW w:w="1480" w:type="dxa"/>
            <w:vAlign w:val="bottom"/>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9"/>
        </w:trPr>
        <w:tc>
          <w:tcPr>
            <w:tcW w:w="1800" w:type="dxa"/>
            <w:vAlign w:val="bottom"/>
            <w:vMerge w:val="continue"/>
          </w:tcPr>
          <w:p>
            <w:pPr>
              <w:spacing w:after="0"/>
              <w:rPr>
                <w:sz w:val="16"/>
                <w:szCs w:val="16"/>
                <w:color w:val="auto"/>
              </w:rPr>
            </w:pP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Pr>
          <w:p>
            <w:pPr>
              <w:spacing w:after="0"/>
              <w:rPr>
                <w:sz w:val="16"/>
                <w:szCs w:val="16"/>
                <w:color w:val="auto"/>
              </w:rPr>
            </w:pPr>
          </w:p>
        </w:tc>
        <w:tc>
          <w:tcPr>
            <w:tcW w:w="148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1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U.S. Treasury securities:</w:t>
            </w:r>
          </w:p>
        </w:tc>
        <w:tc>
          <w:tcPr>
            <w:tcW w:w="5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in 1 year</w:t>
            </w:r>
          </w:p>
        </w:tc>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72,460</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Due after 1 but within</w:t>
            </w:r>
          </w:p>
        </w:tc>
        <w:tc>
          <w:tcPr>
            <w:tcW w:w="5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90,883</w:t>
            </w:r>
          </w:p>
        </w:tc>
        <w:tc>
          <w:tcPr>
            <w:tcW w:w="0" w:type="dxa"/>
            <w:vAlign w:val="bottom"/>
          </w:tcPr>
          <w:p>
            <w:pPr>
              <w:spacing w:after="0"/>
              <w:rPr>
                <w:sz w:val="1"/>
                <w:szCs w:val="1"/>
                <w:color w:val="auto"/>
              </w:rPr>
            </w:pPr>
          </w:p>
        </w:tc>
      </w:tr>
      <w:tr>
        <w:trPr>
          <w:trHeight w:val="229"/>
        </w:trPr>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Due after 5 but within</w:t>
            </w:r>
          </w:p>
        </w:tc>
        <w:tc>
          <w:tcPr>
            <w:tcW w:w="5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64,891</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after 10 years</w:t>
            </w:r>
          </w:p>
        </w:tc>
        <w:tc>
          <w:tcPr>
            <w:tcW w:w="5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23"/>
        </w:trPr>
        <w:tc>
          <w:tcPr>
            <w:tcW w:w="18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Subtotal</w:t>
            </w:r>
          </w:p>
        </w:tc>
        <w:tc>
          <w:tcPr>
            <w:tcW w:w="5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218,942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229,417</w:t>
            </w:r>
          </w:p>
        </w:tc>
        <w:tc>
          <w:tcPr>
            <w:tcW w:w="0" w:type="dxa"/>
            <w:vAlign w:val="bottom"/>
          </w:tcPr>
          <w:p>
            <w:pPr>
              <w:spacing w:after="0"/>
              <w:rPr>
                <w:sz w:val="1"/>
                <w:szCs w:val="1"/>
                <w:color w:val="auto"/>
              </w:rPr>
            </w:pPr>
          </w:p>
        </w:tc>
      </w:tr>
      <w:tr>
        <w:trPr>
          <w:trHeight w:val="21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in 1 year</w:t>
            </w:r>
          </w:p>
        </w:tc>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Due after 1 but within</w:t>
            </w:r>
          </w:p>
        </w:tc>
        <w:tc>
          <w:tcPr>
            <w:tcW w:w="5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0" w:type="dxa"/>
            <w:vAlign w:val="bottom"/>
          </w:tcPr>
          <w:p>
            <w:pPr>
              <w:spacing w:after="0"/>
              <w:rPr>
                <w:sz w:val="1"/>
                <w:szCs w:val="1"/>
                <w:color w:val="auto"/>
              </w:rPr>
            </w:pPr>
          </w:p>
        </w:tc>
      </w:tr>
      <w:tr>
        <w:trPr>
          <w:trHeight w:val="223"/>
        </w:trPr>
        <w:tc>
          <w:tcPr>
            <w:tcW w:w="18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Subtotal</w:t>
            </w:r>
          </w:p>
        </w:tc>
        <w:tc>
          <w:tcPr>
            <w:tcW w:w="5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14,640</w:t>
            </w:r>
          </w:p>
        </w:tc>
        <w:tc>
          <w:tcPr>
            <w:tcW w:w="0" w:type="dxa"/>
            <w:vAlign w:val="bottom"/>
          </w:tcPr>
          <w:p>
            <w:pPr>
              <w:spacing w:after="0"/>
              <w:rPr>
                <w:sz w:val="1"/>
                <w:szCs w:val="1"/>
                <w:color w:val="auto"/>
              </w:rPr>
            </w:pPr>
          </w:p>
        </w:tc>
      </w:tr>
      <w:tr>
        <w:trPr>
          <w:trHeight w:val="209"/>
        </w:trPr>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in 1 year</w:t>
            </w:r>
          </w:p>
        </w:tc>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Due after 1 but within</w:t>
            </w:r>
          </w:p>
        </w:tc>
        <w:tc>
          <w:tcPr>
            <w:tcW w:w="5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65,439</w:t>
            </w:r>
          </w:p>
        </w:tc>
        <w:tc>
          <w:tcPr>
            <w:tcW w:w="0" w:type="dxa"/>
            <w:vAlign w:val="bottom"/>
          </w:tcPr>
          <w:p>
            <w:pPr>
              <w:spacing w:after="0"/>
              <w:rPr>
                <w:sz w:val="1"/>
                <w:szCs w:val="1"/>
                <w:color w:val="auto"/>
              </w:rPr>
            </w:pPr>
          </w:p>
        </w:tc>
      </w:tr>
      <w:tr>
        <w:trPr>
          <w:trHeight w:val="229"/>
        </w:trPr>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Due after 5 but within</w:t>
            </w:r>
          </w:p>
        </w:tc>
        <w:tc>
          <w:tcPr>
            <w:tcW w:w="5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234,772</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after 10 years</w:t>
            </w:r>
          </w:p>
        </w:tc>
        <w:tc>
          <w:tcPr>
            <w:tcW w:w="5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181,375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192,867</w:t>
            </w:r>
          </w:p>
        </w:tc>
        <w:tc>
          <w:tcPr>
            <w:tcW w:w="0" w:type="dxa"/>
            <w:vAlign w:val="bottom"/>
          </w:tcPr>
          <w:p>
            <w:pPr>
              <w:spacing w:after="0"/>
              <w:rPr>
                <w:sz w:val="1"/>
                <w:szCs w:val="1"/>
                <w:color w:val="auto"/>
              </w:rPr>
            </w:pPr>
          </w:p>
        </w:tc>
      </w:tr>
      <w:tr>
        <w:trPr>
          <w:trHeight w:val="223"/>
        </w:trPr>
        <w:tc>
          <w:tcPr>
            <w:tcW w:w="18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Subtotal</w:t>
            </w:r>
          </w:p>
        </w:tc>
        <w:tc>
          <w:tcPr>
            <w:tcW w:w="5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460,862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493,673</w:t>
            </w:r>
          </w:p>
        </w:tc>
        <w:tc>
          <w:tcPr>
            <w:tcW w:w="0" w:type="dxa"/>
            <w:vAlign w:val="bottom"/>
          </w:tcPr>
          <w:p>
            <w:pPr>
              <w:spacing w:after="0"/>
              <w:rPr>
                <w:sz w:val="1"/>
                <w:szCs w:val="1"/>
                <w:color w:val="auto"/>
              </w:rPr>
            </w:pPr>
          </w:p>
        </w:tc>
      </w:tr>
      <w:tr>
        <w:trPr>
          <w:trHeight w:val="209"/>
        </w:trPr>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in 1 year</w:t>
            </w:r>
          </w:p>
        </w:tc>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Due after 1 but within</w:t>
            </w:r>
          </w:p>
        </w:tc>
        <w:tc>
          <w:tcPr>
            <w:tcW w:w="5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24,150</w:t>
            </w:r>
          </w:p>
        </w:tc>
        <w:tc>
          <w:tcPr>
            <w:tcW w:w="0" w:type="dxa"/>
            <w:vAlign w:val="bottom"/>
          </w:tcPr>
          <w:p>
            <w:pPr>
              <w:spacing w:after="0"/>
              <w:rPr>
                <w:sz w:val="1"/>
                <w:szCs w:val="1"/>
                <w:color w:val="auto"/>
              </w:rPr>
            </w:pPr>
          </w:p>
        </w:tc>
      </w:tr>
      <w:tr>
        <w:trPr>
          <w:trHeight w:val="230"/>
        </w:trPr>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Due after 5 but within</w:t>
            </w:r>
          </w:p>
        </w:tc>
        <w:tc>
          <w:tcPr>
            <w:tcW w:w="5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27,182</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after 10 years</w:t>
            </w:r>
          </w:p>
        </w:tc>
        <w:tc>
          <w:tcPr>
            <w:tcW w:w="5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0" w:type="dxa"/>
            <w:vAlign w:val="bottom"/>
          </w:tcPr>
          <w:p>
            <w:pPr>
              <w:spacing w:after="0"/>
              <w:rPr>
                <w:sz w:val="1"/>
                <w:szCs w:val="1"/>
                <w:color w:val="auto"/>
              </w:rPr>
            </w:pPr>
          </w:p>
        </w:tc>
      </w:tr>
      <w:tr>
        <w:trPr>
          <w:trHeight w:val="223"/>
        </w:trPr>
        <w:tc>
          <w:tcPr>
            <w:tcW w:w="18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Subtotal</w:t>
            </w:r>
          </w:p>
        </w:tc>
        <w:tc>
          <w:tcPr>
            <w:tcW w:w="5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56,049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60,752</w:t>
            </w:r>
          </w:p>
        </w:tc>
        <w:tc>
          <w:tcPr>
            <w:tcW w:w="0" w:type="dxa"/>
            <w:vAlign w:val="bottom"/>
          </w:tcPr>
          <w:p>
            <w:pPr>
              <w:spacing w:after="0"/>
              <w:rPr>
                <w:sz w:val="1"/>
                <w:szCs w:val="1"/>
                <w:color w:val="auto"/>
              </w:rPr>
            </w:pPr>
          </w:p>
        </w:tc>
      </w:tr>
      <w:tr>
        <w:trPr>
          <w:trHeight w:val="209"/>
        </w:trPr>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in 1 year</w:t>
            </w:r>
          </w:p>
        </w:tc>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119,748</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Due after 1 but within</w:t>
            </w:r>
          </w:p>
        </w:tc>
        <w:tc>
          <w:tcPr>
            <w:tcW w:w="5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519,229</w:t>
            </w:r>
          </w:p>
        </w:tc>
        <w:tc>
          <w:tcPr>
            <w:tcW w:w="0" w:type="dxa"/>
            <w:vAlign w:val="bottom"/>
          </w:tcPr>
          <w:p>
            <w:pPr>
              <w:spacing w:after="0"/>
              <w:rPr>
                <w:sz w:val="1"/>
                <w:szCs w:val="1"/>
                <w:color w:val="auto"/>
              </w:rPr>
            </w:pPr>
          </w:p>
        </w:tc>
      </w:tr>
      <w:tr>
        <w:trPr>
          <w:trHeight w:val="230"/>
        </w:trPr>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Due after 5 but within</w:t>
            </w:r>
          </w:p>
        </w:tc>
        <w:tc>
          <w:tcPr>
            <w:tcW w:w="5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321,421</w:t>
            </w: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after 10 years</w:t>
            </w:r>
          </w:p>
        </w:tc>
        <w:tc>
          <w:tcPr>
            <w:tcW w:w="5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24,986</w:t>
            </w:r>
          </w:p>
        </w:tc>
        <w:tc>
          <w:tcPr>
            <w:tcW w:w="0" w:type="dxa"/>
            <w:vAlign w:val="bottom"/>
          </w:tcPr>
          <w:p>
            <w:pPr>
              <w:spacing w:after="0"/>
              <w:rPr>
                <w:sz w:val="1"/>
                <w:szCs w:val="1"/>
                <w:color w:val="auto"/>
              </w:rPr>
            </w:pPr>
          </w:p>
        </w:tc>
      </w:tr>
      <w:tr>
        <w:trPr>
          <w:trHeight w:val="223"/>
        </w:trPr>
        <w:tc>
          <w:tcPr>
            <w:tcW w:w="18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Subtotal</w:t>
            </w:r>
          </w:p>
        </w:tc>
        <w:tc>
          <w:tcPr>
            <w:tcW w:w="5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931,760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985,384</w:t>
            </w:r>
          </w:p>
        </w:tc>
        <w:tc>
          <w:tcPr>
            <w:tcW w:w="0" w:type="dxa"/>
            <w:vAlign w:val="bottom"/>
          </w:tcPr>
          <w:p>
            <w:pPr>
              <w:spacing w:after="0"/>
              <w:rPr>
                <w:sz w:val="1"/>
                <w:szCs w:val="1"/>
                <w:color w:val="auto"/>
              </w:rPr>
            </w:pPr>
          </w:p>
        </w:tc>
      </w:tr>
      <w:tr>
        <w:trPr>
          <w:trHeight w:val="223"/>
        </w:trPr>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920,451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956,581</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349,067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366,227</w:t>
            </w:r>
          </w:p>
        </w:tc>
        <w:tc>
          <w:tcPr>
            <w:tcW w:w="0" w:type="dxa"/>
            <w:vAlign w:val="bottom"/>
          </w:tcPr>
          <w:p>
            <w:pPr>
              <w:spacing w:after="0"/>
              <w:rPr>
                <w:sz w:val="1"/>
                <w:szCs w:val="1"/>
                <w:color w:val="auto"/>
              </w:rPr>
            </w:pPr>
          </w:p>
        </w:tc>
      </w:tr>
      <w:tr>
        <w:trPr>
          <w:trHeight w:val="22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5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442,036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442,723</w:t>
            </w:r>
          </w:p>
        </w:tc>
        <w:tc>
          <w:tcPr>
            <w:tcW w:w="0" w:type="dxa"/>
            <w:vAlign w:val="bottom"/>
          </w:tcPr>
          <w:p>
            <w:pPr>
              <w:spacing w:after="0"/>
              <w:rPr>
                <w:sz w:val="1"/>
                <w:szCs w:val="1"/>
                <w:color w:val="auto"/>
              </w:rPr>
            </w:pPr>
          </w:p>
        </w:tc>
      </w:tr>
      <w:tr>
        <w:trPr>
          <w:trHeight w:val="223"/>
        </w:trPr>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5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952,952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952,952</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4,346,553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4,502,349</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gains and losses realized on the sale of investments available for sale were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gross gains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gross losses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r>
    </w:tbl>
    <w:p>
      <w:pPr>
        <w:spacing w:after="0" w:line="27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investments available for sale in an unrealized loss position and the related unrealized losses for which no allowance for credit loss has been recorded were as follows:</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5"/>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35"/>
        </w:trPr>
        <w:tc>
          <w:tcPr>
            <w:tcW w:w="3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 (In thousands)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5"/>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9"/>
        </w:trPr>
        <w:tc>
          <w:tcPr>
            <w:tcW w:w="3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3"/>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3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9"/>
        </w:trPr>
        <w:tc>
          <w:tcPr>
            <w:tcW w:w="3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29"/>
        </w:trPr>
        <w:tc>
          <w:tcPr>
            <w:tcW w:w="3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133,402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206,278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519,982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160"/>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160"/>
              <w:spacing w:after="0" w:line="13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35"/>
        </w:trPr>
        <w:tc>
          <w:tcPr>
            <w:tcW w:w="3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 (In thousands)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5"/>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9"/>
        </w:trPr>
        <w:tc>
          <w:tcPr>
            <w:tcW w:w="3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3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r>
        <w:trPr>
          <w:trHeight w:val="23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3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30"/>
        </w:trPr>
        <w:tc>
          <w:tcPr>
            <w:tcW w:w="3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78,813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109,536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188,349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372,179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310,585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682,764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At September 30, 2020 and December 31, 2019, we held 315 and 365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September 30, 2020 of any of these securities resulted from a credit loss or other factors, we made inquiries of our investment managers to determine that each issuer was current on its scheduled interest and principal payments. We reviewed the credit rating of these securities noting that over 98% of the securities at September 30, 2020 had investment-grade ratings. We concluded that gross unrealized losses noted above are principally associated with the changes in credit spreads subsequent to purchase rather than due to credit impairment. We recorded impairments of $0.4 million in the nine months ended September 30, 2020 and other-than-temporary impairments of $0.1 million in the nine months ended September 30, 2019 on securities in an unrealized loss position. The impairments resulted from our intent to sell the securities subsequent to the reporting date.</w:t>
      </w:r>
    </w:p>
    <w:p>
      <w:pPr>
        <w:spacing w:after="0" w:line="21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Company's other invested assets at September 30, 2020 and December 31, 2019 totaled $83.1 million and $78.9 million, respectively. Other invested assets are comprised of limited partnership interests which are generally accounted for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under the equity method of accounting with changes in value reported in other income. Due to the timing of receiving financial information from these partnerships, the results are generally reported on a one month or quarter lag.</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fair value of investments deposited with insurance regulatory authorities to meet statutory requirements was $9.8 million at September 30, 2020 and $9.4 million at December 31, 2019. In connection with its insurance and reinsurance activities, Essent Re is required to maintain assets in trusts for the benefit of its contractual counterparties. The fair value of the investments on deposit in these trusts was $1.0 billion at September 30, 2020 and $805.5 million at December 31, 2019. Essent Guaranty is required to maintain assets on deposit in connection with its fully collateralized reinsurance agreements (see Note 4). The fair value of the assets on deposit was $8.5 million at September 30, 2020 and $6.4 million at December 31, 2019. Essent Guaranty is also required to maintain assets on deposit for the benefit of the sponsor of a fixed income investment commitment. The fair value of the assets on deposit was $12.0 million at September 30, 2020 and $6.4 million at December 31, 2019.</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investment income consists of:</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60,633</w:t>
            </w: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w:t>
            </w:r>
          </w:p>
        </w:tc>
      </w:tr>
      <w:tr>
        <w:trPr>
          <w:trHeight w:val="22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64,366</w:t>
            </w: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r>
      <w:tr>
        <w:trPr>
          <w:trHeight w:val="248"/>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Reinsurance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 of reinsurance on net premiums written and earned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r>
      <w:tr>
        <w:trPr>
          <w:trHeight w:val="189"/>
        </w:trPr>
        <w:tc>
          <w:tcPr>
            <w:tcW w:w="21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30"/>
        </w:trPr>
        <w:tc>
          <w:tcPr>
            <w:tcW w:w="5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243,390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208,567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677,414</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589,081</w:t>
            </w:r>
          </w:p>
        </w:tc>
      </w:tr>
      <w:tr>
        <w:trPr>
          <w:trHeight w:val="230"/>
        </w:trPr>
        <w:tc>
          <w:tcPr>
            <w:tcW w:w="5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Ceded (1)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(21,167)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(10,263)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(57,544)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(24,729)</w:t>
            </w:r>
          </w:p>
        </w:tc>
      </w:tr>
      <w:tr>
        <w:trPr>
          <w:trHeight w:val="223"/>
        </w:trPr>
        <w:tc>
          <w:tcPr>
            <w:tcW w:w="5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Net premiums written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222,223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198,304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619,870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564,352</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218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243,425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213,736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697,769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594,483</w:t>
            </w:r>
          </w:p>
        </w:tc>
      </w:tr>
      <w:tr>
        <w:trPr>
          <w:trHeight w:val="230"/>
        </w:trPr>
        <w:tc>
          <w:tcPr>
            <w:tcW w:w="52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Ceded (1)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(21,167)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(10,263)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(57,544)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(24,729)</w:t>
            </w:r>
          </w:p>
        </w:tc>
      </w:tr>
      <w:tr>
        <w:trPr>
          <w:trHeight w:val="248"/>
        </w:trPr>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222,258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203,473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640,225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569,754</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Net of profit commission.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Quota Share Reinsurance</w:t>
      </w:r>
    </w:p>
    <w:p>
      <w:pPr>
        <w:spacing w:after="0" w:line="256" w:lineRule="exact"/>
        <w:rPr>
          <w:sz w:val="20"/>
          <w:szCs w:val="20"/>
          <w:color w:val="auto"/>
        </w:rPr>
      </w:pPr>
    </w:p>
    <w:p>
      <w:pPr>
        <w:ind w:right="60" w:firstLine="180"/>
        <w:spacing w:after="0" w:line="266" w:lineRule="auto"/>
        <w:rPr>
          <w:sz w:val="20"/>
          <w:szCs w:val="20"/>
          <w:color w:val="auto"/>
        </w:rPr>
      </w:pPr>
      <w:r>
        <w:rPr>
          <w:rFonts w:ascii="Times New Roman" w:cs="Times New Roman" w:eastAsia="Times New Roman" w:hAnsi="Times New Roman"/>
          <w:sz w:val="18"/>
          <w:szCs w:val="18"/>
          <w:color w:val="auto"/>
        </w:rPr>
        <w:t>Effective September 1, 2019, Essent Guaranty entered into a quota share reinsurance agreement with a panel of third-party reinsurers (the "QSR Agreement"). Each of the third-party reinsurers has an insurer financial strength rating of A or better by S&amp;P Global Ratings, A.M. Best or both. Under the QSR Agreement, Essent Guaranty will cede premiums earned related to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The QSR Agreement is scheduled to terminate on December 31, 2030. Essent Guaranty has certain termination rights under the QSR Agreement, including the option to terminate the QSR Agreement with no termination fee on December 31, 2021, and the option, subject to a termination fee, to terminate the QSR Agreement on December 31, 2022, or annually thereafter. Should Essent Guaranty not exercise its option to terminate the QSR Agreement on December 31, 2021, the maximum profit commission that Essent Guaranty could earn would increase to 63% in 2022 and thereafter. RIF ceded under the QSR Agreement was $5.0 billion as of September 30, 2020.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of Loss Reinsurance</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LIBOR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21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Essent Guaranty's excess of loss reinsurance agreements as of September 30,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Vintage Year</w:t>
            </w:r>
          </w:p>
        </w:tc>
        <w:tc>
          <w:tcPr>
            <w:tcW w:w="40" w:type="dxa"/>
            <w:vAlign w:val="bottom"/>
          </w:tcPr>
          <w:p>
            <w:pPr>
              <w:spacing w:after="0"/>
              <w:rPr>
                <w:sz w:val="16"/>
                <w:szCs w:val="16"/>
                <w:color w:val="auto"/>
              </w:rPr>
            </w:pPr>
          </w:p>
        </w:tc>
        <w:tc>
          <w:tcPr>
            <w:tcW w:w="290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Reinsurer</w:t>
            </w:r>
          </w:p>
        </w:tc>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6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Optional Termination Date</w:t>
            </w:r>
          </w:p>
        </w:tc>
        <w:tc>
          <w:tcPr>
            <w:tcW w:w="580" w:type="dxa"/>
            <w:vAlign w:val="bottom"/>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2015 &amp; 2016</w:t>
            </w:r>
          </w:p>
        </w:tc>
        <w:tc>
          <w:tcPr>
            <w:tcW w:w="10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2019-2 Ltd.</w:t>
            </w:r>
          </w:p>
        </w:tc>
        <w:tc>
          <w:tcPr>
            <w:tcW w:w="12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20, 2019</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June 25, 2024</w:t>
            </w:r>
          </w:p>
        </w:tc>
        <w:tc>
          <w:tcPr>
            <w:tcW w:w="580" w:type="dxa"/>
            <w:vAlign w:val="bottom"/>
            <w:tcBorders>
              <w:top w:val="single" w:sz="8" w:color="auto"/>
            </w:tcBorders>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19"/>
                <w:szCs w:val="19"/>
                <w:color w:val="auto"/>
              </w:rPr>
            </w:pPr>
          </w:p>
        </w:tc>
        <w:tc>
          <w:tcPr>
            <w:tcW w:w="2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Radnor Re 2018-1 Ltd.</w:t>
            </w:r>
          </w:p>
        </w:tc>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March 22, 2018</w:t>
            </w:r>
          </w:p>
        </w:tc>
        <w:tc>
          <w:tcPr>
            <w:tcW w:w="26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March 25, 2023</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30"/>
        </w:trPr>
        <w:tc>
          <w:tcPr>
            <w:tcW w:w="40" w:type="dxa"/>
            <w:vAlign w:val="bottom"/>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shd w:val="clear" w:color="auto" w:fill="CCEEFF"/>
          </w:tcPr>
          <w:p>
            <w:pPr>
              <w:spacing w:after="0"/>
              <w:rPr>
                <w:sz w:val="19"/>
                <w:szCs w:val="19"/>
                <w:color w:val="auto"/>
              </w:rPr>
            </w:pPr>
          </w:p>
        </w:tc>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Panel of Reinsurers</w:t>
            </w:r>
          </w:p>
        </w:tc>
        <w:tc>
          <w:tcPr>
            <w:tcW w:w="2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November 1, 2018</w:t>
            </w:r>
          </w:p>
        </w:tc>
        <w:tc>
          <w:tcPr>
            <w:tcW w:w="26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October 1, 2023</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30"/>
        </w:trPr>
        <w:tc>
          <w:tcPr>
            <w:tcW w:w="4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19"/>
                <w:szCs w:val="19"/>
                <w:color w:val="auto"/>
              </w:rPr>
            </w:pPr>
          </w:p>
        </w:tc>
        <w:tc>
          <w:tcPr>
            <w:tcW w:w="2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Radnor Re 2019-1 Ltd.</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28, 2019</w:t>
            </w:r>
          </w:p>
        </w:tc>
        <w:tc>
          <w:tcPr>
            <w:tcW w:w="26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58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shd w:val="clear" w:color="auto" w:fill="CCEEFF"/>
          </w:tcPr>
          <w:p>
            <w:pPr>
              <w:spacing w:after="0"/>
              <w:rPr>
                <w:sz w:val="19"/>
                <w:szCs w:val="19"/>
                <w:color w:val="auto"/>
              </w:rPr>
            </w:pPr>
          </w:p>
        </w:tc>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Panel of Reinsurers</w:t>
            </w: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28, 2019</w:t>
            </w:r>
          </w:p>
        </w:tc>
        <w:tc>
          <w:tcPr>
            <w:tcW w:w="26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58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19"/>
                <w:szCs w:val="19"/>
                <w:color w:val="auto"/>
              </w:rPr>
            </w:pPr>
          </w:p>
        </w:tc>
        <w:tc>
          <w:tcPr>
            <w:tcW w:w="2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Radnor Re 2020-1 Ltd.</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January 30, 2020</w:t>
            </w:r>
          </w:p>
        </w:tc>
        <w:tc>
          <w:tcPr>
            <w:tcW w:w="26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January 25, 2027</w:t>
            </w:r>
          </w:p>
        </w:tc>
        <w:tc>
          <w:tcPr>
            <w:tcW w:w="58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shd w:val="clear" w:color="auto" w:fill="CCEEFF"/>
          </w:tcPr>
          <w:p>
            <w:pPr>
              <w:spacing w:after="0"/>
              <w:rPr>
                <w:sz w:val="19"/>
                <w:szCs w:val="19"/>
                <w:color w:val="auto"/>
              </w:rPr>
            </w:pPr>
          </w:p>
        </w:tc>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Panel of Reinsurers</w:t>
            </w: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January 30, 2020</w:t>
            </w:r>
          </w:p>
        </w:tc>
        <w:tc>
          <w:tcPr>
            <w:tcW w:w="26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January 25, 2027</w:t>
            </w:r>
          </w:p>
        </w:tc>
        <w:tc>
          <w:tcPr>
            <w:tcW w:w="580" w:type="dxa"/>
            <w:vAlign w:val="bottom"/>
            <w:shd w:val="clear" w:color="auto" w:fill="CCEEFF"/>
          </w:tcPr>
          <w:p>
            <w:pPr>
              <w:spacing w:after="0"/>
              <w:rPr>
                <w:sz w:val="19"/>
                <w:szCs w:val="19"/>
                <w:color w:val="auto"/>
              </w:rPr>
            </w:pPr>
          </w:p>
        </w:tc>
      </w:tr>
      <w:tr>
        <w:trPr>
          <w:trHeight w:val="162"/>
        </w:trPr>
        <w:tc>
          <w:tcPr>
            <w:tcW w:w="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76" w:lineRule="exact"/>
        <w:rPr>
          <w:sz w:val="20"/>
          <w:szCs w:val="20"/>
          <w:color w:val="auto"/>
        </w:rPr>
      </w:pPr>
    </w:p>
    <w:p>
      <w:pPr>
        <w:ind w:left="660" w:right="20" w:hanging="328"/>
        <w:spacing w:after="0" w:line="261"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reinsurance agreement is not terminated at the optional termination date, the risk margin component of the reinsurance premium increases by 50%.</w:t>
      </w: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reinsurance agreement is not terminated at the optional termination date, the reinsurance premium increases by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Essent Guaranty's excess of loss reinsurance coverages and retentions as of September 30,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6"/>
                <w:szCs w:val="16"/>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Reinsurance in Force</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15"/>
        </w:trPr>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Vintage Year</w:t>
            </w:r>
          </w:p>
        </w:tc>
        <w:tc>
          <w:tcPr>
            <w:tcW w:w="240" w:type="dxa"/>
            <w:vAlign w:val="bottom"/>
          </w:tcPr>
          <w:p>
            <w:pPr>
              <w:spacing w:after="0"/>
              <w:rPr>
                <w:sz w:val="11"/>
                <w:szCs w:val="11"/>
                <w:color w:val="auto"/>
              </w:rPr>
            </w:pPr>
          </w:p>
        </w:tc>
        <w:tc>
          <w:tcPr>
            <w:tcW w:w="1300" w:type="dxa"/>
            <w:vAlign w:val="bottom"/>
            <w:gridSpan w:val="3"/>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Risk</w:t>
            </w:r>
          </w:p>
        </w:tc>
        <w:tc>
          <w:tcPr>
            <w:tcW w:w="360" w:type="dxa"/>
            <w:vAlign w:val="bottom"/>
          </w:tcPr>
          <w:p>
            <w:pPr>
              <w:spacing w:after="0"/>
              <w:rPr>
                <w:sz w:val="11"/>
                <w:szCs w:val="11"/>
                <w:color w:val="auto"/>
              </w:rPr>
            </w:pPr>
          </w:p>
        </w:tc>
        <w:tc>
          <w:tcPr>
            <w:tcW w:w="112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ILN</w:t>
            </w:r>
          </w:p>
        </w:tc>
        <w:tc>
          <w:tcPr>
            <w:tcW w:w="200" w:type="dxa"/>
            <w:vAlign w:val="bottom"/>
          </w:tcPr>
          <w:p>
            <w:pPr>
              <w:spacing w:after="0"/>
              <w:rPr>
                <w:sz w:val="11"/>
                <w:szCs w:val="11"/>
                <w:color w:val="auto"/>
              </w:rPr>
            </w:pPr>
          </w:p>
        </w:tc>
        <w:tc>
          <w:tcPr>
            <w:tcW w:w="128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Other Reinsurance</w:t>
            </w:r>
          </w:p>
        </w:tc>
        <w:tc>
          <w:tcPr>
            <w:tcW w:w="90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22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4"/>
                <w:szCs w:val="14"/>
                <w:b w:val="1"/>
                <w:bCs w:val="1"/>
                <w:color w:val="auto"/>
              </w:rPr>
              <w:t>First Layer</w:t>
            </w:r>
          </w:p>
        </w:tc>
        <w:tc>
          <w:tcPr>
            <w:tcW w:w="0" w:type="dxa"/>
            <w:vAlign w:val="bottom"/>
          </w:tcPr>
          <w:p>
            <w:pPr>
              <w:spacing w:after="0"/>
              <w:rPr>
                <w:sz w:val="1"/>
                <w:szCs w:val="1"/>
                <w:color w:val="auto"/>
              </w:rPr>
            </w:pPr>
          </w:p>
        </w:tc>
      </w:tr>
      <w:tr>
        <w:trPr>
          <w:trHeight w:val="189"/>
        </w:trPr>
        <w:tc>
          <w:tcPr>
            <w:tcW w:w="1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Retention</w:t>
            </w:r>
          </w:p>
        </w:tc>
        <w:tc>
          <w:tcPr>
            <w:tcW w:w="0" w:type="dxa"/>
            <w:vAlign w:val="bottom"/>
          </w:tcPr>
          <w:p>
            <w:pPr>
              <w:spacing w:after="0"/>
              <w:rPr>
                <w:sz w:val="1"/>
                <w:szCs w:val="1"/>
                <w:color w:val="auto"/>
              </w:rPr>
            </w:pPr>
          </w:p>
        </w:tc>
      </w:tr>
      <w:tr>
        <w:trPr>
          <w:trHeight w:val="223"/>
        </w:trPr>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2015 &amp; 2016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19,182,623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5,179,608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216,480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207,813</w:t>
            </w:r>
          </w:p>
        </w:tc>
        <w:tc>
          <w:tcPr>
            <w:tcW w:w="0" w:type="dxa"/>
            <w:vAlign w:val="bottom"/>
          </w:tcPr>
          <w:p>
            <w:pPr>
              <w:spacing w:after="0"/>
              <w:rPr>
                <w:sz w:val="1"/>
                <w:szCs w:val="1"/>
                <w:color w:val="auto"/>
              </w:rPr>
            </w:pPr>
          </w:p>
        </w:tc>
      </w:tr>
      <w:tr>
        <w:trPr>
          <w:trHeight w:val="22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19,040,243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4,851,958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242,123</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165,167</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219,220</w:t>
            </w:r>
          </w:p>
        </w:tc>
        <w:tc>
          <w:tcPr>
            <w:tcW w:w="0" w:type="dxa"/>
            <w:vAlign w:val="bottom"/>
          </w:tcPr>
          <w:p>
            <w:pPr>
              <w:spacing w:after="0"/>
              <w:rPr>
                <w:sz w:val="1"/>
                <w:szCs w:val="1"/>
                <w:color w:val="auto"/>
              </w:rPr>
            </w:pPr>
          </w:p>
        </w:tc>
      </w:tr>
      <w:tr>
        <w:trPr>
          <w:trHeight w:val="229"/>
        </w:trPr>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22,096,001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5,601,015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325,537</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76,144</w:t>
            </w:r>
          </w:p>
        </w:tc>
        <w:tc>
          <w:tcPr>
            <w:tcW w:w="9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251,614</w:t>
            </w:r>
          </w:p>
        </w:tc>
        <w:tc>
          <w:tcPr>
            <w:tcW w:w="0" w:type="dxa"/>
            <w:vAlign w:val="bottom"/>
          </w:tcPr>
          <w:p>
            <w:pPr>
              <w:spacing w:after="0"/>
              <w:rPr>
                <w:sz w:val="1"/>
                <w:szCs w:val="1"/>
                <w:color w:val="auto"/>
              </w:rPr>
            </w:pPr>
          </w:p>
        </w:tc>
      </w:tr>
      <w:tr>
        <w:trPr>
          <w:trHeight w:val="230"/>
        </w:trPr>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2019 </w:t>
            </w:r>
            <w:r>
              <w:rPr>
                <w:rFonts w:ascii="Times New Roman" w:cs="Times New Roman" w:eastAsia="Times New Roman" w:hAnsi="Times New Roman"/>
                <w:sz w:val="18"/>
                <w:szCs w:val="18"/>
                <w:b w:val="1"/>
                <w:bCs w:val="1"/>
                <w:color w:val="auto"/>
              </w:rPr>
              <w:t>(3)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26,346,557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6,698,195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495,889</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55,102</w:t>
            </w:r>
          </w:p>
        </w:tc>
        <w:tc>
          <w:tcPr>
            <w:tcW w:w="9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215,509</w:t>
            </w:r>
          </w:p>
        </w:tc>
        <w:tc>
          <w:tcPr>
            <w:tcW w:w="0" w:type="dxa"/>
            <w:vAlign w:val="bottom"/>
          </w:tcPr>
          <w:p>
            <w:pPr>
              <w:spacing w:after="0"/>
              <w:rPr>
                <w:sz w:val="1"/>
                <w:szCs w:val="1"/>
                <w:color w:val="auto"/>
              </w:rPr>
            </w:pPr>
          </w:p>
        </w:tc>
      </w:tr>
      <w:tr>
        <w:trPr>
          <w:trHeight w:val="248"/>
        </w:trPr>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86,665,424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22,330,776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1,280,029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296,413</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1,576,442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894,156</w:t>
            </w: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Reinsurance coverage on new insurance written from January 1, 2019 through August 31, 2019.</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provided immediately above the coverage provided by Radnor Re 2018-1 Ltd.</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provided pari-passu to the coverage provided by Radnor Re 2019-1 Ltd.</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provided pari-passu to the coverage provided by Radnor Re 2020-1 Ltd.</w:t>
      </w:r>
    </w:p>
    <w:p>
      <w:pPr>
        <w:spacing w:after="0" w:line="234" w:lineRule="exact"/>
        <w:rPr>
          <w:sz w:val="20"/>
          <w:szCs w:val="20"/>
          <w:color w:val="auto"/>
        </w:rPr>
      </w:pPr>
    </w:p>
    <w:p>
      <w:pPr>
        <w:ind w:right="60" w:firstLine="180"/>
        <w:spacing w:after="0" w:line="266" w:lineRule="auto"/>
        <w:rPr>
          <w:sz w:val="20"/>
          <w:szCs w:val="20"/>
          <w:color w:val="auto"/>
        </w:rPr>
      </w:pPr>
      <w:r>
        <w:rPr>
          <w:rFonts w:ascii="Times New Roman" w:cs="Times New Roman" w:eastAsia="Times New Roman" w:hAnsi="Times New Roman"/>
          <w:sz w:val="18"/>
          <w:szCs w:val="18"/>
          <w:color w:val="auto"/>
        </w:rPr>
        <w:t>Based on the level of delinquencies reported to us, the ILN transactions listed above became subject to a "trigger event" as of June 25, 2020. The amortization of principal of the notes issued by the unaffiliated special purpose insurers in connection with the ILNs is suspended and the aggregate excess of loss reinsurance coverage will not amortize during the continuation of a trigger event.</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2020, Essent Guaranty entered into a fully collateralized reinsurance agreement with Radnor Re 2020-2 Ltd., an unaffiliated special purpose insurer domiciled in Bermuda, that provides for up to $399.2 million of aggregate excess of loss reinsurance coverage at inception for new defaults on a portfolio of mortgage insurance policies issued between September 1, 2019 and July 31, 2020. For the reinsurance coverage period, Essent Guaranty and its affiliates have retained the first layer of $465.7 million of aggregate losses. Radnor Re 2020-2 Ltd. collateralized the coverage by issuing ILNs with ten-year legal maturities in an aggregate amount equal to the initial coverage to unaffiliated investors.</w:t>
      </w:r>
    </w:p>
    <w:p>
      <w:pPr>
        <w:spacing w:after="0" w:line="21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amount of monthly reinsurance premium ceded to the Radnor Re entities will fluctuate due to changes in one-month LIBOR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following table presents total assets of each Radnor Re special purpose insurer as well as our maximum exposure to loss associated with each Radnor Re entity, representing the fair value of the embedded derivative included in other assets (other accrued liabilities) on our condensed consolidated balance sheet and the estimated net present value of investment earnings on the assets in the reinsurance trust, each as of September 30, 2020:</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Exposure to Loss</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VIE Assets</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On - Balance Sheet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Off - Balance Sheet</w:t>
            </w:r>
          </w:p>
        </w:tc>
        <w:tc>
          <w:tcPr>
            <w:tcW w:w="380" w:type="dxa"/>
            <w:vAlign w:val="bottom"/>
          </w:tcPr>
          <w:p>
            <w:pPr>
              <w:spacing w:after="0"/>
              <w:rPr>
                <w:sz w:val="16"/>
                <w:szCs w:val="16"/>
                <w:color w:val="auto"/>
              </w:rPr>
            </w:pPr>
          </w:p>
        </w:tc>
        <w:tc>
          <w:tcPr>
            <w:tcW w:w="128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2018-1 Ltd.</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3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2019-1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r>
      <w:tr>
        <w:trPr>
          <w:trHeight w:val="22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2019-2 Ltd.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29"/>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Radnor Re 2020-1 Ltd.</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495,889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48"/>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Reserve for Losses and Loss Adjustment Expenses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(“LAE”) for the nine months ended September 30:</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7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49,464</w:t>
            </w:r>
          </w:p>
        </w:tc>
      </w:tr>
      <w:tr>
        <w:trPr>
          <w:trHeight w:val="229"/>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49,464</w:t>
            </w:r>
          </w:p>
        </w:tc>
      </w:tr>
      <w:tr>
        <w:trPr>
          <w:trHeight w:val="20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net of reinsurance, occurring in: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37,904</w:t>
            </w:r>
          </w:p>
        </w:tc>
      </w:tr>
      <w:tr>
        <w:trPr>
          <w:trHeight w:val="229"/>
        </w:trPr>
        <w:tc>
          <w:tcPr>
            <w:tcW w:w="7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(15,847)</w:t>
            </w: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incurred losses and LAE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22,057</w:t>
            </w:r>
          </w:p>
        </w:tc>
      </w:tr>
      <w:tr>
        <w:trPr>
          <w:trHeight w:val="20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net of reinsurance, occurring in: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30"/>
        </w:trPr>
        <w:tc>
          <w:tcPr>
            <w:tcW w:w="7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w:t>
            </w: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LAE payments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w:t>
            </w:r>
          </w:p>
        </w:tc>
      </w:tr>
      <w:tr>
        <w:trPr>
          <w:trHeight w:val="22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61,436</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307,737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61,436</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4"/>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in default at end of period</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w:t>
            </w:r>
          </w:p>
        </w:tc>
      </w:tr>
    </w:tbl>
    <w:p>
      <w:pPr>
        <w:spacing w:after="0" w:line="28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2020, $12.2 million was paid for incurred claims and claim adjustment expenses attributable to insured events of prior years. There has been a $14.3 million favorable prior year development during the nine months ended September 30, 2020. Reserves remaining as of September 30, 2020 for prior years are $42.8 million as a result of re-estimation of unpaid losses and loss adjustment expenses. For the nine months ended September 30, 2019, $9.4 million was paid for incurred claims and claim adjustment expenses attributable to insured events of prior years. There was a $15.8 million favorable prior year development during the nine months ended September 30, 2019. Reserves remaining as of September 30, 2019 for prior years were $24.2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215" w:lineRule="exact"/>
        <w:rPr>
          <w:sz w:val="20"/>
          <w:szCs w:val="20"/>
          <w:color w:val="auto"/>
        </w:rPr>
      </w:pPr>
    </w:p>
    <w:p>
      <w:pPr>
        <w:ind w:right="20" w:firstLine="180"/>
        <w:spacing w:after="0" w:line="261" w:lineRule="auto"/>
        <w:rPr>
          <w:sz w:val="20"/>
          <w:szCs w:val="20"/>
          <w:color w:val="auto"/>
        </w:rPr>
      </w:pPr>
      <w:r>
        <w:rPr>
          <w:rFonts w:ascii="Times New Roman" w:cs="Times New Roman" w:eastAsia="Times New Roman" w:hAnsi="Times New Roman"/>
          <w:sz w:val="18"/>
          <w:szCs w:val="18"/>
          <w:color w:val="auto"/>
        </w:rPr>
        <w:t>Due to business restrictions, stay-at-home orders and travel restrictions initially implemented in March 2020 as a result of COVID-19, unemployment in the United States has increased significantly. As unemployment is one of the most common reasons for borrowers to default on their mortgage, the increase in unemployment has increased the number of delinquencies on the mortgages that we insure and has the potential to increase claim frequencies on defaults. As of September 30, 2020, insured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loans in default totaled 35,464 and included 32,492 defaults classified as COVID-19 defaults.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COVID-19 defaulted loans, we expect the ultimate number of COVID-19-related defaults that result in claims will be less than our historical default-to-claim experience. Accordingly, we recorded a reserve equal to approximately 7% of the risk in force for the COVID-19 default notices received in April 2020 through September 2020. The reserve for losses and LAE on COVID-19 defaults was $247.2 million at September 30, 2020. It is reasonably possible that our estimate of the losses for the COVID-19 defaults could change in the near term as a result of the continued impact of the pandemic on the economic environment, the results of existing and future governmental programs designed to assist individuals and businesses impacted by the virus and the performance of the COVID-19 defaults in the forbearance programs. A 100 basis point increase or decrease in the reserve rate applied to COVID-19 new default notices would result in a corresponding increase or decrease in our reserve for loss and LAE of approximately $35 million as of September 30, 2020. The impact on our reserves in future periods will be dependent upon the amount of delinquent notices received from loan servicers, the performance of COVID-19 defaults and our expectations for the amount of ultimate losses on these delinquencies.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Essent Group and its subsidiaries, Essent Irish Intermediate Holdings Limited and Essent US Holdings, Inc. (collectively, the "Borrowers"), are parties to a secured credit facility (the “Credit Facility”) with committed capacity of $500 million. The Credit Facility provides for a $275 million revolving credit facility, $225 million of term loans and a $100 million uncommitted line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 commitment fee rate at September 30, 2020 was 0.25%.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15). As of September 30, 2020, the Company was in compliance with the covenants and $425 million had been borrowed under the Credit Facility with a weighted average interest rate of 1.90%. As of December 31, 2019, $225 million had been borrowed with a weighted average interest rate of 3.51%.</w:t>
      </w:r>
    </w:p>
    <w:p>
      <w:pPr>
        <w:spacing w:after="0" w:line="21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On October 14, 2020, the Credit Facility was amended to increase the committed capacity by $125 million to $625 million. The revolving component of the Credit Facility was increased from $275 million to $300 million, and the Borrowers issued $100 million of additional term loans, resulting in $325 million of term loans outstanding. The proceeds of $100 million of additional term loans, as well as Essent Group cash, were used at closing to pay down all amounts outstanding under the revolving component of the Credit Facility. The contractual maturity for borrowings under the Credit Facility was extended to October 16, 2023. The interest rate and other terms of the Credit Facility are substantially unchanged from those described above.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under Guarantees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less than $0.1 million related to remedies for each of the nine months ended September 30, 2020 and 2019. As of September 30, 2020, management believes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potential claims for indemnification related to contract underwriting services through September 30, 2020 are not material to our consolidated financial position or results of operations.</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September 30, 2020,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5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lease office space for use in our operations under leases accounted for as operating leases. These leases generally include options to extend them for periods of up to ten years. Our option to extend the term of our primary office locations at the greater of existing or prevailing market rates was not recognized in our right-of-use asset and lease liability. When establishing the value of our right-of-use asset and lease liability, we determine the discount rate for the underlying leases using the prevailing market interest rate for a borrowing of the same duration of the lease plus the risk premium inherent in the borrowings under our Credit Facility. Operating lease right-of-use assets of $8.5 million and $10.0 million as of September 30, 2020 and December 31, 2019, respectively, are reported on our condensed consolidated balance sheet as property and equipment. Operating lease liabilities of $10.7 million and $12.6 million as of September 30, 2020 and December 31, 2019, respectively, are reported on our condensed consolidated balance sheet as other accrued liabilities. Total rent expense was $0.6 million for each of the three months ended September 30, 2020 and 2019 and $1.8 million for each of the nine months ended September 30, 2020 and 2019.</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lease cost for the three and nine months ended September 30, 2020 and 2019 and other lease information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2019:</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89"/>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5"/>
                <w:szCs w:val="15"/>
                <w:color w:val="auto"/>
              </w:rPr>
            </w:pPr>
          </w:p>
        </w:tc>
        <w:tc>
          <w:tcPr>
            <w:tcW w:w="102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29"/>
        </w:trPr>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1,913</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1,808</w:t>
            </w:r>
          </w:p>
        </w:tc>
      </w:tr>
      <w:tr>
        <w:trPr>
          <w:trHeight w:val="230"/>
        </w:trPr>
        <w:tc>
          <w:tcPr>
            <w:tcW w:w="5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51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(96)</w:t>
            </w:r>
          </w:p>
        </w:tc>
      </w:tr>
      <w:tr>
        <w:trPr>
          <w:trHeight w:val="248"/>
        </w:trPr>
        <w:tc>
          <w:tcPr>
            <w:tcW w:w="51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1,808</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4.0 years</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years</w:t>
            </w:r>
          </w:p>
        </w:tc>
      </w:tr>
      <w:tr>
        <w:trPr>
          <w:trHeight w:val="230"/>
        </w:trPr>
        <w:tc>
          <w:tcPr>
            <w:tcW w:w="5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54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Essent Group Ltd. and Subsidiaries</w:t>
            </w: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54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(Unaudited)</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48"/>
        </w:trPr>
        <w:tc>
          <w:tcPr>
            <w:tcW w:w="20" w:type="dxa"/>
            <w:vAlign w:val="bottom"/>
          </w:tcPr>
          <w:p>
            <w:pPr>
              <w:spacing w:after="0"/>
              <w:rPr>
                <w:sz w:val="24"/>
                <w:szCs w:val="24"/>
                <w:color w:val="auto"/>
              </w:rPr>
            </w:pPr>
          </w:p>
        </w:tc>
        <w:tc>
          <w:tcPr>
            <w:tcW w:w="9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following table presents a maturity analysis of our lease liabilities as follows at September 30, 2020:</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(October 1 through December 31)</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2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30"/>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2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r>
      <w:tr>
        <w:trPr>
          <w:trHeight w:val="229"/>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30"/>
        </w:trPr>
        <w:tc>
          <w:tcPr>
            <w:tcW w:w="20" w:type="dxa"/>
            <w:vAlign w:val="bottom"/>
            <w:tcBorders>
              <w:bottom w:val="single" w:sz="8" w:color="CCEEFF"/>
            </w:tcBorders>
          </w:tcPr>
          <w:p>
            <w:pPr>
              <w:spacing w:after="0"/>
              <w:rPr>
                <w:sz w:val="19"/>
                <w:szCs w:val="19"/>
                <w:color w:val="auto"/>
              </w:rPr>
            </w:pPr>
          </w:p>
        </w:tc>
        <w:tc>
          <w:tcPr>
            <w:tcW w:w="9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23"/>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 to be paid</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w:t>
            </w:r>
          </w:p>
        </w:tc>
      </w:tr>
      <w:tr>
        <w:trPr>
          <w:trHeight w:val="230"/>
        </w:trPr>
        <w:tc>
          <w:tcPr>
            <w:tcW w:w="20" w:type="dxa"/>
            <w:vAlign w:val="bottom"/>
            <w:tcBorders>
              <w:bottom w:val="single" w:sz="8" w:color="CCEEFF"/>
            </w:tcBorders>
          </w:tcPr>
          <w:p>
            <w:pPr>
              <w:spacing w:after="0"/>
              <w:rPr>
                <w:sz w:val="19"/>
                <w:szCs w:val="19"/>
                <w:color w:val="auto"/>
              </w:rPr>
            </w:pPr>
          </w:p>
        </w:tc>
        <w:tc>
          <w:tcPr>
            <w:tcW w:w="9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Future interest expense</w:t>
            </w: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5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Capital Stock</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w:t>
      </w:r>
    </w:p>
    <w:p>
      <w:pPr>
        <w:spacing w:after="0" w:line="3"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21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June 2020, Essent Group completed the sale of 13.8 million common shares in a public offering at a price of $33.25 per share. The total net proceeds from this offering were approximately $440.0 million after deducting underwriting discounts, commissions and other offering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2020, the Board of Directors declared a quarterly cash dividend of $0.16 per common share which was paid on March 20, 2020. In May 2020, the Board of Directors declared a quarterly cash dividend of $0.16 per common share which was paid on June 12, 2020. In August 2020, the Board of Directors declared a quarterly cash dividend of $0.16 per common share which was paid on September 10, 2020, to shareholders of record on August 31, 2020. In November 2020, the Board of Directors declared a quarterly cash dividend of $0.16 per common share payable on December 10, 2020, to shareholders of record on December 1, 2020.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IPO in 2013, Essent Group's Board of Directors adopted, and Essent Group's shareholders </w:t>
      </w:r>
      <w:r>
        <w:rPr>
          <w:rFonts w:ascii="Times New Roman" w:cs="Times New Roman" w:eastAsia="Times New Roman" w:hAnsi="Times New Roman"/>
          <w:sz w:val="18"/>
          <w:szCs w:val="18"/>
          <w:color w:val="242021"/>
        </w:rPr>
        <w:t>approved, the Essent Group Ltd.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021"/>
        </w:rPr>
        <w:t>2013 Long-Term Incentive Plan (the "2013 Plan"), which was effective upon completion of the initial public offering. The types of awards available under the 2013 Plan include nonvested shares, nonvested share units, non-</w:t>
      </w:r>
      <w:r>
        <w:rPr>
          <w:rFonts w:ascii="Times New Roman" w:cs="Times New Roman" w:eastAsia="Times New Roman" w:hAnsi="Times New Roman"/>
          <w:sz w:val="18"/>
          <w:szCs w:val="18"/>
          <w:color w:val="000000"/>
        </w:rPr>
        <w:t>qualified share options, incentive stock options, share appreciation rights, and other</w:t>
      </w:r>
      <w:r>
        <w:rPr>
          <w:rFonts w:ascii="Times New Roman" w:cs="Times New Roman" w:eastAsia="Times New Roman" w:hAnsi="Times New Roman"/>
          <w:sz w:val="18"/>
          <w:szCs w:val="18"/>
          <w:color w:val="242021"/>
        </w:rPr>
        <w:t xml:space="preserve"> </w:t>
      </w:r>
      <w:r>
        <w:rPr>
          <w:rFonts w:ascii="Times New Roman" w:cs="Times New Roman" w:eastAsia="Times New Roman" w:hAnsi="Times New Roman"/>
          <w:sz w:val="18"/>
          <w:szCs w:val="18"/>
          <w:color w:val="000000"/>
        </w:rPr>
        <w:t>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nonvested common share, nonvested common share unit and DEU activity for the nine months ended September 30, 2020:</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Time and Performance-</w:t>
            </w:r>
          </w:p>
        </w:tc>
        <w:tc>
          <w:tcPr>
            <w:tcW w:w="212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210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DEUs</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Based Share Awards</w:t>
            </w:r>
          </w:p>
        </w:tc>
        <w:tc>
          <w:tcPr>
            <w:tcW w:w="21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2100" w:type="dxa"/>
            <w:vAlign w:val="bottom"/>
            <w:gridSpan w:val="5"/>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8"/>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8"/>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8"/>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2820" w:type="dxa"/>
            <w:vAlign w:val="bottom"/>
            <w:gridSpan w:val="2"/>
            <w:vMerge w:val="continue"/>
          </w:tcPr>
          <w:p>
            <w:pPr>
              <w:spacing w:after="0"/>
              <w:rPr>
                <w:sz w:val="16"/>
                <w:szCs w:val="16"/>
                <w:color w:val="auto"/>
              </w:rPr>
            </w:pPr>
          </w:p>
        </w:tc>
        <w:tc>
          <w:tcPr>
            <w:tcW w:w="96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6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2020, certain members of senior management were granted nonvested common shares under the Essent Group Ltd. 2013 Long-Term Incentive Plan ("2013 Plan") that were subject to time-based and performance-based vesting. The time-based share awards granted in February 2020 vest in three equal installments on March 1, 2021, 2022 and 2023. The performance-based share awards granted in February 2020 vest based upon our compounded annual book value per share growth percentage during a three-year performance period that commenced on January 1, 2020 and vest on March 1, 2023. The portion of these nonvested performance-based share awards that will be earned based upon the achievement of compounded annual book value per share growth is as follows:</w:t>
      </w: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level</w:t>
            </w:r>
          </w:p>
        </w:tc>
        <w:tc>
          <w:tcPr>
            <w:tcW w:w="24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Compounded Annual Book Value</w:t>
            </w:r>
          </w:p>
        </w:tc>
        <w:tc>
          <w:tcPr>
            <w:tcW w:w="18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Nonvested Common</w:t>
            </w:r>
          </w:p>
        </w:tc>
        <w:tc>
          <w:tcPr>
            <w:tcW w:w="0" w:type="dxa"/>
            <w:vAlign w:val="bottom"/>
          </w:tcPr>
          <w:p>
            <w:pPr>
              <w:spacing w:after="0"/>
              <w:rPr>
                <w:sz w:val="1"/>
                <w:szCs w:val="1"/>
                <w:color w:val="auto"/>
              </w:rPr>
            </w:pPr>
          </w:p>
        </w:tc>
      </w:tr>
      <w:tr>
        <w:trPr>
          <w:trHeight w:val="189"/>
        </w:trPr>
        <w:tc>
          <w:tcPr>
            <w:tcW w:w="6860" w:type="dxa"/>
            <w:vAlign w:val="bottom"/>
            <w:gridSpan w:val="2"/>
            <w:vMerge w:val="continue"/>
          </w:tcPr>
          <w:p>
            <w:pPr>
              <w:spacing w:after="0"/>
              <w:rPr>
                <w:sz w:val="16"/>
                <w:szCs w:val="16"/>
                <w:color w:val="auto"/>
              </w:rPr>
            </w:pPr>
          </w:p>
        </w:tc>
        <w:tc>
          <w:tcPr>
            <w:tcW w:w="246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Per Share Growth</w:t>
            </w:r>
          </w:p>
        </w:tc>
        <w:tc>
          <w:tcPr>
            <w:tcW w:w="18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Shares Earned</w:t>
            </w:r>
          </w:p>
        </w:tc>
        <w:tc>
          <w:tcPr>
            <w:tcW w:w="0" w:type="dxa"/>
            <w:vAlign w:val="bottom"/>
          </w:tcPr>
          <w:p>
            <w:pPr>
              <w:spacing w:after="0"/>
              <w:rPr>
                <w:sz w:val="1"/>
                <w:szCs w:val="1"/>
                <w:color w:val="auto"/>
              </w:rPr>
            </w:pPr>
          </w:p>
        </w:tc>
      </w:tr>
      <w:tr>
        <w:trPr>
          <w:trHeight w:val="223"/>
        </w:trPr>
        <w:tc>
          <w:tcPr>
            <w:tcW w:w="66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&lt;13 %</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24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13 %</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14 %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6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15 %</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16 %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24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≥17 %</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6"/>
        </w:trPr>
        <w:tc>
          <w:tcPr>
            <w:tcW w:w="66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46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January 2020, time-based share units were issued to all vice president and staff level employees and vest in three equal installments on January 2021, 2022 and 2023. In connection with our incentive program covering bonus awards for performance year 2019, in February 2020, time-based share units were issued to certain employees that vest in three equal installments on March 1, 2021, 2022 and 2023. In May 2020, time-based share units were granted to non-employee directors that vest one year from the date of grant.</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total fair value on the vesting date of nonvested shares, share units or DEUs that vested was $18.5 million and $24.9 million for the nine months ended September 30, 2020 and 2019, respectively. As of September 30, 2020, there was $28.8 million of total unrecognized compensation expense related to nonvested shares or share units outstanding at September 30, 2020 and we expect to recognize the expense over a weighted average period of 2.0 years.</w:t>
      </w:r>
    </w:p>
    <w:p>
      <w:pPr>
        <w:spacing w:after="0" w:line="18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Employees have the option to tender shares to Essent Group to pay the minimum employee statutory withholding taxes associated with shares upon vesting. Common shares tendered by employees to pay employee withholding taxes totaled 141,801 in the nine months ended September 30, 2020. The tendered shares were recorded at cost and included in treasury stock. All treasury stock has been cancelled as of September 30, 2020.</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expense, net of forfeitures, and related tax effects recognized in connection with nonvested shares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w:t>
            </w: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Dividends Restrictions</w:t>
      </w:r>
    </w:p>
    <w:p>
      <w:pPr>
        <w:spacing w:after="0" w:line="256"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September 30, 2020, Essent Guaranty had unassigned surplus of approximately $342.7 million. Essent Guaranty did not pay dividends to Essent Group or any intermediate holding companies in the three and nine months ended September 30, 2020 or 2019. As a result of PMIERs guidance issued by the GSEs, effective June 30, 2020 through March 31, 2021, Essent Guaranty is required to obtain GSE written approval before paying a dividend. Essent PA had unassigned surplus of approximately $15.2 million as of September 30, 2020. Essent PA did not pay a dividend in the three and nine months ended September 30, 2020 or 2019.</w:t>
      </w:r>
    </w:p>
    <w:p>
      <w:pPr>
        <w:spacing w:after="0" w:line="215"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September 30, 2020, Essent Re had total equity of $1.1 billion.</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September 30, 2020, our insurance subsidiaries were in compliance with these rules, regulations and agreements.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5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2020, the statutory income tax rates of the countries where the Company does business are 21% in the United States and 0.0% in Bermuda. The statutory income tax rate of each country is applied against the taxable income from each country to calculate the income tax expense. For the six months ended June 30, 2020, our provision for income taxes was not based on an estimated annual effective rate due to uncertainty regarding the potential impacts of COVID-19 on our results of operations. Accordingly, we were unable to make a reliable estimate of pretax income and the annual effective tax rate for the full year 2020, and the provision for income taxes for the six months ended June 30, 2020 was based on the actual effective tax rate for the year to date period. As of September 30, 2020, we concluded that we had sufficient information regarding the potential impacts of COVID-19 on our results of operations to make a reliable estimate of pretax income and the annual effective tax rate for the full year 2020. Accordingly, the provision for income taxes for the three and nine months ended September 30, 2020 was calculated using an estimated annual effective tax rate of 16.0%.</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Income tax expense consists of the following components: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30,605</w:t>
            </w:r>
          </w:p>
        </w:tc>
      </w:tr>
      <w:tr>
        <w:trPr>
          <w:trHeight w:val="230"/>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45,317</w:t>
            </w:r>
          </w:p>
        </w:tc>
      </w:tr>
      <w:tr>
        <w:trPr>
          <w:trHeight w:val="248"/>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75,922</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Income tax expense is different from that which would be obtained by applying the applicable statutory income tax rates to income before taxes by jurisdiction (i.e. U.S. 21%; Bermuda 0.0%). The reconciliation of the difference between income tax expense and the expected tax provision at the weighted average tax rate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80" w:type="dxa"/>
            <w:vAlign w:val="bottom"/>
          </w:tcPr>
          <w:p>
            <w:pPr>
              <w:spacing w:after="0"/>
              <w:rPr>
                <w:sz w:val="13"/>
                <w:szCs w:val="13"/>
                <w:color w:val="auto"/>
              </w:rPr>
            </w:pPr>
          </w:p>
        </w:tc>
        <w:tc>
          <w:tcPr>
            <w:tcW w:w="1000" w:type="dxa"/>
            <w:vAlign w:val="bottom"/>
            <w:vMerge w:val="restart"/>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54"/>
              <w:spacing w:after="0" w:line="155" w:lineRule="exact"/>
              <w:rPr>
                <w:sz w:val="20"/>
                <w:szCs w:val="20"/>
                <w:color w:val="auto"/>
              </w:rPr>
            </w:pPr>
            <w:r>
              <w:rPr>
                <w:rFonts w:ascii="Times New Roman" w:cs="Times New Roman" w:eastAsia="Times New Roman" w:hAnsi="Times New Roman"/>
                <w:sz w:val="16"/>
                <w:szCs w:val="16"/>
                <w:b w:val="1"/>
                <w:bCs w:val="1"/>
                <w:color w:val="auto"/>
              </w:rPr>
              <w:t>% of pretax</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52"/>
              <w:spacing w:after="0" w:line="155" w:lineRule="exact"/>
              <w:rPr>
                <w:sz w:val="20"/>
                <w:szCs w:val="20"/>
                <w:color w:val="auto"/>
              </w:rPr>
            </w:pPr>
            <w:r>
              <w:rPr>
                <w:rFonts w:ascii="Times New Roman" w:cs="Times New Roman" w:eastAsia="Times New Roman" w:hAnsi="Times New Roman"/>
                <w:sz w:val="16"/>
                <w:szCs w:val="16"/>
                <w:b w:val="1"/>
                <w:bCs w:val="1"/>
                <w:color w:val="auto"/>
              </w:rPr>
              <w:t>% of pretax</w:t>
            </w:r>
          </w:p>
        </w:tc>
        <w:tc>
          <w:tcPr>
            <w:tcW w:w="0" w:type="dxa"/>
            <w:vAlign w:val="bottom"/>
          </w:tcPr>
          <w:p>
            <w:pPr>
              <w:spacing w:after="0"/>
              <w:rPr>
                <w:sz w:val="1"/>
                <w:szCs w:val="1"/>
                <w:color w:val="auto"/>
              </w:rPr>
            </w:pPr>
          </w:p>
        </w:tc>
      </w:tr>
      <w:tr>
        <w:trPr>
          <w:trHeight w:val="214"/>
        </w:trPr>
        <w:tc>
          <w:tcPr>
            <w:tcW w:w="55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7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25"/>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 at weighted average statutory rates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exempt interest, net of proration</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38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23,895</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80" w:type="dxa"/>
            <w:vAlign w:val="bottom"/>
          </w:tcPr>
          <w:p>
            <w:pPr>
              <w:spacing w:after="0"/>
              <w:rPr>
                <w:sz w:val="13"/>
                <w:szCs w:val="13"/>
                <w:color w:val="auto"/>
              </w:rPr>
            </w:pPr>
          </w:p>
        </w:tc>
        <w:tc>
          <w:tcPr>
            <w:tcW w:w="1000" w:type="dxa"/>
            <w:vAlign w:val="bottom"/>
            <w:vMerge w:val="restart"/>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54"/>
              <w:spacing w:after="0" w:line="155" w:lineRule="exact"/>
              <w:rPr>
                <w:sz w:val="20"/>
                <w:szCs w:val="20"/>
                <w:color w:val="auto"/>
              </w:rPr>
            </w:pPr>
            <w:r>
              <w:rPr>
                <w:rFonts w:ascii="Times New Roman" w:cs="Times New Roman" w:eastAsia="Times New Roman" w:hAnsi="Times New Roman"/>
                <w:sz w:val="16"/>
                <w:szCs w:val="16"/>
                <w:b w:val="1"/>
                <w:bCs w:val="1"/>
                <w:color w:val="auto"/>
              </w:rPr>
              <w:t>% of pretax</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52"/>
              <w:spacing w:after="0" w:line="155" w:lineRule="exact"/>
              <w:rPr>
                <w:sz w:val="20"/>
                <w:szCs w:val="20"/>
                <w:color w:val="auto"/>
              </w:rPr>
            </w:pPr>
            <w:r>
              <w:rPr>
                <w:rFonts w:ascii="Times New Roman" w:cs="Times New Roman" w:eastAsia="Times New Roman" w:hAnsi="Times New Roman"/>
                <w:sz w:val="16"/>
                <w:szCs w:val="16"/>
                <w:b w:val="1"/>
                <w:bCs w:val="1"/>
                <w:color w:val="auto"/>
              </w:rPr>
              <w:t>% of pretax</w:t>
            </w:r>
          </w:p>
        </w:tc>
        <w:tc>
          <w:tcPr>
            <w:tcW w:w="0" w:type="dxa"/>
            <w:vAlign w:val="bottom"/>
          </w:tcPr>
          <w:p>
            <w:pPr>
              <w:spacing w:after="0"/>
              <w:rPr>
                <w:sz w:val="1"/>
                <w:szCs w:val="1"/>
                <w:color w:val="auto"/>
              </w:rPr>
            </w:pPr>
          </w:p>
        </w:tc>
      </w:tr>
      <w:tr>
        <w:trPr>
          <w:trHeight w:val="214"/>
        </w:trPr>
        <w:tc>
          <w:tcPr>
            <w:tcW w:w="55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7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25"/>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 at weighted average statutory rates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exempt interest, net of proration</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54,505</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provide deferred taxes to reflect the estimated future tax effects of the differences between the financial statement and tax bases of assets and liabilities using currently enacted tax laws. The net deferred tax liability was comprised of the following:</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8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29,392</w:t>
            </w:r>
          </w:p>
        </w:tc>
      </w:tr>
      <w:tr>
        <w:trPr>
          <w:trHeight w:val="229"/>
        </w:trPr>
        <w:tc>
          <w:tcPr>
            <w:tcW w:w="8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(310,928)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(279,012)</w:t>
            </w: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(249,620)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net deferred tax liability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1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8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Contingency reserves</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(279,107)</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(261,855)</w:t>
            </w: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w:t>
            </w:r>
          </w:p>
        </w:tc>
      </w:tr>
      <w:tr>
        <w:trPr>
          <w:trHeight w:val="23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Unearned premium reserve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16,641</w:t>
            </w: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r>
      <w:tr>
        <w:trPr>
          <w:trHeight w:val="23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ceding commissions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reserves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shares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Start-up expenditures,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3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market value of derivatives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limited partnerships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reserves - TCJA transition adjustment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8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Organizational expenditures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(249,620)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a mortgage guaranty insurer, we are eligible for a tax deduction, subject to certain limitations, under Section 832(e) of the IRC for amounts required by state law or regulation to be set aside in statutory contingency reserves. The deduction is allowed only to the extent that we purchase non-interest-bearing United States Mortgage Guaranty Tax and Loss Bonds ("T&amp;L Bonds") issued by the Treasury Department in an amount equal to the tax benefit derived from deducting any portion of our statutory contingency reserves. During the nine months ended September 30, 2020, we had purchases of T&amp;L Bonds in the amount of $17.3 million and for the year ended December 31, 2019, we had net purchases of T&amp;L Bonds in the amount of $59.5 million. As of September 30, 2020 and December 31, 2019, we held $279.1 million and $261.9 million of T&amp;L Bonds, respectively.</w:t>
      </w:r>
    </w:p>
    <w:p>
      <w:pPr>
        <w:spacing w:after="0" w:line="21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evaluating our ability to realize the benefit of our deferred tax assets, we consider the relevant impact of all available positive and negative evidence including our past operating results and our forecasts of future taxable income. At September 30, 2020 and December 31, 2019, after weighing all the evidence, management concluded that it was more likely than not that our deferred tax assets would be realized.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Earnings per Share (EPS)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net income and the weighted average common shares outstanding used in the computations of basic and diluted earnings per common share: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89"/>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00" w:type="dxa"/>
            <w:vAlign w:val="bottom"/>
          </w:tcPr>
          <w:p>
            <w:pPr>
              <w:spacing w:after="0"/>
              <w:rPr>
                <w:sz w:val="15"/>
                <w:szCs w:val="15"/>
                <w:color w:val="auto"/>
              </w:rPr>
            </w:pPr>
          </w:p>
        </w:tc>
        <w:tc>
          <w:tcPr>
            <w:tcW w:w="12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23"/>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124,536</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144,630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289,439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408,755</w:t>
            </w:r>
          </w:p>
        </w:tc>
      </w:tr>
      <w:tr>
        <w:trPr>
          <w:trHeight w:val="54"/>
        </w:trPr>
        <w:tc>
          <w:tcPr>
            <w:tcW w:w="5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97,739</w:t>
            </w: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nonvested shares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112,134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98,178</w:t>
            </w:r>
          </w:p>
        </w:tc>
      </w:tr>
      <w:tr>
        <w:trPr>
          <w:trHeight w:val="54"/>
        </w:trPr>
        <w:tc>
          <w:tcPr>
            <w:tcW w:w="5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900"/>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There were 369,460 and 203 antidilutive shares for the three months ended September 30, 2020 and 2019, respectively, and 433,548 and 52,766 antidilutive shares for the nine months ended September 30, 2020 and 2019, respectively.</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nonvested performance-based share awards are considered contingently issuable for purposes of the EPS calculation. Based on the compounded annual book value per share growth as of September 30, 2020, the following percentages of the performance-based share awards would be issuable under the terms of the arrangements if September 30, 2020 was the end of the contingency period:</w:t>
      </w:r>
    </w:p>
    <w:p>
      <w:pPr>
        <w:spacing w:after="0" w:line="100" w:lineRule="exact"/>
        <w:rPr>
          <w:sz w:val="20"/>
          <w:szCs w:val="20"/>
          <w:color w:val="auto"/>
        </w:rPr>
      </w:pPr>
    </w:p>
    <w:tbl>
      <w:tblPr>
        <w:tblLayout w:type="fixed"/>
        <w:tblInd w:w="2960" w:type="dxa"/>
        <w:tblCellMar>
          <w:top w:w="0" w:type="dxa"/>
          <w:left w:w="0" w:type="dxa"/>
          <w:bottom w:w="0" w:type="dxa"/>
          <w:right w:w="0" w:type="dxa"/>
        </w:tblCellMar>
      </w:tblP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 Performance-Based Grants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 Performance-Based Grants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Performance-Based Grants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0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Based on the compounded annual book value per share growth as of September 30, 2019, 100% of all performance-based share awards would have been issuable under the terms of the arrangements if September 30, 2019 was the end of the contingency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Accumulated Other Comprehensive Income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rollforward of accumulated other comprehensive income (loss)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2019:</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6"/>
                <w:szCs w:val="16"/>
                <w:color w:val="auto"/>
              </w:rPr>
            </w:pPr>
          </w:p>
        </w:tc>
        <w:tc>
          <w:tcPr>
            <w:tcW w:w="24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96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00" w:type="dxa"/>
            <w:vAlign w:val="bottom"/>
          </w:tcPr>
          <w:p>
            <w:pPr>
              <w:spacing w:after="0"/>
              <w:rPr>
                <w:sz w:val="16"/>
                <w:szCs w:val="16"/>
                <w:color w:val="auto"/>
              </w:rPr>
            </w:pP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80" w:type="dxa"/>
            <w:vAlign w:val="bottom"/>
          </w:tcPr>
          <w:p>
            <w:pPr>
              <w:spacing w:after="0"/>
              <w:rPr>
                <w:sz w:val="16"/>
                <w:szCs w:val="16"/>
                <w:color w:val="auto"/>
              </w:rPr>
            </w:pPr>
          </w:p>
        </w:tc>
        <w:tc>
          <w:tcPr>
            <w:tcW w:w="9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0" w:type="dxa"/>
            <w:vAlign w:val="bottom"/>
          </w:tcPr>
          <w:p>
            <w:pPr>
              <w:spacing w:after="0"/>
              <w:rPr>
                <w:sz w:val="1"/>
                <w:szCs w:val="1"/>
                <w:color w:val="auto"/>
              </w:rPr>
            </w:pPr>
          </w:p>
        </w:tc>
      </w:tr>
      <w:tr>
        <w:trPr>
          <w:trHeight w:val="223"/>
        </w:trPr>
        <w:tc>
          <w:tcPr>
            <w:tcW w:w="3780" w:type="dxa"/>
            <w:vAlign w:val="bottom"/>
            <w:tcBorders>
              <w:top w:val="single" w:sz="8" w:color="auto"/>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144,225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(23,827)</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120,398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45,360</w:t>
            </w:r>
          </w:p>
        </w:tc>
        <w:tc>
          <w:tcPr>
            <w:tcW w:w="0" w:type="dxa"/>
            <w:vAlign w:val="bottom"/>
          </w:tcPr>
          <w:p>
            <w:pPr>
              <w:spacing w:after="0"/>
              <w:rPr>
                <w:sz w:val="1"/>
                <w:szCs w:val="1"/>
                <w:color w:val="auto"/>
              </w:rPr>
            </w:pPr>
          </w:p>
        </w:tc>
      </w:tr>
      <w:tr>
        <w:trPr>
          <w:trHeight w:val="210"/>
        </w:trPr>
        <w:tc>
          <w:tcPr>
            <w:tcW w:w="3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0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holding gains (losses) on</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00" w:type="dxa"/>
            <w:vAlign w:val="bottom"/>
            <w:gridSpan w:val="3"/>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holding gains arising during the</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0" w:type="dxa"/>
            <w:vAlign w:val="bottom"/>
          </w:tcPr>
          <w:p>
            <w:pPr>
              <w:spacing w:after="0"/>
              <w:rPr>
                <w:sz w:val="1"/>
                <w:szCs w:val="1"/>
                <w:color w:val="auto"/>
              </w:rPr>
            </w:pPr>
          </w:p>
        </w:tc>
      </w:tr>
      <w:tr>
        <w:trPr>
          <w:trHeight w:val="229"/>
        </w:trPr>
        <w:tc>
          <w:tcPr>
            <w:tcW w:w="39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period</w:t>
            </w: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0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color w:val="auto"/>
              </w:rPr>
              <w:t>Less: Reclassification adjustment for gains</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gridSpan w:val="3"/>
          </w:tcPr>
          <w:p>
            <w:pPr>
              <w:ind w:left="500"/>
              <w:spacing w:after="0"/>
              <w:rPr>
                <w:sz w:val="20"/>
                <w:szCs w:val="20"/>
                <w:color w:val="auto"/>
              </w:rPr>
            </w:pPr>
            <w:r>
              <w:rPr>
                <w:rFonts w:ascii="Times New Roman" w:cs="Times New Roman" w:eastAsia="Times New Roman" w:hAnsi="Times New Roman"/>
                <w:sz w:val="18"/>
                <w:szCs w:val="18"/>
                <w:color w:val="auto"/>
              </w:rPr>
              <w:t>included in net income (1)</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unrealized gains on investments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17,367</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17,367</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62,727</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24"/>
                <w:szCs w:val="24"/>
                <w:color w:val="auto"/>
              </w:rPr>
            </w:pPr>
          </w:p>
        </w:tc>
        <w:tc>
          <w:tcPr>
            <w:tcW w:w="96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00" w:type="dxa"/>
            <w:vAlign w:val="bottom"/>
          </w:tcPr>
          <w:p>
            <w:pPr>
              <w:spacing w:after="0"/>
              <w:rPr>
                <w:sz w:val="16"/>
                <w:szCs w:val="16"/>
                <w:color w:val="auto"/>
              </w:rPr>
            </w:pP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80" w:type="dxa"/>
            <w:vAlign w:val="bottom"/>
          </w:tcPr>
          <w:p>
            <w:pPr>
              <w:spacing w:after="0"/>
              <w:rPr>
                <w:sz w:val="16"/>
                <w:szCs w:val="16"/>
                <w:color w:val="auto"/>
              </w:rPr>
            </w:pPr>
          </w:p>
        </w:tc>
        <w:tc>
          <w:tcPr>
            <w:tcW w:w="9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0" w:type="dxa"/>
            <w:vAlign w:val="bottom"/>
          </w:tcPr>
          <w:p>
            <w:pPr>
              <w:spacing w:after="0"/>
              <w:rPr>
                <w:sz w:val="1"/>
                <w:szCs w:val="1"/>
                <w:color w:val="auto"/>
              </w:rPr>
            </w:pPr>
          </w:p>
        </w:tc>
      </w:tr>
      <w:tr>
        <w:trPr>
          <w:trHeight w:val="223"/>
        </w:trPr>
        <w:tc>
          <w:tcPr>
            <w:tcW w:w="3780" w:type="dxa"/>
            <w:vAlign w:val="bottom"/>
            <w:tcBorders>
              <w:top w:val="single" w:sz="8" w:color="auto"/>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(28,993)</w:t>
            </w:r>
          </w:p>
        </w:tc>
        <w:tc>
          <w:tcPr>
            <w:tcW w:w="0" w:type="dxa"/>
            <w:vAlign w:val="bottom"/>
          </w:tcPr>
          <w:p>
            <w:pPr>
              <w:spacing w:after="0"/>
              <w:rPr>
                <w:sz w:val="1"/>
                <w:szCs w:val="1"/>
                <w:color w:val="auto"/>
              </w:rPr>
            </w:pPr>
          </w:p>
        </w:tc>
      </w:tr>
      <w:tr>
        <w:trPr>
          <w:trHeight w:val="210"/>
        </w:trPr>
        <w:tc>
          <w:tcPr>
            <w:tcW w:w="3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0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holding gains (losses) on</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00" w:type="dxa"/>
            <w:vAlign w:val="bottom"/>
            <w:gridSpan w:val="3"/>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holding gains arising during the</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93,636</w:t>
            </w:r>
          </w:p>
        </w:tc>
        <w:tc>
          <w:tcPr>
            <w:tcW w:w="0" w:type="dxa"/>
            <w:vAlign w:val="bottom"/>
          </w:tcPr>
          <w:p>
            <w:pPr>
              <w:spacing w:after="0"/>
              <w:rPr>
                <w:sz w:val="1"/>
                <w:szCs w:val="1"/>
                <w:color w:val="auto"/>
              </w:rPr>
            </w:pPr>
          </w:p>
        </w:tc>
      </w:tr>
      <w:tr>
        <w:trPr>
          <w:trHeight w:val="229"/>
        </w:trPr>
        <w:tc>
          <w:tcPr>
            <w:tcW w:w="39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period</w:t>
            </w: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00" w:type="dxa"/>
            <w:vAlign w:val="bottom"/>
            <w:gridSpan w:val="3"/>
          </w:tcPr>
          <w:p>
            <w:pPr>
              <w:ind w:left="360"/>
              <w:spacing w:after="0" w:line="176" w:lineRule="exact"/>
              <w:rPr>
                <w:sz w:val="20"/>
                <w:szCs w:val="20"/>
                <w:color w:val="auto"/>
              </w:rPr>
            </w:pPr>
            <w:r>
              <w:rPr>
                <w:rFonts w:ascii="Times New Roman" w:cs="Times New Roman" w:eastAsia="Times New Roman" w:hAnsi="Times New Roman"/>
                <w:sz w:val="18"/>
                <w:szCs w:val="18"/>
                <w:color w:val="auto"/>
              </w:rPr>
              <w:t>Less: Reclassification adjustment for gains</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gridSpan w:val="3"/>
          </w:tcPr>
          <w:p>
            <w:pPr>
              <w:ind w:left="520"/>
              <w:spacing w:after="0"/>
              <w:rPr>
                <w:sz w:val="20"/>
                <w:szCs w:val="20"/>
                <w:color w:val="auto"/>
              </w:rPr>
            </w:pPr>
            <w:r>
              <w:rPr>
                <w:rFonts w:ascii="Times New Roman" w:cs="Times New Roman" w:eastAsia="Times New Roman" w:hAnsi="Times New Roman"/>
                <w:sz w:val="18"/>
                <w:szCs w:val="18"/>
                <w:color w:val="auto"/>
              </w:rPr>
              <w:t>included in net income (1)</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unrealized gains on investments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91,720</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91,720</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62,727</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540" w:right="1960" w:hanging="5208"/>
        <w:spacing w:after="0" w:line="970" w:lineRule="auto"/>
        <w:tabs>
          <w:tab w:leader="none" w:pos="6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net realized investment gains (losses) on our condensed consolidated statements of comprehensive income.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of Financial Instruments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0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 accessible at the measurement date.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used the following methods and assumptions in estimating fair values of financial instruments:</w:t>
      </w:r>
    </w:p>
    <w:p>
      <w:pPr>
        <w:spacing w:after="0" w:line="252" w:lineRule="exact"/>
        <w:rPr>
          <w:sz w:val="20"/>
          <w:szCs w:val="20"/>
          <w:color w:val="auto"/>
        </w:rPr>
      </w:pPr>
    </w:p>
    <w:p>
      <w:pPr>
        <w:ind w:left="660" w:hanging="328"/>
        <w:spacing w:after="0" w:line="25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87" w:lineRule="exact"/>
        <w:rPr>
          <w:rFonts w:ascii="Times New Roman" w:cs="Times New Roman" w:eastAsia="Times New Roman" w:hAnsi="Times New Roman"/>
          <w:sz w:val="18"/>
          <w:szCs w:val="18"/>
          <w:color w:val="auto"/>
        </w:rPr>
      </w:pPr>
    </w:p>
    <w:p>
      <w:pPr>
        <w:ind w:left="66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reasonableness of prices received from our primary pricing service by comparison to prices obtained from additional pricing sources. We have not made any adjustments to the prices obtained from our primary pricing service.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3"/>
                <w:szCs w:val="13"/>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 (In thousands)</w:t>
            </w:r>
          </w:p>
        </w:tc>
        <w:tc>
          <w:tcPr>
            <w:tcW w:w="20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8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229,417</w:t>
            </w:r>
          </w:p>
        </w:tc>
        <w:tc>
          <w:tcPr>
            <w:tcW w:w="0" w:type="dxa"/>
            <w:vAlign w:val="bottom"/>
          </w:tcPr>
          <w:p>
            <w:pPr>
              <w:spacing w:after="0"/>
              <w:rPr>
                <w:sz w:val="1"/>
                <w:szCs w:val="1"/>
                <w:color w:val="auto"/>
              </w:rPr>
            </w:pPr>
          </w:p>
        </w:tc>
      </w:tr>
      <w:tr>
        <w:trPr>
          <w:trHeight w:val="230"/>
        </w:trPr>
        <w:tc>
          <w:tcPr>
            <w:tcW w:w="48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U.S. agency securities</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14,640</w:t>
            </w:r>
          </w:p>
        </w:tc>
        <w:tc>
          <w:tcPr>
            <w:tcW w:w="0" w:type="dxa"/>
            <w:vAlign w:val="bottom"/>
          </w:tcPr>
          <w:p>
            <w:pPr>
              <w:spacing w:after="0"/>
              <w:rPr>
                <w:sz w:val="1"/>
                <w:szCs w:val="1"/>
                <w:color w:val="auto"/>
              </w:rPr>
            </w:pPr>
          </w:p>
        </w:tc>
      </w:tr>
      <w:tr>
        <w:trPr>
          <w:trHeight w:val="229"/>
        </w:trPr>
        <w:tc>
          <w:tcPr>
            <w:tcW w:w="48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956,581</w:t>
            </w:r>
          </w:p>
        </w:tc>
        <w:tc>
          <w:tcPr>
            <w:tcW w:w="0" w:type="dxa"/>
            <w:vAlign w:val="bottom"/>
          </w:tcPr>
          <w:p>
            <w:pPr>
              <w:spacing w:after="0"/>
              <w:rPr>
                <w:sz w:val="1"/>
                <w:szCs w:val="1"/>
                <w:color w:val="auto"/>
              </w:rPr>
            </w:pPr>
          </w:p>
        </w:tc>
      </w:tr>
      <w:tr>
        <w:trPr>
          <w:trHeight w:val="229"/>
        </w:trPr>
        <w:tc>
          <w:tcPr>
            <w:tcW w:w="48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493,673</w:t>
            </w:r>
          </w:p>
        </w:tc>
        <w:tc>
          <w:tcPr>
            <w:tcW w:w="0" w:type="dxa"/>
            <w:vAlign w:val="bottom"/>
          </w:tcPr>
          <w:p>
            <w:pPr>
              <w:spacing w:after="0"/>
              <w:rPr>
                <w:sz w:val="1"/>
                <w:szCs w:val="1"/>
                <w:color w:val="auto"/>
              </w:rPr>
            </w:pPr>
          </w:p>
        </w:tc>
      </w:tr>
      <w:tr>
        <w:trPr>
          <w:trHeight w:val="230"/>
        </w:trPr>
        <w:tc>
          <w:tcPr>
            <w:tcW w:w="48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60,752</w:t>
            </w:r>
          </w:p>
        </w:tc>
        <w:tc>
          <w:tcPr>
            <w:tcW w:w="0" w:type="dxa"/>
            <w:vAlign w:val="bottom"/>
          </w:tcPr>
          <w:p>
            <w:pPr>
              <w:spacing w:after="0"/>
              <w:rPr>
                <w:sz w:val="1"/>
                <w:szCs w:val="1"/>
                <w:color w:val="auto"/>
              </w:rPr>
            </w:pPr>
          </w:p>
        </w:tc>
      </w:tr>
      <w:tr>
        <w:trPr>
          <w:trHeight w:val="229"/>
        </w:trPr>
        <w:tc>
          <w:tcPr>
            <w:tcW w:w="48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985,384</w:t>
            </w:r>
          </w:p>
        </w:tc>
        <w:tc>
          <w:tcPr>
            <w:tcW w:w="0" w:type="dxa"/>
            <w:vAlign w:val="bottom"/>
          </w:tcPr>
          <w:p>
            <w:pPr>
              <w:spacing w:after="0"/>
              <w:rPr>
                <w:sz w:val="1"/>
                <w:szCs w:val="1"/>
                <w:color w:val="auto"/>
              </w:rPr>
            </w:pPr>
          </w:p>
        </w:tc>
      </w:tr>
      <w:tr>
        <w:trPr>
          <w:trHeight w:val="230"/>
        </w:trPr>
        <w:tc>
          <w:tcPr>
            <w:tcW w:w="48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366,227</w:t>
            </w:r>
          </w:p>
        </w:tc>
        <w:tc>
          <w:tcPr>
            <w:tcW w:w="0" w:type="dxa"/>
            <w:vAlign w:val="bottom"/>
          </w:tcPr>
          <w:p>
            <w:pPr>
              <w:spacing w:after="0"/>
              <w:rPr>
                <w:sz w:val="1"/>
                <w:szCs w:val="1"/>
                <w:color w:val="auto"/>
              </w:rPr>
            </w:pPr>
          </w:p>
        </w:tc>
      </w:tr>
      <w:tr>
        <w:trPr>
          <w:trHeight w:val="229"/>
        </w:trPr>
        <w:tc>
          <w:tcPr>
            <w:tcW w:w="48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442,723</w:t>
            </w:r>
          </w:p>
        </w:tc>
        <w:tc>
          <w:tcPr>
            <w:tcW w:w="0" w:type="dxa"/>
            <w:vAlign w:val="bottom"/>
          </w:tcPr>
          <w:p>
            <w:pPr>
              <w:spacing w:after="0"/>
              <w:rPr>
                <w:sz w:val="1"/>
                <w:szCs w:val="1"/>
                <w:color w:val="auto"/>
              </w:rPr>
            </w:pPr>
          </w:p>
        </w:tc>
      </w:tr>
      <w:tr>
        <w:trPr>
          <w:trHeight w:val="230"/>
        </w:trPr>
        <w:tc>
          <w:tcPr>
            <w:tcW w:w="48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952,952</w:t>
            </w:r>
          </w:p>
        </w:tc>
        <w:tc>
          <w:tcPr>
            <w:tcW w:w="0" w:type="dxa"/>
            <w:vAlign w:val="bottom"/>
          </w:tcPr>
          <w:p>
            <w:pPr>
              <w:spacing w:after="0"/>
              <w:rPr>
                <w:sz w:val="1"/>
                <w:szCs w:val="1"/>
                <w:color w:val="auto"/>
              </w:rPr>
            </w:pPr>
          </w:p>
        </w:tc>
      </w:tr>
      <w:tr>
        <w:trPr>
          <w:trHeight w:val="223"/>
        </w:trPr>
        <w:tc>
          <w:tcPr>
            <w:tcW w:w="48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Total assets at fair value (1)</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1,182,369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3,319,980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4,502,349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 (In thousands)</w:t>
            </w:r>
          </w:p>
        </w:tc>
        <w:tc>
          <w:tcPr>
            <w:tcW w:w="20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8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242,206</w:t>
            </w:r>
          </w:p>
        </w:tc>
        <w:tc>
          <w:tcPr>
            <w:tcW w:w="0" w:type="dxa"/>
            <w:vAlign w:val="bottom"/>
          </w:tcPr>
          <w:p>
            <w:pPr>
              <w:spacing w:after="0"/>
              <w:rPr>
                <w:sz w:val="1"/>
                <w:szCs w:val="1"/>
                <w:color w:val="auto"/>
              </w:rPr>
            </w:pPr>
          </w:p>
        </w:tc>
      </w:tr>
      <w:tr>
        <w:trPr>
          <w:trHeight w:val="230"/>
        </w:trPr>
        <w:tc>
          <w:tcPr>
            <w:tcW w:w="48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U.S. agency securities</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0" w:type="dxa"/>
            <w:vAlign w:val="bottom"/>
          </w:tcPr>
          <w:p>
            <w:pPr>
              <w:spacing w:after="0"/>
              <w:rPr>
                <w:sz w:val="1"/>
                <w:szCs w:val="1"/>
                <w:color w:val="auto"/>
              </w:rPr>
            </w:pPr>
          </w:p>
        </w:tc>
      </w:tr>
      <w:tr>
        <w:trPr>
          <w:trHeight w:val="229"/>
        </w:trPr>
        <w:tc>
          <w:tcPr>
            <w:tcW w:w="48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848,334</w:t>
            </w:r>
          </w:p>
        </w:tc>
        <w:tc>
          <w:tcPr>
            <w:tcW w:w="0" w:type="dxa"/>
            <w:vAlign w:val="bottom"/>
          </w:tcPr>
          <w:p>
            <w:pPr>
              <w:spacing w:after="0"/>
              <w:rPr>
                <w:sz w:val="1"/>
                <w:szCs w:val="1"/>
                <w:color w:val="auto"/>
              </w:rPr>
            </w:pPr>
          </w:p>
        </w:tc>
      </w:tr>
      <w:tr>
        <w:trPr>
          <w:trHeight w:val="230"/>
        </w:trPr>
        <w:tc>
          <w:tcPr>
            <w:tcW w:w="48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361,638</w:t>
            </w:r>
          </w:p>
        </w:tc>
        <w:tc>
          <w:tcPr>
            <w:tcW w:w="0" w:type="dxa"/>
            <w:vAlign w:val="bottom"/>
          </w:tcPr>
          <w:p>
            <w:pPr>
              <w:spacing w:after="0"/>
              <w:rPr>
                <w:sz w:val="1"/>
                <w:szCs w:val="1"/>
                <w:color w:val="auto"/>
              </w:rPr>
            </w:pPr>
          </w:p>
        </w:tc>
      </w:tr>
      <w:tr>
        <w:trPr>
          <w:trHeight w:val="230"/>
        </w:trPr>
        <w:tc>
          <w:tcPr>
            <w:tcW w:w="48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54,995</w:t>
            </w:r>
          </w:p>
        </w:tc>
        <w:tc>
          <w:tcPr>
            <w:tcW w:w="0" w:type="dxa"/>
            <w:vAlign w:val="bottom"/>
          </w:tcPr>
          <w:p>
            <w:pPr>
              <w:spacing w:after="0"/>
              <w:rPr>
                <w:sz w:val="1"/>
                <w:szCs w:val="1"/>
                <w:color w:val="auto"/>
              </w:rPr>
            </w:pPr>
          </w:p>
        </w:tc>
      </w:tr>
      <w:tr>
        <w:trPr>
          <w:trHeight w:val="230"/>
        </w:trPr>
        <w:tc>
          <w:tcPr>
            <w:tcW w:w="48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880,301</w:t>
            </w:r>
          </w:p>
        </w:tc>
        <w:tc>
          <w:tcPr>
            <w:tcW w:w="0" w:type="dxa"/>
            <w:vAlign w:val="bottom"/>
          </w:tcPr>
          <w:p>
            <w:pPr>
              <w:spacing w:after="0"/>
              <w:rPr>
                <w:sz w:val="1"/>
                <w:szCs w:val="1"/>
                <w:color w:val="auto"/>
              </w:rPr>
            </w:pPr>
          </w:p>
        </w:tc>
      </w:tr>
      <w:tr>
        <w:trPr>
          <w:trHeight w:val="229"/>
        </w:trPr>
        <w:tc>
          <w:tcPr>
            <w:tcW w:w="48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288,281</w:t>
            </w:r>
          </w:p>
        </w:tc>
        <w:tc>
          <w:tcPr>
            <w:tcW w:w="0" w:type="dxa"/>
            <w:vAlign w:val="bottom"/>
          </w:tcPr>
          <w:p>
            <w:pPr>
              <w:spacing w:after="0"/>
              <w:rPr>
                <w:sz w:val="1"/>
                <w:szCs w:val="1"/>
                <w:color w:val="auto"/>
              </w:rPr>
            </w:pPr>
          </w:p>
        </w:tc>
      </w:tr>
      <w:tr>
        <w:trPr>
          <w:trHeight w:val="230"/>
        </w:trPr>
        <w:tc>
          <w:tcPr>
            <w:tcW w:w="48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326,025</w:t>
            </w:r>
          </w:p>
        </w:tc>
        <w:tc>
          <w:tcPr>
            <w:tcW w:w="0" w:type="dxa"/>
            <w:vAlign w:val="bottom"/>
          </w:tcPr>
          <w:p>
            <w:pPr>
              <w:spacing w:after="0"/>
              <w:rPr>
                <w:sz w:val="1"/>
                <w:szCs w:val="1"/>
                <w:color w:val="auto"/>
              </w:rPr>
            </w:pPr>
          </w:p>
        </w:tc>
      </w:tr>
      <w:tr>
        <w:trPr>
          <w:trHeight w:val="230"/>
        </w:trPr>
        <w:tc>
          <w:tcPr>
            <w:tcW w:w="48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315,362</w:t>
            </w:r>
          </w:p>
        </w:tc>
        <w:tc>
          <w:tcPr>
            <w:tcW w:w="0" w:type="dxa"/>
            <w:vAlign w:val="bottom"/>
          </w:tcPr>
          <w:p>
            <w:pPr>
              <w:spacing w:after="0"/>
              <w:rPr>
                <w:sz w:val="1"/>
                <w:szCs w:val="1"/>
                <w:color w:val="auto"/>
              </w:rPr>
            </w:pPr>
          </w:p>
        </w:tc>
      </w:tr>
      <w:tr>
        <w:trPr>
          <w:trHeight w:val="223"/>
        </w:trPr>
        <w:tc>
          <w:tcPr>
            <w:tcW w:w="4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assets at fair value (1)</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557,568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2,793,179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3,350,747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hanging="328"/>
        <w:spacing w:after="0" w:line="282"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Statutory Accounting</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nine months ended September 30:</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6"/>
                <w:szCs w:val="16"/>
                <w:color w:val="auto"/>
              </w:rPr>
            </w:pPr>
          </w:p>
        </w:tc>
        <w:tc>
          <w:tcPr>
            <w:tcW w:w="1640" w:type="dxa"/>
            <w:vAlign w:val="bottom"/>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Essent Guaranty</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29"/>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net income</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236,345</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323,300</w:t>
            </w:r>
          </w:p>
        </w:tc>
      </w:tr>
      <w:tr>
        <w:trPr>
          <w:trHeight w:val="230"/>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Statutory surplus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985,266</w:t>
            </w:r>
          </w:p>
        </w:tc>
      </w:tr>
      <w:tr>
        <w:trPr>
          <w:trHeight w:val="229"/>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1,423,364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1,122,694</w:t>
            </w:r>
          </w:p>
        </w:tc>
      </w:tr>
      <w:tr>
        <w:trPr>
          <w:trHeight w:val="257"/>
        </w:trPr>
        <w:tc>
          <w:tcPr>
            <w:tcW w:w="6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Essent PA</w:t>
            </w: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Statutory net income</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r>
      <w:tr>
        <w:trPr>
          <w:trHeight w:val="230"/>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surplus</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52,133</w:t>
            </w:r>
          </w:p>
        </w:tc>
      </w:tr>
      <w:tr>
        <w:trPr>
          <w:trHeight w:val="22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51,975</w:t>
            </w:r>
          </w:p>
        </w:tc>
      </w:tr>
    </w:tbl>
    <w:p>
      <w:pPr>
        <w:spacing w:after="0" w:line="27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Net income determined in accordance with statutory accounting practices differs from GAAP. In 2020 and 2019,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21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2020 and 2019, the statutory capital of our U.S. insurance subsidiaries, which is defined as the total of statutory surplus and contingency reserves, was in excess of the statutory capital necessary to satisfy their regulatory requirements.</w:t>
      </w:r>
    </w:p>
    <w:p>
      <w:pPr>
        <w:spacing w:after="0" w:line="162" w:lineRule="exact"/>
        <w:rPr>
          <w:sz w:val="20"/>
          <w:szCs w:val="20"/>
          <w:color w:val="auto"/>
        </w:rPr>
      </w:pPr>
    </w:p>
    <w:p>
      <w:pPr>
        <w:ind w:firstLine="180"/>
        <w:spacing w:after="0" w:line="255" w:lineRule="auto"/>
        <w:rPr>
          <w:sz w:val="20"/>
          <w:szCs w:val="20"/>
          <w:color w:val="auto"/>
        </w:rPr>
      </w:pPr>
      <w:r>
        <w:rPr>
          <w:rFonts w:ascii="Times New Roman" w:cs="Times New Roman" w:eastAsia="Times New Roman" w:hAnsi="Times New Roman"/>
          <w:sz w:val="18"/>
          <w:szCs w:val="18"/>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September 30, 2020, Essent Guaranty, our GSE-approved mortgage insurance company, was in compliance with PMIERs 2.0.</w:t>
      </w:r>
    </w:p>
    <w:p>
      <w:pPr>
        <w:spacing w:after="0" w:line="18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Statement of Statutory Accounting Principles No. 58, </w:t>
      </w:r>
      <w:r>
        <w:rPr>
          <w:rFonts w:ascii="Times New Roman" w:cs="Times New Roman" w:eastAsia="Times New Roman" w:hAnsi="Times New Roman"/>
          <w:sz w:val="18"/>
          <w:szCs w:val="18"/>
          <w:i w:val="1"/>
          <w:iCs w:val="1"/>
          <w:color w:val="auto"/>
        </w:rPr>
        <w:t>Mortgage Guaranty Insurance,</w:t>
      </w:r>
      <w:r>
        <w:rPr>
          <w:rFonts w:ascii="Times New Roman" w:cs="Times New Roman" w:eastAsia="Times New Roman" w:hAnsi="Times New Roman"/>
          <w:sz w:val="18"/>
          <w:szCs w:val="18"/>
          <w:color w:val="auto"/>
        </w:rPr>
        <w:t xml:space="preserve"> requires mortgage insurers to establish a special contingency reserve for statutory accounting purposes included in total liabilities equal to 50% of earned premium for that year. During the nine months ended September 30, 2020, Essent Guaranty increased its contingency reserve by $226.1 million and Essent PA increased its contingency reserve by $2.5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Guaranty and Essent PA did not release any amounts from their contingency reserves in the nine months ended September 30, 2020 or 2019.</w:t>
      </w:r>
    </w:p>
    <w:p>
      <w:pPr>
        <w:spacing w:after="0" w:line="25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2019, all such requirements were met.</w:t>
      </w:r>
    </w:p>
    <w:p>
      <w:pPr>
        <w:spacing w:after="0" w:line="210" w:lineRule="exact"/>
        <w:rPr>
          <w:sz w:val="20"/>
          <w:szCs w:val="20"/>
          <w:color w:val="auto"/>
        </w:rPr>
      </w:pPr>
    </w:p>
    <w:p>
      <w:pPr>
        <w:ind w:firstLine="180"/>
        <w:spacing w:after="0" w:line="261" w:lineRule="auto"/>
        <w:rPr>
          <w:sz w:val="20"/>
          <w:szCs w:val="20"/>
          <w:color w:val="auto"/>
        </w:rPr>
      </w:pPr>
      <w:r>
        <w:rPr>
          <w:rFonts w:ascii="Times New Roman" w:cs="Times New Roman" w:eastAsia="Times New Roman" w:hAnsi="Times New Roman"/>
          <w:sz w:val="18"/>
          <w:szCs w:val="18"/>
          <w:color w:val="auto"/>
        </w:rPr>
        <w:t>Essent Re's statutory capital and surplus was $1.1 billion as of September 30, 2020 and $939.2 million as of December 31, 2019. Essent Re's statutory net income was $100.4 million and $128.2 million for the nine months ended September 30, 2020 and 2019, respectively. Statutory capital and surplus as of September 30, 2020 and December 31, 2019 and statutory net income in the nine months ended September 30, 2020 and 2019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2019 as filed with the Securities and Exchange Commission and referred to herein as the “Annual Report,” and our condensed consolidated financial statements and related notes as of and for the three and nine months ended September 30, 2020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an established and growing private mortgage insurance company. Essent Guaranty, Inc., our wholly-owned insurance subsidiary which we refer to as "Essent Guaranty," is licensed to write coverage in all 50 states and the District of Columbia. The financial strength ratings of Essent Guaranty are A3 with a stable outlook by Moody’s Investors Service (“Moody's”), BBB+ with a negative outlook by S&amp;P Global Ratings (“S&amp;P”) and A (Excellent) with a stable outlook by A.M. Best. Essent Guaranty's financial strength rating was reaffirmed by A.M. Best on September 18, 2020.</w:t>
      </w:r>
    </w:p>
    <w:p>
      <w:pPr>
        <w:spacing w:after="0" w:line="18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with 383 employees as of September 30, 2020. We generated new insurance written, or NIW, of approximately $36.7 billion and $78.4 billion for the three and nine months ended September 30, 2020, respectively, compared to approximately $18.7 billion and $47.7 billion for the three and nine months ended September 30, 2019, respectively. As of September 30, 2020, we had approximately $190.8 billion of insurance in force, due to our NIW which was partially offset by cancellations as the persistency rate on our portfolio was 64.2% at September 30, 2020 compared to 77.5% at December 31, 2019.</w:t>
      </w:r>
    </w:p>
    <w:p>
      <w:pPr>
        <w:spacing w:after="0" w:line="18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also offer mortgage-related insurance and reinsurance through our wholly-owned Bermuda-based subsidiary, Essent Reinsurance Ltd., which we refer to as "Essent Re." As of September 30, 2020, Essent Re provided insurance or reinsurance relating to GSE risk share and other reinsurance transactions covering approximately $1.2 billion of risk. Essent Re also reinsures 25% of Essent Guaranty’s NIW under a quota share reinsurance agreement. The insurer financial strength rating of Essent Re is BBB+ with a negative outlook by S&amp;P and A (Excellent) with a stable outlook by A.M. Best. Essent Re's financial strength rating was reaffirmed by A.M. Best on September 18, 2020.</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56" w:lineRule="exact"/>
        <w:rPr>
          <w:sz w:val="20"/>
          <w:szCs w:val="20"/>
          <w:color w:val="auto"/>
        </w:rPr>
      </w:pPr>
    </w:p>
    <w:p>
      <w:pPr>
        <w:ind w:firstLine="177"/>
        <w:spacing w:after="0" w:line="255" w:lineRule="auto"/>
        <w:rPr>
          <w:sz w:val="20"/>
          <w:szCs w:val="20"/>
          <w:color w:val="auto"/>
        </w:rPr>
      </w:pPr>
      <w:r>
        <w:rPr>
          <w:rFonts w:ascii="Times New Roman" w:cs="Times New Roman" w:eastAsia="Times New Roman" w:hAnsi="Times New Roman"/>
          <w:sz w:val="18"/>
          <w:szCs w:val="18"/>
          <w:color w:val="auto"/>
        </w:rPr>
        <w:t>The novel coronavirus disease 2019 ("COVID-19") was first identified in December 2019 in Wuhan, China. On March 11, 2020 the outbreak had spread such that it was declared to be a pandemic by the World Health Organization (“WHO”). Within a week of the WHO's declaration, most major economies had announced significant and increasing restrictions on the movement and interaction of people. By the end of March 2020, it was estimated that a quarter of the world’s population was under some form of lockdown or stay-at-home order. Most state governments in the United States implemented some form of travel and/or business restrictions to slow the spread of COVID-19. Business restrictions, stay-at-home orders and travel restrictions have resulted in a significant increase in unemployment in the United States, which has increased the number of delinquencies and has the potential to increase claim frequencies on the mortgages we insure.</w:t>
      </w:r>
    </w:p>
    <w:p>
      <w:pPr>
        <w:spacing w:after="0" w:line="216" w:lineRule="exact"/>
        <w:rPr>
          <w:sz w:val="20"/>
          <w:szCs w:val="20"/>
          <w:color w:val="auto"/>
        </w:rPr>
      </w:pPr>
    </w:p>
    <w:p>
      <w:pPr>
        <w:ind w:firstLine="180"/>
        <w:spacing w:after="0" w:line="255" w:lineRule="auto"/>
        <w:rPr>
          <w:sz w:val="20"/>
          <w:szCs w:val="20"/>
          <w:color w:val="auto"/>
        </w:rPr>
      </w:pPr>
      <w:r>
        <w:rPr>
          <w:rFonts w:ascii="Times New Roman" w:cs="Times New Roman" w:eastAsia="Times New Roman" w:hAnsi="Times New Roman"/>
          <w:sz w:val="18"/>
          <w:szCs w:val="18"/>
          <w:color w:val="auto"/>
        </w:rPr>
        <w:t>In response to the impact of COVID-19, the federal government has implemented unprecedented measures to assist borrowers in avoiding foreclosures and allow families to remain in their homes. Most notably, under the Coronavirus Aid, Relief, and Economic Security Act ("CARES Act"), consumers with federally backed mortgages were granted two financial protections: (1) a temporary moratorium on foreclosures, and (2) mortgage forbearance, either in the form of a lower monthly payment or temporarily suspending payments. Under the new law, borrowers have the right to request forbearance for up to 360 days due to hardship caused by COVID-19. We believe that these measures will likely increase the overall duration of the default resolution process and reduce the number of defaults that result in claims compared to our historical default-to-claim experience. However, the increase in the default resolution process may result in increases in claim severities for loans that proceed to claim.</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firstLine="180"/>
        <w:spacing w:after="0" w:line="258" w:lineRule="auto"/>
        <w:rPr>
          <w:sz w:val="20"/>
          <w:szCs w:val="20"/>
          <w:color w:val="auto"/>
        </w:rPr>
      </w:pPr>
      <w:r>
        <w:rPr>
          <w:rFonts w:ascii="Times New Roman" w:cs="Times New Roman" w:eastAsia="Times New Roman" w:hAnsi="Times New Roman"/>
          <w:sz w:val="18"/>
          <w:szCs w:val="18"/>
          <w:color w:val="auto"/>
        </w:rPr>
        <w:t>Over 95% of loans insured by Essent are federally backed by Fannie Mae or Freddie Mac. As a mortgage loan in forbearance is considered delinquent, we will provide loss reserves as loans in forbearance are reported to us as delinquent once the borrower has missed two consecutive payments. However, we believe providing borrowers time to recover from the adverse financial impact of the COVID-19 event may allow some families to be able to remain in their homes and avoid foreclosure. For borrowers that have the ability to begin to pay their mortgage at the end of the forbearance period, we expect that mortgage servicers will work with them to modify their loans at which time the mortgage will be removed from delinquency status.</w:t>
      </w:r>
    </w:p>
    <w:p>
      <w:pPr>
        <w:spacing w:after="0" w:line="210" w:lineRule="exact"/>
        <w:rPr>
          <w:sz w:val="20"/>
          <w:szCs w:val="20"/>
          <w:color w:val="auto"/>
        </w:rPr>
      </w:pPr>
    </w:p>
    <w:p>
      <w:pPr>
        <w:ind w:firstLine="180"/>
        <w:spacing w:after="0" w:line="261" w:lineRule="auto"/>
        <w:rPr>
          <w:sz w:val="20"/>
          <w:szCs w:val="20"/>
          <w:color w:val="auto"/>
        </w:rPr>
      </w:pPr>
      <w:r>
        <w:rPr>
          <w:rFonts w:ascii="Times New Roman" w:cs="Times New Roman" w:eastAsia="Times New Roman" w:hAnsi="Times New Roman"/>
          <w:sz w:val="18"/>
          <w:szCs w:val="18"/>
          <w:color w:val="auto"/>
        </w:rPr>
        <w:t>Essent has had a Pandemic Plan in place as part of its comprehensive Business Continuity Program for a number of years and invoked the Pandemic Plan in light of the COVID-19 event. A majority of our workforce has been working remotely since March 16, 2020. Through the use of technology, our national and regional account managers and customer service team have been in contact with our policyholders and their servicers, and we have made several COVID-19-related announcements which have been posted on our mortgage insurance website.</w:t>
      </w:r>
    </w:p>
    <w:p>
      <w:pPr>
        <w:spacing w:after="0" w:line="207" w:lineRule="exact"/>
        <w:rPr>
          <w:sz w:val="20"/>
          <w:szCs w:val="20"/>
          <w:color w:val="auto"/>
        </w:rPr>
      </w:pPr>
    </w:p>
    <w:p>
      <w:pPr>
        <w:ind w:right="20" w:firstLine="170"/>
        <w:spacing w:after="0" w:line="254" w:lineRule="auto"/>
        <w:rPr>
          <w:sz w:val="20"/>
          <w:szCs w:val="20"/>
          <w:color w:val="auto"/>
        </w:rPr>
      </w:pPr>
      <w:r>
        <w:rPr>
          <w:rFonts w:ascii="Times New Roman" w:cs="Times New Roman" w:eastAsia="Times New Roman" w:hAnsi="Times New Roman"/>
          <w:sz w:val="18"/>
          <w:szCs w:val="18"/>
          <w:color w:val="auto"/>
        </w:rPr>
        <w:t>As of March 31, 2020, COVID-19 had not had a significant impact on our financial position or results of operations. Beginning in April 2020 through September 2020, we have experienced an increase in the number and percentage of mortgage loans we insure that were reported to have missed at least two consecutive payments of principal and interest as a result of COVID-19, which has resulted in an increase in our provision for losses in the three and nine months ended September 30, 2020. The impact on our reserves in future periods will be dependent upon the amount of delinquent notices received from loan servicers and our expectations for the amount of ultimate losses on these delinquencies. As noted in “— Liquidity and Capital Resources,” Essent had substantial liquidity and had Available Assets in excess of Minimum Required Assets under PMIERs 2.0 as of September 30, 2020. In order to maintain continuous MI coverage, mortgage servicers are required to advance MI premiums to us even if borrowers are in a forbearance plan. Future increases in defaults may result in an increase in our provisions for loss and loss adjustment expenses compared to prior periods, reduced profit commission under our quota share reinsurance agreement with a panel of third-party reinsurers ("the QSR Agreement") and an increase in our Minimum Required Assets.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and Regulatory Developments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07" w:lineRule="exact"/>
        <w:rPr>
          <w:sz w:val="20"/>
          <w:szCs w:val="20"/>
          <w:color w:val="auto"/>
        </w:rPr>
      </w:pPr>
    </w:p>
    <w:p>
      <w:pPr>
        <w:jc w:val="both"/>
        <w:ind w:right="20" w:firstLine="177"/>
        <w:spacing w:after="0" w:line="266" w:lineRule="auto"/>
        <w:rPr>
          <w:sz w:val="20"/>
          <w:szCs w:val="20"/>
          <w:color w:val="auto"/>
        </w:rPr>
      </w:pPr>
      <w:r>
        <w:rPr>
          <w:rFonts w:ascii="Times New Roman" w:cs="Times New Roman" w:eastAsia="Times New Roman" w:hAnsi="Times New Roman"/>
          <w:sz w:val="18"/>
          <w:szCs w:val="18"/>
          <w:color w:val="auto"/>
        </w:rPr>
        <w:t>The U.S. Internal Revenue Service and Department of the Treasury issued proposed regulations on July 10, 2019 relating to the tax treatment of passive foreign investment companies ("PFICs"). The proposed regulations provide guidance on various PFIC rules, including changes resulting from the 2017 Tax Cuts and Jobs Act. The Company is evaluating the potential impact of these proposed regulations to its shareholders and business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Premiums associated with our U.S. mortgage insurance business are based on insurance in force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83" w:lineRule="exact"/>
        <w:rPr>
          <w:sz w:val="20"/>
          <w:szCs w:val="20"/>
          <w:color w:val="auto"/>
        </w:rPr>
      </w:pPr>
    </w:p>
    <w:p>
      <w:pPr>
        <w:ind w:left="660" w:right="14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7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2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ceded or assumed under reinsurance arrangements. See Note 4 to our condensed consolidated financial statements.</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September 30, 2020 were non-refundable. Premiums collected on annual policies are recognized as net premiums earned on a straight-line basis over the year of coverage. For the nine months ended September 30, 2020 and 2019, monthly premium policies comprised 90% and 89% of our NIW, respectively.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Premiums associated with our GSE and other risk share transactions are based on the level of risk in force and premium rates on the transactions.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Persistency and Business Mix</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64.2% at September 30, 2020. Generally, higher prepayment speeds lead to lower persistency.</w:t>
      </w:r>
    </w:p>
    <w:p>
      <w:pPr>
        <w:spacing w:after="0" w:line="203" w:lineRule="exact"/>
        <w:rPr>
          <w:sz w:val="20"/>
          <w:szCs w:val="20"/>
          <w:color w:val="auto"/>
        </w:rPr>
      </w:pPr>
    </w:p>
    <w:p>
      <w:pPr>
        <w:ind w:right="40" w:firstLine="693"/>
        <w:spacing w:after="0" w:line="256" w:lineRule="auto"/>
        <w:rPr>
          <w:sz w:val="20"/>
          <w:szCs w:val="20"/>
          <w:color w:val="auto"/>
        </w:rPr>
      </w:pPr>
      <w:r>
        <w:rPr>
          <w:rFonts w:ascii="Times New Roman" w:cs="Times New Roman" w:eastAsia="Times New Roman" w:hAnsi="Times New Roman"/>
          <w:sz w:val="18"/>
          <w:szCs w:val="18"/>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investment portfolio was predominantly comprised of investment-grade fixed income securities and money market funds as of September 30, 2020.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Prior to December 1, 2019, this fee was adjusted monthly based on the number of Triad’s mortgage insurance policies in force and, accordingly, decreased over time as Triad’s existing policies were cancelled. Effective December 1, 2019, the services agreement was amended providing for a flat monthly fee through November 30, 2021. The services agreement provides for two subsequent one-year renewals at Triad's option.</w:t>
      </w:r>
    </w:p>
    <w:p>
      <w:pPr>
        <w:spacing w:after="0" w:line="187" w:lineRule="exact"/>
        <w:rPr>
          <w:sz w:val="20"/>
          <w:szCs w:val="20"/>
          <w:color w:val="auto"/>
        </w:rPr>
      </w:pPr>
    </w:p>
    <w:p>
      <w:pPr>
        <w:ind w:right="100" w:firstLine="170"/>
        <w:spacing w:after="0" w:line="266" w:lineRule="auto"/>
        <w:rPr>
          <w:sz w:val="20"/>
          <w:szCs w:val="20"/>
          <w:color w:val="auto"/>
        </w:rPr>
      </w:pPr>
      <w:r>
        <w:rPr>
          <w:rFonts w:ascii="Times New Roman" w:cs="Times New Roman" w:eastAsia="Times New Roman" w:hAnsi="Times New Roman"/>
          <w:sz w:val="18"/>
          <w:szCs w:val="18"/>
          <w:color w:val="auto"/>
        </w:rPr>
        <w:t>As more fully described in Note 4 to our condensed consolidated financial statements, the premiums ceded under certain reinsurance contracts with unaffiliated third parties vary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Losses incurred are generally affected by:</w:t>
      </w:r>
    </w:p>
    <w:p>
      <w:pPr>
        <w:spacing w:after="0" w:line="225" w:lineRule="exact"/>
        <w:rPr>
          <w:sz w:val="20"/>
          <w:szCs w:val="20"/>
          <w:color w:val="auto"/>
        </w:rPr>
      </w:pPr>
    </w:p>
    <w:p>
      <w:pPr>
        <w:ind w:left="660" w:right="2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state of the economy, which broadly affects the likelihood that borrowers may default on their loans and have the ability to cure such defaults;</w:t>
      </w:r>
    </w:p>
    <w:p>
      <w:pPr>
        <w:spacing w:after="0" w:line="161" w:lineRule="exact"/>
        <w:rPr>
          <w:rFonts w:ascii="Times New Roman" w:cs="Times New Roman" w:eastAsia="Times New Roman" w:hAnsi="Times New Roman"/>
          <w:sz w:val="18"/>
          <w:szCs w:val="18"/>
          <w:color w:val="auto"/>
        </w:rPr>
      </w:pPr>
    </w:p>
    <w:p>
      <w:pPr>
        <w:ind w:left="660" w:right="220" w:hanging="328"/>
        <w:spacing w:after="0" w:line="312"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6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mix of IIF, with loans having higher risk characteristics generally resulting in higher defaults and claims;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loans insured, with higher average loan amounts tending to increase losses incurred;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loan-to-value ratio, with higher average loan-to-value ratios tending to increase losses incurred;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coverage on insured loans, with deeper average coverage tending to increase losses incurred;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quality of borrowers, including higher debt-to-income ratios and lower FICO scores, which tend to increase incurred losses;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amount of reinsurance coverage maintained with third parties;</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202"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claims over the life of a book. As of September 30, 2020, 75% of our IIF relates to business written since January 1, 2018 and was less than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Based upon our experience and industry data, claims incidence for mortgage insurance is generally highest in the third through sixth years after loan origination. Claims incidence for defaults associated with COVID-19 may not follow this pattern. As of September 30, 2020, 75% of our IIF relates to business written since January 1, 2018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214" w:lineRule="exact"/>
        <w:rPr>
          <w:sz w:val="20"/>
          <w:szCs w:val="20"/>
          <w:color w:val="auto"/>
        </w:rPr>
      </w:pPr>
    </w:p>
    <w:p>
      <w:pPr>
        <w:ind w:firstLine="180"/>
        <w:spacing w:after="0" w:line="252" w:lineRule="auto"/>
        <w:rPr>
          <w:sz w:val="20"/>
          <w:szCs w:val="20"/>
          <w:color w:val="auto"/>
        </w:rPr>
      </w:pPr>
      <w:r>
        <w:rPr>
          <w:rFonts w:ascii="Times New Roman" w:cs="Times New Roman" w:eastAsia="Times New Roman" w:hAnsi="Times New Roman"/>
          <w:sz w:val="18"/>
          <w:szCs w:val="18"/>
          <w:color w:val="auto"/>
        </w:rPr>
        <w:t>Due to business restrictions, stay-at-home orders and travel restrictions implemented in March 2020 as a result of COVID-19, unemployment in the United States has increased significantly. As unemployment is one of the most common reasons for borrowers to default on their mortgage, the increase in unemployment has increased the number of delinquencies on the mortgages we insure, and has the potential to increase claim frequencies on defaults. As of September 30, 2020, insured loans in default totaled 35,464 and included 32,492 defaults classified as COVID-19 defaults compared to 5,841 total defaults and no COVID-19 defaults as of March 31, 2020.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COVID-19 defaulted loans, we expect the ultimate number of COVID-19-related defaults that result in claims will be less than our historical default-to-claim experience. Accordingly, we applied a lower reserve rate to COVID-19 default notices received in April 2020 through September 2020 than the rate used for defaults that had missed a comparable number of payments as of September 30, 2019. It is reasonably possible that our estimate of the losses for the COVID-19 defaults could change in the near term as a result of the continued impact of the pandemic on the economic environment, the results of existing and future governmental programs designed to assist individuals and businesses impacted by the virus and the performance of the COVID-19 defaults in the forbearance programs. As more fully described in Note 4 to our condensed consolidated financial statements, at September 30, 2020, we had approximately $1.6 billion of excess of loss reinsurance covering NIW from January 1, 2015 to August 31, 2019 and a quota share reinsurance transaction on a portion of our NIW effective September 1, 2019 and continuing through December 31, 2020. The impact on our reserves in future periods will be dependent upon the amount of delinquent notices received from loan servicers, the performance of COVID-19 defaults and our expectations for the amount of ultimate losses on these delinquencies.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Third-Party Reinsurance</w:t>
      </w:r>
    </w:p>
    <w:p>
      <w:pPr>
        <w:spacing w:after="0" w:line="25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Our other underwriting and operating expenses include components that are substantially fixed, as well as expenses that generally increase or decrease in line with the level of NIW.</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most significant expense is compensation and benefits for our employees, which represented 61% of other underwriting and operating expenses for each of the three and nine months ended September 30, 2020, compared to 58% and 57% of other underwriting and operating expenses for the three and nine months ended September 30, 2019, respectively. Compensation and benefits expense includes base and incentive cash compensation, stock compensation expense, benefits and payroll taxes.</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207"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Essent Group Ltd. ("Essent Group") and its wholly-owned subsidiary, Essent Re, are domiciled in Bermuda, which does not have a corporate income tax. Essent Re reinsures 25% of Essent Guaranty's NIW under a quota share reinsurance agreement. Essent Re also provides insurance and reinsurance to Freddie Mac and Fannie Mae.</w:t>
      </w:r>
    </w:p>
    <w:p>
      <w:pPr>
        <w:spacing w:after="0" w:line="203"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amount of income tax expense or benefit recorded in future periods will be dependent on the jurisdictions in which we operate and the tax laws and regulations in effect.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Mortgage Insurance Earnings and Cash Flow Cycle</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In Force</w:t>
      </w:r>
    </w:p>
    <w:p>
      <w:pPr>
        <w:spacing w:after="0" w:line="22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As discussed above, premiums we collect and earn are generated based on our IIF, which is a function of our NIW and cancellations. The following table includes a summary of the change in our IIF for the three and nine months ended September 30, 2020 and 2019 for our U.S. mortgage insurance portfolio. In addition, this table includes RIF at the end of each period.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IIF,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174,646,273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153,317,157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164,005,853</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137,720,786</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NIW - Flow</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36,664,583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18,719,876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78,377,094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47,638,688</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NIW - Bulk</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90,659</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Cancellations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(20,499,564)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(11,080,974)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(51,571,806)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(24,487,941)</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IIF,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190,811,292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160,962,192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190,811,292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160,962,192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Average IIF during the period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gridSpan w:val="2"/>
            <w:vMerge w:val="continue"/>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183,135,315</w:t>
            </w:r>
          </w:p>
        </w:tc>
        <w:tc>
          <w:tcPr>
            <w:tcW w:w="10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157,515,524</w:t>
            </w: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172,595,003</w:t>
            </w:r>
          </w:p>
        </w:tc>
        <w:tc>
          <w:tcPr>
            <w:tcW w:w="10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148,686,498</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RIF, end of period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41,219,216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38,784,584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41,219,216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38,784,584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IIF at September 30, 2020 by vintage: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6"/>
                <w:szCs w:val="16"/>
                <w:color w:val="auto"/>
              </w:rPr>
            </w:pPr>
          </w:p>
        </w:tc>
        <w:tc>
          <w:tcPr>
            <w:tcW w:w="120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66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8"/>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(through September 30)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76,033,803</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45,236,714</w:t>
            </w:r>
          </w:p>
        </w:tc>
        <w:tc>
          <w:tcPr>
            <w:tcW w:w="10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22,549,067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19,575,798</w:t>
            </w:r>
          </w:p>
        </w:tc>
        <w:tc>
          <w:tcPr>
            <w:tcW w:w="10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13,401,895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7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2015 and prior</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14,014,015</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190,811,292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Average Net Premium Rate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average net premium rate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For the three and nine months ended September 30, 2020, our average net premium rate was 0.46% and 0.47%, respectively, as compared to 0.49% for each of the three and nine months ended September 30, 2019. In 2019 and 2020, Essent Guaranty entered into third-party reinsurance agreements. We anticipate that the continued use of third-party reinsurance will reduce our average net premium rate in future periods.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Persistency Rate</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Risk-to-Capital</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8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2020, our combined net risk in force for our U.S. insurance companies was $29.8 billion and our combined statutory capital was $2.6 billion, resulting in a risk-to-capital ratio of 11.6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Summary of Operations</w:t>
            </w: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222,223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198,304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564,352</w:t>
            </w:r>
          </w:p>
        </w:tc>
      </w:tr>
      <w:tr>
        <w:trPr>
          <w:trHeight w:val="229"/>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569,754</w:t>
            </w: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61,565</w:t>
            </w: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r>
      <w:tr>
        <w:trPr>
          <w:trHeight w:val="223"/>
        </w:trPr>
        <w:tc>
          <w:tcPr>
            <w:tcW w:w="5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638,805</w:t>
            </w:r>
          </w:p>
        </w:tc>
      </w:tr>
      <w:tr>
        <w:trPr>
          <w:trHeight w:val="196"/>
        </w:trPr>
        <w:tc>
          <w:tcPr>
            <w:tcW w:w="5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22,057</w:t>
            </w: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124,138</w:t>
            </w: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r>
      <w:tr>
        <w:trPr>
          <w:trHeight w:val="223"/>
        </w:trPr>
        <w:tc>
          <w:tcPr>
            <w:tcW w:w="5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losses and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154,128</w:t>
            </w: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484,677</w:t>
            </w: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75,922</w:t>
            </w: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124,536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144,630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289,439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408,755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2020 Compared to the Three and Nine Months Ended September 30, 2019</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2020, we reported net income of $124.5 million, compared to net income of $144.6 million for the three months ended September 30, 2019. For the nine months ended September 30, 2020, we reported net income of $289.4 million, compared to net income of $408.8 million for the nine months ended September 30, 2019. The decreases in our operating results in 2020 over the same periods in 2019 was primarily due to increases in the provision for losses and LAE, partially offset by increases in net premiums earned and other income and decreases in other underwriting and operating expenses and income tax expense.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9"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Net premiums earned increased in the three months ended September 30, 2020 by 9%, compared to the three months ended September 30, 2019 primarily due to the increase in our average IIF from $157.5 billion at September 30, 2019 to $183.1 billion at September 30, 2020. The average net premium rate was 0.46% and 0.49% for the three months ended September 30, 2020 and 2019, respectively. Net premiums earned increased in the nine months ended September 30, 2020 by 12% compared to the nine months ended September 30, 2019 due to the increase in our average IIF from $148.7 billion at September 30, 2019 to $172.6 billion at September 30, 2020. The average net premium rate was 0.47% and 0.49% in the nine months ended September 30, 2020 and 2019, respectively. The decrease in the average net premium rate in the three and nine month periods ended September 30, 2020 was a result of an increase in ceded premiums, changes in the mix of mortgages we insure, in part due to lower persistency, and changes in our pricing which were partially offset by an increase in premiums earned on the cancellation of non-refundable single premium policies. In the three and nine months ended September 30, 2020, ceded premiums increased to $21.2 million and $57.5 million, respectively, from $10.3 million and $24.7 million in the three and nine months ended September 30, 2019, respectively, due to reduced profit commission under our QSR Agreement as a result of higher ceded losses, new third-party reinsurance agreements entered in 2020 and a full three and nine months of premiums ceded under third-party reinsurance agreements entered in 2019. In the three and nine months ended September 30, 2020, premiums earned on the cancellation of non-refundable single premium policies increased to $24.6 million and $65.9 million, respectively, from $14.6 million and $27.7 million in the three and nine months ended September 30, 2019, respectively, as a result of an increase in existing borrowers refinancing their mortgages due to favorable mortgage interest rates.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Net premiums written increased by 12% and 10% in the three and nine months ended September 30, 2020, respectively, compared to the three and nine months ended September 30, 2019 primarily due to an increase in average IIF in the respective periods, partially offset by an increase in premiums ceded under third-party reinsurance agreements, a decrease in new single premium policies written, changes in the mix of mortgages we insure and changes in our pricing.</w:t>
      </w:r>
    </w:p>
    <w:p>
      <w:pPr>
        <w:spacing w:after="0" w:line="20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the three months ended September 30, 2020 and 2019, unearned premiums decreased by $35 thousand and $5.2 million, respectively. The change in unearned premiums was a result of net premiums written on single premium policies of $40.0 million and $26.5 million, respectively, which was offset by $40.0 million and $31.7 million, respectively, of unearned premium that was recognized in earnings during the periods. In the nine months ended September 30, 2020 and 2019, unearned premiums decreased by $20.4 million and $5.4 million, respectively. This was a result of net premiums written on single premium policies of $92.8 million and $73.0 million, respectively, which was offset by $113.2 million and $78.4 million, respectively, of unearned premium that was recognized in earnings during the periods.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investment income was derived from the following sources for the periods indicated: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60,633</w:t>
            </w: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w:t>
            </w: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64,366</w:t>
            </w: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changes in net investment income for the three and nine months ended September 30, 2020 as compared to the same periods in 2019 was due to a decrease in the pre-tax investment income yield partially offset by the increase in the weighted average balance of our investment portfolio. The average cash and investment portfolio balance increased to $4.4 billion for the three months ended September 30, 2020 from $3.1 billion for the three months ended September 30, 2019. The average cash and investment portfolio balance increased to $3.9 billion for the nine months ended September 30, 2020 from $3.0 billion for the nine months ended September 30, 2019. The increase in the average cash and investment portfolio was primarily due to investing cash flows from operations, proceeds from the public offering of common shares completed in June 2020 and increased borrowings under the Credit Facility. The pre-tax investment income yield decreased from 2.8% in each of the three and nine months ended September 30, 2019 to 1.8% and</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2.1% in the three and nine months ended September 30, 2020, respectively, primarily due to an increase in the share of our investments allocated to cash, a general decline in investment yields due to declining interest rates and an increase in premium amortization on mortgage-backed and asset-backed securities. The pre-tax investment income yields are calculated based on amortized cost and exclude investment expenses. See “— Liquidity and Capital Resources” for further details of our investment portfolio.</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Other income for the three months ended September 30, 2020 was $1.9 million as compared to $0.7 million for the three months ended September 30, 2019. The increase in other income for the three months ended September 30, 2020 as compared to the same period in 2019 was primarily due to an increase in fees earned for information technology and customer support services </w:t>
      </w:r>
      <w:r>
        <w:rPr>
          <w:rFonts w:ascii="Times New Roman" w:cs="Times New Roman" w:eastAsia="Times New Roman" w:hAnsi="Times New Roman"/>
          <w:sz w:val="18"/>
          <w:szCs w:val="18"/>
          <w:color w:val="242021"/>
        </w:rPr>
        <w:t>provided to Triad</w:t>
      </w:r>
      <w:r>
        <w:rPr>
          <w:rFonts w:ascii="Times New Roman" w:cs="Times New Roman" w:eastAsia="Times New Roman" w:hAnsi="Times New Roman"/>
          <w:sz w:val="18"/>
          <w:szCs w:val="18"/>
          <w:color w:val="auto"/>
        </w:rPr>
        <w:t xml:space="preserve">. Other income for the nine months ended September 30, 2020 was $6.5 million compared to $5.1 million for the nine months ended September 30, 2019. The increase in other income for the nine months ended September 30, 2020 as compared to the same period in 2019 was primarily due to an increase in Triad service fees partially offset by a net unfavorable decrease in the fair value of the embedded derivatives. In the three and nine months ended September 30, 2020 we earned Triad service fees of $1.6 million and $4.7 million, respectively, compared to $0.2 million and $0.6 million for the three and nine months ended September 30, 2019, respectively. Effective December 1, 2019, the Triad services agreement was amended providing for a flat monthly fee through November 30, 2021. In the three months ended September 30, 2020, we recorded an unfavorable decrease in the fair value of these embedded derivatives of $0.7 million compared to an unfavorable decrease in the fair value of the embedded derivatives of $0.8 million in the three months ended September 30, 2019. In the nine months ended September 30, 2020 we recorded a net unfavorable decrease in the fair value of the embedded derivatives of $2.4 million compared to a net favorable increase of $1.8 million in </w:t>
      </w:r>
      <w:r>
        <w:rPr>
          <w:rFonts w:ascii="Times New Roman" w:cs="Times New Roman" w:eastAsia="Times New Roman" w:hAnsi="Times New Roman"/>
          <w:sz w:val="18"/>
          <w:szCs w:val="18"/>
          <w:color w:val="242021"/>
        </w:rPr>
        <w:t>the</w:t>
      </w:r>
      <w:r>
        <w:rPr>
          <w:rFonts w:ascii="Times New Roman" w:cs="Times New Roman" w:eastAsia="Times New Roman" w:hAnsi="Times New Roman"/>
          <w:sz w:val="18"/>
          <w:szCs w:val="18"/>
          <w:color w:val="auto"/>
        </w:rPr>
        <w:t xml:space="preserve"> nine months ended September 30, 2019. Other income also includes contract underwriting revenues and underwriting consulting services to third-party reinsurers.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increase in the provision for losses and LAE in the three and nine months ended September 30, 2020 as compared to the same periods in 2019 was primarily due to an increase in defaults related to COVID-19.</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presents a rollforward of insured loans in default for our U.S. mortgage insurance portfolio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30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980" w:type="dxa"/>
            <w:vAlign w:val="bottom"/>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5200" w:type="dxa"/>
            <w:vAlign w:val="bottom"/>
            <w:tcBorders>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default inventory</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new defaults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9,478</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rescissions and denials, net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35,464</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w:t>
            </w:r>
          </w:p>
        </w:tc>
      </w:tr>
      <w:tr>
        <w:trPr>
          <w:trHeight w:val="21"/>
        </w:trPr>
        <w:tc>
          <w:tcPr>
            <w:tcW w:w="5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As of June 30, 2020, insured loans in default included 34,352 defaults classified as COVID-19 defaults. During the three months ended September 30, 2020, 12,614 COVID-19 defaults were reported and 14,474 COVID-19 defaults cured. As of September 30, 2020, the ending default inventory included 32,492 defaults classified as COVID-19 defaults.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additional information about our loans in default as of the dates indicated for our U.S. mortgage insurance portfolio:</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020" w:type="dxa"/>
            <w:vAlign w:val="bottom"/>
            <w:tcBorders>
              <w:bottom w:val="single" w:sz="8" w:color="auto"/>
            </w:tcBorders>
          </w:tcPr>
          <w:p>
            <w:pPr>
              <w:spacing w:after="0"/>
              <w:rPr>
                <w:sz w:val="16"/>
                <w:szCs w:val="16"/>
                <w:color w:val="auto"/>
              </w:rPr>
            </w:pPr>
          </w:p>
        </w:tc>
      </w:tr>
      <w:tr>
        <w:trPr>
          <w:trHeight w:val="188"/>
        </w:trPr>
        <w:tc>
          <w:tcPr>
            <w:tcW w:w="77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Case reserves (in thousands) </w:t>
            </w:r>
            <w:r>
              <w:rPr>
                <w:rFonts w:ascii="Times New Roman" w:cs="Times New Roman" w:eastAsia="Times New Roman" w:hAnsi="Times New Roman"/>
                <w:sz w:val="18"/>
                <w:szCs w:val="18"/>
                <w:b w:val="1"/>
                <w:bCs w:val="1"/>
                <w:color w:val="auto"/>
              </w:rPr>
              <w:t>(1)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280,447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56,123</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reserves (in thousands) </w:t>
            </w:r>
            <w:r>
              <w:rPr>
                <w:rFonts w:ascii="Times New Roman" w:cs="Times New Roman" w:eastAsia="Times New Roman" w:hAnsi="Times New Roman"/>
                <w:sz w:val="18"/>
                <w:szCs w:val="18"/>
                <w:b w:val="1"/>
                <w:bCs w:val="1"/>
                <w:color w:val="auto"/>
              </w:rPr>
              <w:t>(1)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307,019</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61,346</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35,464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5,232</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case reserve per default (in thousands)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total reserve per default (in thousands)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received included in 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2" w:lineRule="exact"/>
        <w:rPr>
          <w:sz w:val="20"/>
          <w:szCs w:val="20"/>
          <w:color w:val="auto"/>
        </w:rPr>
      </w:pPr>
    </w:p>
    <w:p>
      <w:pPr>
        <w:ind w:left="660" w:right="80" w:hanging="328"/>
        <w:spacing w:after="0" w:line="282"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$718 thousand and $90 thousand as of September 30, 2020 and 2019, respectively.</w:t>
      </w:r>
    </w:p>
    <w:p>
      <w:pPr>
        <w:spacing w:after="0" w:line="175" w:lineRule="exact"/>
        <w:rPr>
          <w:sz w:val="20"/>
          <w:szCs w:val="20"/>
          <w:color w:val="auto"/>
        </w:rPr>
      </w:pPr>
    </w:p>
    <w:p>
      <w:pPr>
        <w:ind w:right="60" w:firstLine="648"/>
        <w:spacing w:after="0" w:line="227" w:lineRule="auto"/>
        <w:rPr>
          <w:sz w:val="20"/>
          <w:szCs w:val="20"/>
          <w:color w:val="auto"/>
        </w:rPr>
      </w:pPr>
      <w:r>
        <w:rPr>
          <w:rFonts w:ascii="Times New Roman" w:cs="Times New Roman" w:eastAsia="Times New Roman" w:hAnsi="Times New Roman"/>
          <w:sz w:val="18"/>
          <w:szCs w:val="18"/>
          <w:color w:val="auto"/>
        </w:rPr>
        <w:t>The decrease in the average total reserve per default was primarily due to a lower total reserve per COVID-19 default. Based on the forbearance programs in place and the credit characteristics of the COVID-19 defaulted loans, we expect the ultimate number of COVID-19-related defaults that result in claims will be less than our historical default-to-claim experience. Accordingly, we recorded a reserve equal to approximately 7% of the risk in force for the COVID-19 default notices received in April 2020 through September 2020. The reserve for losses and LAE on COVID-19 defaults was $247.2 million at September 30, 2020. As a result of cure activity on COVID-19 defaults during the three months ended September 30, 2020, the average reserve per COVID-19 default has increased from approximately 7% as of June 30, 2020 to approximately 11% as of September 30, 2020.</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LAE: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250,890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49,464</w:t>
            </w: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243,129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49,464</w:t>
            </w:r>
          </w:p>
        </w:tc>
      </w:tr>
      <w:tr>
        <w:trPr>
          <w:trHeight w:val="20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occurring in:</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37,904</w:t>
            </w:r>
          </w:p>
        </w:tc>
      </w:tr>
      <w:tr>
        <w:trPr>
          <w:trHeight w:val="229"/>
        </w:trPr>
        <w:tc>
          <w:tcPr>
            <w:tcW w:w="48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(15,847)</w:t>
            </w:r>
          </w:p>
        </w:tc>
      </w:tr>
      <w:tr>
        <w:trPr>
          <w:trHeight w:val="22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losses and LAE during the current period</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239,220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22,057</w:t>
            </w:r>
          </w:p>
        </w:tc>
      </w:tr>
      <w:tr>
        <w:trPr>
          <w:trHeight w:val="20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occurring in:</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30"/>
        </w:trPr>
        <w:tc>
          <w:tcPr>
            <w:tcW w:w="48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w:t>
            </w:r>
          </w:p>
        </w:tc>
      </w:tr>
      <w:tr>
        <w:trPr>
          <w:trHeight w:val="22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payments during the current period</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w:t>
            </w:r>
          </w:p>
        </w:tc>
      </w:tr>
      <w:tr>
        <w:trPr>
          <w:trHeight w:val="22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61,436</w:t>
            </w: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307,737</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307,737</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61,436</w:t>
            </w: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provide a detail of reserves and defaulted RIF by the number of missed payments and pending claims for our U.S. mortgage insurance portfolio:</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20" w:type="dxa"/>
            <w:vAlign w:val="bottom"/>
          </w:tcPr>
          <w:p>
            <w:pPr>
              <w:spacing w:after="0"/>
              <w:rPr>
                <w:sz w:val="11"/>
                <w:szCs w:val="11"/>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9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38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35"/>
        </w:trPr>
        <w:tc>
          <w:tcPr>
            <w:tcW w:w="3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1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9"/>
        </w:trPr>
        <w:tc>
          <w:tcPr>
            <w:tcW w:w="3400" w:type="dxa"/>
            <w:vAlign w:val="bottom"/>
            <w:gridSpan w:val="3"/>
            <w:vMerge w:val="continue"/>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40" w:type="dxa"/>
            <w:vAlign w:val="bottom"/>
          </w:tcPr>
          <w:p>
            <w:pPr>
              <w:spacing w:after="0"/>
              <w:rPr>
                <w:sz w:val="16"/>
                <w:szCs w:val="16"/>
                <w:color w:val="auto"/>
              </w:rPr>
            </w:pP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6"/>
                <w:szCs w:val="16"/>
                <w:color w:val="auto"/>
              </w:rPr>
            </w:pPr>
          </w:p>
        </w:tc>
        <w:tc>
          <w:tcPr>
            <w:tcW w:w="9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Three payments or less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554,524</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3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194,892</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1,697,419</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Twelve or more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24,842</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48,612</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3"/>
        </w:trPr>
        <w:tc>
          <w:tcPr>
            <w:tcW w:w="3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Total case reserves </w:t>
            </w:r>
            <w:r>
              <w:rPr>
                <w:rFonts w:ascii="Times New Roman" w:cs="Times New Roman" w:eastAsia="Times New Roman" w:hAnsi="Times New Roman"/>
                <w:sz w:val="18"/>
                <w:szCs w:val="18"/>
                <w:b w:val="1"/>
                <w:bCs w:val="1"/>
                <w:color w:val="auto"/>
              </w:rPr>
              <w:t>(1)</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35,464</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280,447</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2,303,395</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IBNR</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21,034</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Total reserves for losses and LAE </w:t>
            </w:r>
            <w:r>
              <w:rPr>
                <w:rFonts w:ascii="Times New Roman" w:cs="Times New Roman" w:eastAsia="Times New Roman" w:hAnsi="Times New Roman"/>
                <w:sz w:val="18"/>
                <w:szCs w:val="18"/>
                <w:b w:val="1"/>
                <w:bCs w:val="1"/>
                <w:color w:val="auto"/>
              </w:rPr>
              <w:t>(1)</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307,019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right="280" w:hanging="328"/>
        <w:spacing w:after="0" w:line="282"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$718 thousand as of September 30, 2020.</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60" w:type="dxa"/>
            <w:vAlign w:val="bottom"/>
          </w:tcPr>
          <w:p>
            <w:pPr>
              <w:spacing w:after="0"/>
              <w:rPr>
                <w:sz w:val="11"/>
                <w:szCs w:val="11"/>
                <w:color w:val="auto"/>
              </w:rPr>
            </w:pPr>
          </w:p>
        </w:tc>
        <w:tc>
          <w:tcPr>
            <w:tcW w:w="8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1"/>
                <w:szCs w:val="11"/>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92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38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35"/>
        </w:trPr>
        <w:tc>
          <w:tcPr>
            <w:tcW w:w="3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9"/>
        </w:trPr>
        <w:tc>
          <w:tcPr>
            <w:tcW w:w="3400" w:type="dxa"/>
            <w:vAlign w:val="bottom"/>
            <w:gridSpan w:val="3"/>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60" w:type="dxa"/>
            <w:vAlign w:val="bottom"/>
          </w:tcPr>
          <w:p>
            <w:pPr>
              <w:spacing w:after="0"/>
              <w:rPr>
                <w:sz w:val="16"/>
                <w:szCs w:val="16"/>
                <w:color w:val="auto"/>
              </w:rPr>
            </w:pP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6"/>
                <w:szCs w:val="16"/>
                <w:color w:val="auto"/>
              </w:rPr>
            </w:pPr>
          </w:p>
        </w:tc>
        <w:tc>
          <w:tcPr>
            <w:tcW w:w="9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3"/>
        </w:trPr>
        <w:tc>
          <w:tcPr>
            <w:tcW w:w="33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Three payments or less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162,459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24,588</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89,965</w:t>
            </w:r>
          </w:p>
        </w:tc>
        <w:tc>
          <w:tcPr>
            <w:tcW w:w="14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3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Twelve or more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24,503</w:t>
            </w:r>
          </w:p>
        </w:tc>
        <w:tc>
          <w:tcPr>
            <w:tcW w:w="14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3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4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3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Total case reserves </w:t>
            </w:r>
            <w:r>
              <w:rPr>
                <w:rFonts w:ascii="Times New Roman" w:cs="Times New Roman" w:eastAsia="Times New Roman" w:hAnsi="Times New Roman"/>
                <w:sz w:val="18"/>
                <w:szCs w:val="18"/>
                <w:b w:val="1"/>
                <w:bCs w:val="1"/>
                <w:color w:val="auto"/>
              </w:rPr>
              <w:t>(2)</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56,123</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281,154</w:t>
            </w:r>
          </w:p>
        </w:tc>
        <w:tc>
          <w:tcPr>
            <w:tcW w:w="14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IBNR</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4,209</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Total reserves for losses and LAE </w:t>
            </w:r>
            <w:r>
              <w:rPr>
                <w:rFonts w:ascii="Times New Roman" w:cs="Times New Roman" w:eastAsia="Times New Roman" w:hAnsi="Times New Roman"/>
                <w:sz w:val="18"/>
                <w:szCs w:val="18"/>
                <w:b w:val="1"/>
                <w:bCs w:val="1"/>
                <w:color w:val="auto"/>
              </w:rPr>
              <w:t>(2)</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8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420" w:hanging="328"/>
        <w:spacing w:after="0" w:line="282"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$90 thousand as of September 30, 2019.</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2020, the provision for losses and LAE was $55.3 million, comprised of $56.4 million of current year losses partially offset by $1.1 million of favorable prior years’ loss development. During the three months ended September 30, 2019, the provision for losses and LAE was $10.0 million, comprised of $14.7 million of current year losses partially offset by $4.7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21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2020, the provision for losses and LAE was $239.2 million, comprised of $253.6 million of current year losses partially offset by $14.3 million of favorable prior years’ loss development. During the nine months ended September 30, 2019, the provision for losses and LAE was $22.1 million, comprised of $37.9 million of current year losses partially offset by $15.8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additional information about our claims paid and claim severity for the periods indicated: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 paid</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 of claims paid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12,432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9,691</w:t>
            </w: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 severity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are the components of our other underwriting and operating expenses for the periods indicated: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9"/>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5"/>
                <w:szCs w:val="15"/>
                <w:color w:val="auto"/>
              </w:rPr>
            </w:pPr>
          </w:p>
        </w:tc>
        <w:tc>
          <w:tcPr>
            <w:tcW w:w="7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8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8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71,741</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70,839</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taxes</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120" w:type="dxa"/>
            <w:vAlign w:val="bottom"/>
          </w:tcPr>
          <w:p>
            <w:pPr>
              <w:spacing w:after="0"/>
              <w:rPr>
                <w:sz w:val="19"/>
                <w:szCs w:val="19"/>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100" w:type="dxa"/>
            <w:vAlign w:val="bottom"/>
          </w:tcPr>
          <w:p>
            <w:pPr>
              <w:spacing w:after="0"/>
              <w:rPr>
                <w:sz w:val="19"/>
                <w:szCs w:val="19"/>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31,317</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40,307</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55"/>
        </w:trPr>
        <w:tc>
          <w:tcPr>
            <w:tcW w:w="31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other underwriting and operating</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37,100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41,588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117,866</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124,138</w:t>
            </w: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employees at end of period</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140" w:hanging="328"/>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decreased in the three months ended September 30, 2020 as compared to the three months ended September 30, 2019 primarily due to a decrease in incentive compensation, partially offset by increased salaries and overtime associated with our increased NIW. Compensation and benefits increased in the nine months ended September 30, 2020 as compared to the nine months ended September 30, 2019 primarily due to increased stock compensation expense associated with shares granted in 2019 and 2020 and increased salaries and overtime associated with our increased NIW. Compensation and benefits includes salaries, wages and bonus, stock compensation expense, benefits and payroll taxes.</w:t>
      </w:r>
    </w:p>
    <w:p>
      <w:pPr>
        <w:spacing w:after="0" w:line="2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taxes increased primarily due to an increase in premiums written.</w:t>
      </w:r>
    </w:p>
    <w:p>
      <w:pPr>
        <w:spacing w:after="0" w:line="25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decreased primarily as a result of ceding commission earned under the QSR Agreement and lower travel expenses. Other expenses include professional fees, travel, marketing, hardware, software, rent, depreciation and amortization and other facilities expenses.</w:t>
      </w:r>
    </w:p>
    <w:p>
      <w:pPr>
        <w:spacing w:after="0" w:line="18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2020, we incurred interest expense of $2.2 million and $6.9 million, respectively, as compared to $2.6 million and $7.9 million for the three and nine months ended September 30, 2019, respectively. The decreases were primarily due to a decrease in the weighted average interest rate for borrowings outstanding, partially offset by an increase in the average amounts outstanding under the Credit Facility. For the three and nine months ended September 30, 2020, the average amount outstanding under the Credit Facility was $425.0 million and $362.0 million, respectively, as compared to $225.0 million for each of the three and nine months ended September 30, 2019. For the three and nine months ended September 30, 2020, the borrowings under the Credit Facility had a weighted average interest rate of 1.96% and 2.37%, respectively, as compared to 4.34% and 4.45% for the three and nine months ended September 30, 2019, respectively.</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subsidiaries in the United States file a consolidated U.S. Federal income tax return. Our income tax expense was $23.9 million and $27.6 million for the three months ended September 30, 2020 and 2019, respectively, and $54.5 million and $75.9 million for the nine months ended September 30, 2020 and 2019, respectively. For the six months ended June 30, 2020, our provision for income taxes was not based on an estimated annual effective rate due to uncertainty regarding the potential impacts of COVID-19 on our results of operations. Accordingly, we were unable to make a reliable estimate of pretax income and the annual effective tax rate for the full year 2020, and the provision for income taxes for the six months ended June 30, 2020 was based on the actual effective tax rate of for the year to date period. As of September 30, 2020, we concluded that we had sufficient information regarding the potential impacts of COVID-19 on our results of operations to make a reliable estimate of pretax income and the annual effective tax rate for the full year 2020. Accordingly, the provision for income taxes for the nine months ended September 30, 2020 was calculated using an estimated annual effective tax rate of 16.0% as compared to an estimated annual effective tax rate of 16.1% for the nine months ended September 30, 2019. For the nine months ended September 30, 2020 and 2019, income tax expense was reduced by excess tax benefits associated with the vesting of common shares and common share units of $0.5 million and $2.1 million, respectively. The tax effects associated with the vesting of common shares and common share units are treated as discrete items in the reporting period in which they occur and are not considered in determining the annual effective tax rate.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and interest income on the portfolio;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that we will receive from our existing IIF as well as policies that we write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our Credit Facility;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capital shares.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obligations consist primarily of:</w:t>
      </w:r>
    </w:p>
    <w:p>
      <w:pPr>
        <w:spacing w:after="0" w:line="25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payments under our policies;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and repayment of borrowings under our Credit Facility;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costs and operating expenses of our business;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shares.</w:t>
      </w:r>
    </w:p>
    <w:p>
      <w:pPr>
        <w:spacing w:after="0" w:line="225"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2020, we had substantial liquidity with cash of $118.7 million, short-term investments of $1.0 billion and fixed maturity investments of $3.5 billion. We also had $75 million available capacity under the revolving credit component of our Credit Facility, with $425 million of borrowings outstanding under our Credit Facility. In June 2020, we completed a public offering of 13.8 million common shares to strengthen our capital resources and provide financial flexibility. Net proceeds from this offering were approximately $440 million. At September 30, 2020, net cash and investments at the holding company were $685.0 million.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September 30, 2020.</w:t>
      </w:r>
    </w:p>
    <w:p>
      <w:pPr>
        <w:spacing w:after="0" w:line="216"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In October 2020, we amended the Credit Facility to increase the committed capacity by $125 million to $625 million and extended the maturity date to October 2023. The revolving component of the Credit Facility was increased from $275 million to $300 million, and $100 million of additional term loans were issued, resulting in $325 million of term loans outstanding. The proceeds of $100 million of additional term loans, as well as holding company cash, were used at closing to pay down all amounts outstanding under the revolving component of the Credit Facility. See Note 6 to our condensed consolidated financial statements.</w:t>
      </w:r>
    </w:p>
    <w:p>
      <w:pPr>
        <w:spacing w:after="0" w:line="21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respond to changes in the business or economic environment related to COVID-19, or to provide additional capital related to the growth of our risk in force in our mortgage insurance portfolio, or to fund new business initiatives including the insurance activities of Essent Re.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the value of our investments;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sell investment assets to provide cash to fund operating needs;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expected revenues generated from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expected claim payments related to our IIF;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operating expenses.</w:t>
      </w:r>
    </w:p>
    <w:p>
      <w:pPr>
        <w:spacing w:after="0" w:line="25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September 30, 2020, Essent Guaranty had unassigned surplus of approximately $342.7 million. Essent Guaranty of PA, Inc. (“Essent PA") had unassigned surplus of approximately $15.2 million as of September 30, 2020. As a result of PMIERs guidance issued by the GSEs, effective June 30, 2020 through March 31, 2021, Essent Guaranty is required to obtain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GSE written approval before paying a dividend.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September 30, 2020, Essent Re had total equity of $1.1 billion. In connection with its insurance and reinsurance activities, Essent Re is required to maintain assets in trusts for the benefit of its contractual counterparties. See Note 3 to our condensed consolidated financial statements. At September 30, 2020, our insurance subsidiaries were in compliance with these rules, regulations and agreements.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6"/>
                <w:szCs w:val="16"/>
                <w:color w:val="auto"/>
              </w:rPr>
            </w:pPr>
          </w:p>
        </w:tc>
        <w:tc>
          <w:tcPr>
            <w:tcW w:w="132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548,506</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424,579</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(1,083,317)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(416,414)</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582,152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(23,529)</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(15,364)</w:t>
            </w:r>
          </w:p>
        </w:tc>
      </w:tr>
      <w:tr>
        <w:trPr>
          <w:trHeight w:val="21"/>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Cash flow provided by operating activities totaled $548.5 million for the nine months ended September 30, 2020, as compared to $424.6 million for the nine months ended September 30, 2019. The increase in cash flow provided by operating activities of $123.9 million was primarily due to an increase in premiums collected and lower T&amp;L Bond purchases during 2020.</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Cash flow used in investing activities totaled $1.1 billion and $416.4 million for the nine months ended September 30, 2020 and 2019, respectively. In both periods, cash flow used in investing activities related to investing cash flows from operations. Additionally, in 2020 cash flow used in investing activities included investing $440 million of net proceeds from the completion of a public offering of common shares in June and $200 million of increased borrowings under the Credit Facility.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Cash flow provided by financing activities totaled $582.2 million for the nine months ended September 30, 2020, primarily related to $440 million of net proceeds from the completion of a public offering of common shares in June and $200 million of increased borrowings under the Credit Facility, partially offset by the quarterly cash dividends paid in March, June and September and treasury stock acquired from employees to satisfy tax withholding obligations. Cash flow used in financing activities totaled $23.5 million for the nine months ended September 30, 2019 primarily related to our inaugural quarterly cash dividend paid in September and treasury stock acquired from employees to satisfy tax withholding obligations.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Company Capital</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nine months ended September 30, 2020 and 2019, no capital contributions were made to our U.S. insurance subsidiaries.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0" w:firstLine="180"/>
        <w:spacing w:after="0" w:line="253" w:lineRule="auto"/>
        <w:rPr>
          <w:sz w:val="20"/>
          <w:szCs w:val="20"/>
          <w:color w:val="auto"/>
        </w:rPr>
      </w:pPr>
      <w:r>
        <w:rPr>
          <w:rFonts w:ascii="Times New Roman" w:cs="Times New Roman" w:eastAsia="Times New Roman" w:hAnsi="Times New Roman"/>
          <w:sz w:val="18"/>
          <w:szCs w:val="18"/>
          <w:color w:val="auto"/>
        </w:rPr>
        <w:t>Essent Guaranty has entered into reinsurance agreements that provide excess of loss reinsurance coverage for new defaults on portfolios of mortgage insurance policies issued in 2015 through 2019. The aggregate excess of loss reinsurance coverages decrease over a ten-year period as the underlying covered mortgages amortize. Based on the level of delinquencies reported to us, the insurance-linked note transactions that Essent Guaranty has entered into to date (the “ILNs”) became subject to a "trigger event" as of June 25, 2020. The aggregate excess of loss reinsurance coverage will not amortize during the continuation of a trigger event. Effective September 1, 2019, Essent Guaranty entered into a quota share reinsurance agreement with a panel of third-party reinsurers (the "QSR Agreement").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These reinsurance coverages also reduces net risk in force and PMIERs Minimum Required Assets. In October 2020, Essent Guaranty entered into a reinsurance agreement that provides excess of loss reinsurance coverage on mortgage insurance policies written in September 2019 through July 2020. See Note 4 to our condensed consolidated financial statements.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combined risk-to-capital calculation for our U.S. insurance subsidiaries as of September 30, 2020 was as follows:</w:t>
      </w: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Combined statutory capital:</w:t>
      </w: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Policyholders’ surplus</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1,102,359</w:t>
            </w:r>
          </w:p>
        </w:tc>
        <w:tc>
          <w:tcPr>
            <w:tcW w:w="0" w:type="dxa"/>
            <w:vAlign w:val="bottom"/>
          </w:tcPr>
          <w:p>
            <w:pPr>
              <w:spacing w:after="0"/>
              <w:rPr>
                <w:sz w:val="1"/>
                <w:szCs w:val="1"/>
                <w:color w:val="auto"/>
              </w:rPr>
            </w:pPr>
          </w:p>
        </w:tc>
      </w:tr>
      <w:tr>
        <w:trPr>
          <w:trHeight w:val="229"/>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Contingency reserves</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1,478,777</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2,581,136</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Combined net risk in force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tcBorders>
              <w:bottom w:val="single" w:sz="8" w:color="CCEEFF"/>
            </w:tcBorders>
            <w:vMerge w:val="continue"/>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29,821,246</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risk-to-capital ratio</w:t>
            </w:r>
          </w:p>
        </w:tc>
        <w:tc>
          <w:tcPr>
            <w:tcW w:w="5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For additional information regarding regulatory capital, see Note 15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Essent Re has entered into GSE and other risk share transactions, including insurance and reinsurance transactions with Freddie Mac and Fannie Mae. Essent Re also reinsures 25% of Essent Guaranty’s NIW under a quota share reinsurance agreement. During the nine months ended September 30, 2020, Essent Re paid no dividends to Essent Group and Essent Group made no capital contributions to Essent Re. During the nine months ended September 30, 2019, Essent Re paid a dividend to Essent Group of $40 million to increase holding company liquidity and Essent Group made no capital contributions to Essent Re. As of September 30, 2020, Essent Re had total stockholders’ equity of $1.1 billion and net risk in force of $12.3 billion.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Strength Ratings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insurer financial strength rating of Essent Guaranty, our principal mortgage insurance subsidiary, is rated A3 with a stable outlook by Moody’s Investors Service (“Moody's”), BBB+ with a negative outlook by S&amp;P and A (Excellent) with stable outlook by A.M. Best. The insurer financial strength rating of Essent Re is BBB+ with a negative outlook by S&amp;P and A (Excellent) with stable outlook by A.M. Best.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Private Mortgage Insurer Eligibility Requirements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apply should an approved insurer fail to comply with these requirements. In 2018, the GSEs released revised PMIERs framework ("PMIERs 2.0") which became effective on March 31, 2019. As of September 30, 2020, Essent Guaranty, our GSE-approved mortgage insurance company, was in compliance with PMIERs 2.0. As of September 30, 2020, Essent Guaranty's Available Assets were $2.72 billion and its Minimum Required Assets were $1.74 billion based on our interpretation of PMIERs 2.0.</w:t>
      </w:r>
    </w:p>
    <w:p>
      <w:pPr>
        <w:spacing w:after="0" w:line="207" w:lineRule="exact"/>
        <w:rPr>
          <w:sz w:val="20"/>
          <w:szCs w:val="20"/>
          <w:color w:val="auto"/>
        </w:rPr>
      </w:pPr>
    </w:p>
    <w:p>
      <w:pPr>
        <w:ind w:firstLine="180"/>
        <w:spacing w:after="0" w:line="252" w:lineRule="auto"/>
        <w:rPr>
          <w:sz w:val="20"/>
          <w:szCs w:val="20"/>
          <w:color w:val="auto"/>
        </w:rPr>
      </w:pPr>
      <w:r>
        <w:rPr>
          <w:rFonts w:ascii="Times New Roman" w:cs="Times New Roman" w:eastAsia="Times New Roman" w:hAnsi="Times New Roman"/>
          <w:sz w:val="18"/>
          <w:szCs w:val="18"/>
          <w:color w:val="auto"/>
        </w:rPr>
        <w:t>Under PMIERs guidance issued by the GSEs effective June 30, 2020, Essent will apply a 0.30 multiplier to the risk-based required asset amount factor for each insured loan in default backed by a property located in a Federal Emergency Management Agency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each insured loan in default for no longer than four calendar months from the initial missed payment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January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up to four calendar months after the initial missed payment absent a forbearance plan. The 32,492 COVID-19 defaults included in our September 30, 2020 default inventory fall into categories 1) and 2) above and received the 0.30 multiplier in calculating the PMIERs required assets.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2020, stockholders’ equity was $3.7 billion, compared to $3.0 billion as of December 31, 2019. This increase was primarily due to the completion of a public offering of common shares in June 2020, net income generated in 2020 and an increase in accumulated other comprehensive income related to an increase in our unrealized investment gains.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2020, investments totaled $4.6 billion compared to $3.4 billion as of December 31, 2019. In addition, our total cash was $118.7 million as of September 30, 2020, compared to $71.4 million as of December 31, 2019. The increase in investments was primarily due to investing net cash flows from operations, the net proceeds from the public offering of common shares and the borrowings under the Credit Facility during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Investments Available for Sale by Asset Class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89"/>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6"/>
                <w:szCs w:val="16"/>
                <w:color w:val="auto"/>
              </w:rPr>
            </w:pPr>
          </w:p>
        </w:tc>
        <w:tc>
          <w:tcPr>
            <w:tcW w:w="20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3"/>
        </w:trPr>
        <w:tc>
          <w:tcPr>
            <w:tcW w:w="41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229,417</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242,206</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0"/>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956,581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848,334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493,673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debt securities(2)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985,384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366,227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288,281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442,723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952,952</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315,362</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4,502,349</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3,350,747</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93"/>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1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43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 :</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revenue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obligation bonds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participation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allocation bonds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tax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3"/>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43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 :</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Consumer, non-cyclical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cyclical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materials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Investments Available for Sale by Rating</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Rating(1)</w:t>
            </w: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180" w:type="dxa"/>
            <w:vAlign w:val="bottom"/>
            <w:tcBorders>
              <w:bottom w:val="single" w:sz="8" w:color="auto"/>
            </w:tcBorders>
          </w:tcPr>
          <w:p>
            <w:pPr>
              <w:spacing w:after="0"/>
              <w:rPr>
                <w:sz w:val="16"/>
                <w:szCs w:val="16"/>
                <w:color w:val="auto"/>
              </w:rPr>
            </w:pPr>
          </w:p>
        </w:tc>
      </w:tr>
      <w:tr>
        <w:trPr>
          <w:trHeight w:val="18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3"/>
        </w:trPr>
        <w:tc>
          <w:tcPr>
            <w:tcW w:w="38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2,665,634</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1,817,905</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54.2 %</w:t>
            </w:r>
          </w:p>
        </w:tc>
      </w:tr>
      <w:tr>
        <w:trPr>
          <w:trHeight w:val="23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175,114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109,122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145,282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213,770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159,599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A1</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229,925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206,643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A2</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278,661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183,780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213,041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191,933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251,954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232,490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177,633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Baa3</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29,292</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4,502,349</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3,350,747</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r>
      <w:tr>
        <w:trPr>
          <w:trHeight w:val="20"/>
        </w:trPr>
        <w:tc>
          <w:tcPr>
            <w:tcW w:w="2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56"/>
        </w:trPr>
        <w:tc>
          <w:tcPr>
            <w:tcW w:w="2180" w:type="dxa"/>
            <w:vAlign w:val="bottom"/>
            <w:tcBorders>
              <w:bottom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76"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Ratings ("Fitch") rating utilized if Moody’s not available.</w:t>
      </w:r>
    </w:p>
    <w:p>
      <w:pPr>
        <w:spacing w:after="0" w:line="221" w:lineRule="exact"/>
        <w:rPr>
          <w:rFonts w:ascii="Times New Roman" w:cs="Times New Roman" w:eastAsia="Times New Roman" w:hAnsi="Times New Roman"/>
          <w:sz w:val="18"/>
          <w:szCs w:val="18"/>
          <w:color w:val="auto"/>
        </w:rPr>
      </w:pPr>
    </w:p>
    <w:p>
      <w:pPr>
        <w:ind w:left="3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Investments Available for Sale by Effective Duration</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Duration</w:t>
            </w: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180" w:type="dxa"/>
            <w:vAlign w:val="bottom"/>
            <w:tcBorders>
              <w:bottom w:val="single" w:sz="8" w:color="auto"/>
            </w:tcBorders>
          </w:tcPr>
          <w:p>
            <w:pPr>
              <w:spacing w:after="0"/>
              <w:rPr>
                <w:sz w:val="16"/>
                <w:szCs w:val="16"/>
                <w:color w:val="auto"/>
              </w:rPr>
            </w:pPr>
          </w:p>
        </w:tc>
      </w:tr>
      <w:tr>
        <w:trPr>
          <w:trHeight w:val="18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3"/>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 Year</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2,009,570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1,038,782</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to &lt; 2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431,317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306,148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to &lt; 3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377,331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348,708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 to &lt; 4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334,656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361,147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to &lt; 5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381,525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443,382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5 or more Years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967,950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852,580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25.5</w:t>
            </w:r>
          </w:p>
        </w:tc>
      </w:tr>
      <w:tr>
        <w:trPr>
          <w:trHeight w:val="24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4,502,349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3,350,747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Top Ten Investments Available for Sale Holdings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Rank</w:t>
            </w:r>
          </w:p>
        </w:tc>
        <w:tc>
          <w:tcPr>
            <w:tcW w:w="31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1"/>
                <w:szCs w:val="11"/>
                <w:color w:val="auto"/>
              </w:rPr>
            </w:pPr>
          </w:p>
        </w:tc>
        <w:tc>
          <w:tcPr>
            <w:tcW w:w="1080" w:type="dxa"/>
            <w:vAlign w:val="bottom"/>
          </w:tcPr>
          <w:p>
            <w:pPr>
              <w:jc w:val="right"/>
              <w:ind w:right="213"/>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89"/>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12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Rating(1)</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 3.500% 1/1/2058</w:t>
            </w: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27,903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0.250% 5/31/2025</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25,610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Freddie Mac 4.000% 11/1/2048</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23,011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2.625% 6/30/2023</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21,089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5.250% 11/15/2028</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20,969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Fannie Mae 2.000% 8/1/2050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20,894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1.500% 8/15/2026</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18,659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Freddie Mac 2.500% 7/1/2050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17,565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2.625% 7/15/2021</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15,040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Fannie Mae 2.500% 8/1/2050</w:t>
            </w: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15,032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205,772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80" w:type="dxa"/>
            <w:vAlign w:val="bottom"/>
            <w:gridSpan w:val="4"/>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Percent of Investments Available for Sale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1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Based on ratings issued by Moody’s, if available. S&amp;P or Fitch rating utilized if Moody’s not available.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Rank</w:t>
            </w:r>
          </w:p>
        </w:tc>
        <w:tc>
          <w:tcPr>
            <w:tcW w:w="1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3"/>
          </w:tcPr>
          <w:p>
            <w:pPr>
              <w:jc w:val="right"/>
              <w:ind w:right="207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220" w:type="dxa"/>
            <w:vAlign w:val="bottom"/>
            <w:tcBorders>
              <w:bottom w:val="single" w:sz="8" w:color="auto"/>
            </w:tcBorders>
          </w:tcPr>
          <w:p>
            <w:pPr>
              <w:spacing w:after="0"/>
              <w:rPr>
                <w:sz w:val="16"/>
                <w:szCs w:val="16"/>
                <w:color w:val="auto"/>
              </w:rPr>
            </w:pPr>
          </w:p>
        </w:tc>
      </w:tr>
      <w:tr>
        <w:trPr>
          <w:trHeight w:val="18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20" w:type="dxa"/>
            <w:vAlign w:val="bottom"/>
            <w:gridSpan w:val="3"/>
          </w:tcPr>
          <w:p>
            <w:pPr>
              <w:jc w:val="right"/>
              <w:ind w:right="321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 3.500% 1/1/2058</w:t>
            </w:r>
          </w:p>
        </w:tc>
        <w:tc>
          <w:tcPr>
            <w:tcW w:w="3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30,112</w:t>
            </w: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U.S. Treasury 5.250%</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11/15/2028</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29,480</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Freddie Mac 4.000% 11/1/2048</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28,530</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U.S. Treasury 2.625%</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6/30/2023</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20,465</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U.S. Treasury 1.500%</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8/15/2026</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17,161</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Fannie Mae 4.500% 5/1/2048</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16,972</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Freddie Mac 4.500% 4/1/2049</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16,585</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U.S. Treasury 2.625%</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7/15/2021</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14,978</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Freddie Mac 4.000% 5/15/2050</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14,700</w:t>
            </w:r>
          </w:p>
        </w:tc>
      </w:tr>
      <w:tr>
        <w:trPr>
          <w:trHeight w:val="230"/>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Fannie Mae 4.000% 5/1/2056</w:t>
            </w:r>
          </w:p>
        </w:tc>
        <w:tc>
          <w:tcPr>
            <w:tcW w:w="3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13,079</w:t>
            </w:r>
          </w:p>
        </w:tc>
      </w:tr>
      <w:tr>
        <w:trPr>
          <w:trHeight w:val="248"/>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202,062</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2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Percent of Investments Available for Sale</w:t>
            </w: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6.0 %</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include municipal debt securities for states that represent more than 10% of the total municipal bond position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3"/>
                <w:szCs w:val="13"/>
                <w:color w:val="auto"/>
              </w:rPr>
            </w:pP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3"/>
                <w:szCs w:val="13"/>
                <w:color w:val="auto"/>
              </w:rPr>
            </w:pPr>
          </w:p>
        </w:tc>
        <w:tc>
          <w:tcPr>
            <w:tcW w:w="138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2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Rating (1), (2)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University of Houston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Texas A&amp;M University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Aaa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State of Texas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Aaa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City of Houston TX Combined Utility System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Dallas/Fort Worth International Airport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City of Austin TX Electric Utility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City of Houston TX</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Texas Municipal Water District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Aaa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North Texas Tollway System</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City of Dallas TX</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LCRA Transmission Services Corp</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City of Fort Worth TX Water &amp; Sewer System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Tarrant Regional Water District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Aaa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City of Houston TX Airport System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City of San Antonio TX Airport System</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City of Corpus Christi TX Utility System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Harris County Toll Road Authority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Texas Tech University System</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Central Texas Turnpike System</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Baa1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gridSpan w:val="3"/>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Metropolitan Transit Authority of Harris County Sales &amp; Use</w:t>
            </w:r>
          </w:p>
        </w:tc>
        <w:tc>
          <w:tcPr>
            <w:tcW w:w="3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Aaa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Tax Revenue</w:t>
            </w:r>
          </w:p>
        </w:tc>
        <w:tc>
          <w:tcPr>
            <w:tcW w:w="3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County of Fort Bend TX</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San Jacinto Community College District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Austin-Bergstrom Landhost Enterprises, Inc.</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Austin Independent School District</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Aaa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48,998</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20"/>
                <w:szCs w:val="20"/>
                <w:color w:val="auto"/>
              </w:rPr>
            </w:pP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20"/>
                <w:szCs w:val="20"/>
                <w:color w:val="auto"/>
              </w:rPr>
            </w:pPr>
          </w:p>
        </w:tc>
        <w:tc>
          <w:tcPr>
            <w:tcW w:w="138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2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Rating (1), (2)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gridSpan w:val="3"/>
          </w:tcPr>
          <w:p>
            <w:pPr>
              <w:ind w:left="240"/>
              <w:spacing w:after="0" w:line="176" w:lineRule="exact"/>
              <w:rPr>
                <w:sz w:val="20"/>
                <w:szCs w:val="20"/>
                <w:color w:val="auto"/>
              </w:rPr>
            </w:pPr>
            <w:r>
              <w:rPr>
                <w:rFonts w:ascii="Times New Roman" w:cs="Times New Roman" w:eastAsia="Times New Roman" w:hAnsi="Times New Roman"/>
                <w:sz w:val="18"/>
                <w:szCs w:val="18"/>
                <w:color w:val="auto"/>
              </w:rPr>
              <w:t>New York City Transitional Finance Authority Future Tax</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00" w:type="dxa"/>
            <w:vAlign w:val="bottom"/>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Secured Revenue</w:t>
            </w:r>
          </w:p>
        </w:tc>
        <w:tc>
          <w:tcPr>
            <w:tcW w:w="32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of New York Personal Income Tax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City of New York NY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Metropolitan Transportation Authority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Port Authority of New York and New Jersey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Research Foundation of State University of New York</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New York State Dormitory Authority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City of Yonkers NY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TSASC, Inc.</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County of Nassau NY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Long Island Power Authority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gridSpan w:val="3"/>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New York City Transitional Finance Authority Building Aid</w:t>
            </w:r>
          </w:p>
        </w:tc>
        <w:tc>
          <w:tcPr>
            <w:tcW w:w="3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Town of Oyster Bay NY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Yankee Stadium LLC</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51,674</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hanging="328"/>
        <w:spacing w:after="0" w:line="282"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above securities may include financial guaranty insurance or state enhancements. The above ratings include the effect of these credit enhancements, if applicable.</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 utilized if Moody’s not available.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firstLine="180"/>
        <w:spacing w:after="0" w:line="256"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September 30, 2020, our estimated off-balance sheet maximum exposure to loss from the Radnor Re entities was $0.4 million, representing the estimated net present value of investment earnings on the assets in the reinsurance trusts. See Note 4 to our condensed consolidated financial statements for additional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the filing date of this report, there were no significant changes in our critical accounting policies from those discussed in our 2019 Form 10-K. See Note 2 to our condensed consolidated financial statements for recently issued accounting standards adopted or under evaluation.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60" w:lineRule="exact"/>
        <w:rPr>
          <w:sz w:val="20"/>
          <w:szCs w:val="20"/>
          <w:color w:val="auto"/>
        </w:rPr>
      </w:pPr>
    </w:p>
    <w:p>
      <w:pPr>
        <w:jc w:val="both"/>
        <w:ind w:left="660" w:right="220" w:hanging="328"/>
        <w:spacing w:after="0" w:line="261"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to the level of interest rates. </w:t>
      </w:r>
      <w:r>
        <w:rPr>
          <w:rFonts w:ascii="Times New Roman" w:cs="Times New Roman" w:eastAsia="Times New Roman" w:hAnsi="Times New Roman"/>
          <w:sz w:val="18"/>
          <w:szCs w:val="18"/>
          <w:color w:val="auto"/>
        </w:rPr>
        <w:t>Increasing interest rates may reduce the value of certain fixed-rate bonds held in the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79" w:lineRule="exact"/>
        <w:rPr>
          <w:rFonts w:ascii="Times New Roman" w:cs="Times New Roman" w:eastAsia="Times New Roman" w:hAnsi="Times New Roman"/>
          <w:sz w:val="18"/>
          <w:szCs w:val="18"/>
          <w:i w:val="1"/>
          <w:iCs w:val="1"/>
          <w:color w:val="auto"/>
        </w:rPr>
      </w:pPr>
    </w:p>
    <w:p>
      <w:pPr>
        <w:ind w:left="660" w:right="100" w:hanging="328"/>
        <w:spacing w:after="0" w:line="284"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to the term structure of interest rates. </w:t>
      </w:r>
      <w:r>
        <w:rPr>
          <w:rFonts w:ascii="Times New Roman" w:cs="Times New Roman" w:eastAsia="Times New Roman" w:hAnsi="Times New Roman"/>
          <w:sz w:val="18"/>
          <w:szCs w:val="18"/>
          <w:color w:val="auto"/>
        </w:rPr>
        <w:t>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185" w:lineRule="exact"/>
        <w:rPr>
          <w:rFonts w:ascii="Times New Roman" w:cs="Times New Roman" w:eastAsia="Times New Roman" w:hAnsi="Times New Roman"/>
          <w:sz w:val="18"/>
          <w:szCs w:val="18"/>
          <w:i w:val="1"/>
          <w:iCs w:val="1"/>
          <w:color w:val="auto"/>
        </w:rPr>
      </w:pPr>
    </w:p>
    <w:p>
      <w:pPr>
        <w:ind w:left="660" w:right="380" w:hanging="328"/>
        <w:spacing w:after="0" w:line="284"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Market volatility/changes in the real or perceived credit quality of investments. </w:t>
      </w:r>
      <w:r>
        <w:rPr>
          <w:rFonts w:ascii="Times New Roman" w:cs="Times New Roman" w:eastAsia="Times New Roman" w:hAnsi="Times New Roman"/>
          <w:sz w:val="18"/>
          <w:szCs w:val="18"/>
          <w:color w:val="auto"/>
        </w:rPr>
        <w:t>Deterioration in the quality of investments, identified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our own or third-party (e.g., rating agency) assessments, will reduce the value and potentially the liquidity of investments.</w:t>
      </w:r>
    </w:p>
    <w:p>
      <w:pPr>
        <w:spacing w:after="0" w:line="185" w:lineRule="exact"/>
        <w:rPr>
          <w:rFonts w:ascii="Times New Roman" w:cs="Times New Roman" w:eastAsia="Times New Roman" w:hAnsi="Times New Roman"/>
          <w:sz w:val="18"/>
          <w:szCs w:val="18"/>
          <w:i w:val="1"/>
          <w:iCs w:val="1"/>
          <w:color w:val="auto"/>
        </w:rPr>
      </w:pPr>
    </w:p>
    <w:p>
      <w:pPr>
        <w:ind w:left="660" w:right="260" w:hanging="328"/>
        <w:spacing w:after="0" w:line="284"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Concentration Risk. </w:t>
      </w:r>
      <w:r>
        <w:rPr>
          <w:rFonts w:ascii="Times New Roman" w:cs="Times New Roman" w:eastAsia="Times New Roman" w:hAnsi="Times New Roman"/>
          <w:sz w:val="18"/>
          <w:szCs w:val="18"/>
          <w:color w:val="auto"/>
        </w:rPr>
        <w:t>If the investment portfolio is highly concentrated in one asset, or in multiple assets whose values are highly correlated,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total portfolio may be greatly affected by the change in value of just one asset or a group of highly correlated assets.</w:t>
      </w:r>
    </w:p>
    <w:p>
      <w:pPr>
        <w:spacing w:after="0" w:line="185" w:lineRule="exact"/>
        <w:rPr>
          <w:rFonts w:ascii="Times New Roman" w:cs="Times New Roman" w:eastAsia="Times New Roman" w:hAnsi="Times New Roman"/>
          <w:sz w:val="18"/>
          <w:szCs w:val="18"/>
          <w:i w:val="1"/>
          <w:iCs w:val="1"/>
          <w:color w:val="auto"/>
        </w:rPr>
      </w:pPr>
    </w:p>
    <w:p>
      <w:pPr>
        <w:ind w:left="660" w:right="500" w:hanging="328"/>
        <w:spacing w:after="0" w:line="284"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Prepayment Risk. </w:t>
      </w:r>
      <w:r>
        <w:rPr>
          <w:rFonts w:ascii="Times New Roman" w:cs="Times New Roman" w:eastAsia="Times New Roman" w:hAnsi="Times New Roman"/>
          <w:sz w:val="18"/>
          <w:szCs w:val="18"/>
          <w:color w:val="auto"/>
        </w:rPr>
        <w:t>Bonds may have call provisions that permit debtors to repay prior to maturity when it is to their advantage. This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when rates fall below the interest rate of the debt.</w:t>
      </w:r>
    </w:p>
    <w:p>
      <w:pPr>
        <w:spacing w:after="0" w:line="160"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At September 30, 2020, the effective duration of our investments available for sale was 2.5 years, which means that an instantaneous parallel shift (movement up or down) in the yield curve of 100 basis points would result in a change of 2.5% in fair value of our investments available for sale. Excluding short-term investments, our investments available for sale effective duration was 3.2 years, which means that an instantaneous parallel shift (movement up or down) in the yield curve of 100 basis points would result in a change of 3.2% in fair value of our investments available for sale.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September 30, 2020, the end of the period covered by this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“Risk Factors” in our Annual Report on Form 10-K for the year ended December 31, 2019. Except as discussed below,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impact of COVID-19</w:t>
      </w:r>
    </w:p>
    <w:p>
      <w:pPr>
        <w:spacing w:after="0" w:line="29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 outbreak of COVID-19 is currently spreading throughout the world, including in Asia, Europe and the United States. This outbreak is unprecedented in modern history and continues to rapidly evolve and disrupt the global economy and financial markets, including the U.S. housing and mortgage markets. On March 11, 2020, the World Health Organization declared the outbreak to be a pandemic, and on March 13, 2020, U.S. President Donald Trump declared the outbreak to be a national emergency. The rapid spread has resulted in authorities around the world implementing numerous measures to contain the virus, such as travel bans and restrictions, quarantines, shelter-in-place orders and business shutdowns. The pandemic and these containment measures have had, and are expected to continue to have, a substantial negative impact on businesses around the world and on global, regional and national economies.</w:t>
      </w:r>
    </w:p>
    <w:p>
      <w:pPr>
        <w:spacing w:after="0" w:line="21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emergence of the COVID-19 pandemic and the resulting containment measures have caused economic and financial disruptions that have adversely affected, and are expected to continue to materially adversely affect, our business, results of operations, financial condition and liquidity. The extent to which the pandemic will continue to materially adversely affect our business, results of operations, financial condition and liquidity will depend on numerous evolving factors and future developments that we are not able to predict, including the duration, spread and severity of the outbreak; the nature, extent and effectiveness of containment measures; the extent and duration of the effect on the economy, unemployment, consumer confidence and consumer and business spending; and how quickly and to what extent normal economic and operating conditions can resume.</w:t>
      </w:r>
    </w:p>
    <w:p>
      <w:pPr>
        <w:spacing w:after="0" w:line="21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Since the outbreak of the pandemic, there have been a number of governmental and GSE efforts to implement programs designed to assist individuals and businesses impacted by the virus. On March 27, 2020, the Coronavirus Aid, Relief and Economic Security Act, referred to as the CARES Act, was signed into law. The CARES Act provides financial assistance for businesses and individuals and targeted regulatory relief for financial institutions. Among many other things, the CARES Act suspends foreclosures and evictions for at least 60 days from March 18, 2020, on mortgages purchased or securitized by the GSEs. In addition, the CARES Act enacts into law a requirement to provide payment forbearance on such mortgages to borrowers experiencing a hardship during the COVID-19 emergency. Forbearance under the CARES Act allows for a mortgage payment to be suspended for up to 360 days due to hardship caused by COVID-19. The CARES Act also provides for enhanced unemployment benefits and direct aid to individuals, among other things.</w:t>
      </w:r>
    </w:p>
    <w:p>
      <w:pPr>
        <w:spacing w:after="0" w:line="2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Fannie Mae and Freddie Mac, the primary purchasers of mortgages we insure, have adopted relief measures consistent with the CARES Act to assist borrowers impacted by COVID-19. Under forbearance plans announced by the GSEs and implemented by their servicers, eligible homeowners who are adversely impacted by COVID-19 are permitted to temporarily reduce or suspend their mortgage payments for up to 12 months. The GSEs have announced that, at the end of the forbearance plan, the homeowner may not be required to pay back their reduced or suspended mortgage payments in one lump sum, but may be eligible for a number of different options offered by their mortgage servicer, including repayment plans, resuming normal payments or lowering the monthly loan payment through a modification. However, there can be no assurances that homeowners will be able to remain current on their mortgages once the forbearance period ends, and a significant percentage could ultimately default and result in a mortgage insurance claim despite the GSE and other programs.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COVID-19 pandemic and containment measures have contributed to, among other things:</w:t>
      </w:r>
    </w:p>
    <w:p>
      <w:pPr>
        <w:spacing w:after="0" w:line="252" w:lineRule="exact"/>
        <w:rPr>
          <w:sz w:val="20"/>
          <w:szCs w:val="20"/>
          <w:color w:val="auto"/>
        </w:rPr>
      </w:pPr>
    </w:p>
    <w:p>
      <w:pPr>
        <w:ind w:left="660" w:hanging="328"/>
        <w:spacing w:after="0" w:line="254"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policy losses and loss adjustment expenses we ultimately incur as a result of COVID-19 and the related economic impact may be substantially different than the loss reserves established on our financial statements at the end of each period. In accordance with industry practice and statutory accounting rules applicable to mortgage guaranty insurance companies, we establish loss reserves only for loans reported to us in default, including forbearance-related defaults. These reserves are established using estimated claim rates and claim amounts in estimating the ultimate loss, which estimates are subject to significant uncertainty given the unprecedented nature and magnitude of the COVID-19 pandemic. In addition, because our reserving method does not account for the impact of future losses that could occur from loans that are not yet delinquent, our obligation for ultimate losses that we expect to occur under our policies in force at any period end is not reflected in our financial statements, except in the case where a premium deficiency exists.</w:t>
      </w:r>
    </w:p>
    <w:p>
      <w:pPr>
        <w:spacing w:after="0" w:line="218"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deterioration in the ability and willingness of homeowners to continue to make mortgage payments on loans that we insure, which could result in an increase in the amount of insurance regulatory and PMIERs capital we are required to hold for delinquent loans, including forbearance-related delinquencies, as well as an increase in claims ultimately made with respect to such mortgage loans. Mortgage delinquencies are typically affected by a variety of borrower-specific factors, such as job loss, illness, death and divorce, and macroeconomic factors, such as rising unemployment, market deterioration and home price depreciation, many of which are likely exacerbated by the COVID-19 pandemic.</w:t>
      </w:r>
    </w:p>
    <w:p>
      <w:pPr>
        <w:spacing w:after="0" w:line="210"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reduction in the number of new mortgage loans available for us to insure, and consequently, on our future volumes of new insurance written, with the degree of the impact dependent in large part on the extent and duration of the economic contraction.</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capital, credit and reinsurance market conditions, which may limit our ability to issue ILNs, purchase reinsurance or access traditional financing methods. Such adverse impacts may increase our cost of capital and affect our ability to meet liquidity needs.</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increased strain on our risk management policies generally, including, but not limited to, the effectiveness and accuracy of our models, given the lack of data inputs and comparable precedent.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increased risk to the value of our investments and other assets, which has the potential to result in impairment charges.</w:t>
      </w:r>
    </w:p>
    <w:p>
      <w:pPr>
        <w:spacing w:after="0" w:line="252"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our daily business operations and our employees’ ability to perform necessary business functions, including as a result of illness or as a result of restrictions on movement.</w:t>
      </w:r>
    </w:p>
    <w:p>
      <w:pPr>
        <w:spacing w:after="0" w:line="188"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our costs structure, including the need for increased staffing in certain segments of our business, increased spending on our business continuity efforts, such as technology, and readiness efforts for returning to our offices, which may in turn limit our ability to make investments in other areas.</w:t>
      </w:r>
    </w:p>
    <w:p>
      <w:pPr>
        <w:spacing w:after="0" w:line="202"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increased risk of an information or cyber-security incident, fraud, a failure to maintain the uninterrupted operation of our information systems or a failure in the effectiveness of our anti-money laundering and other compliance programs due to, among other things, an increase in remote work.</w:t>
      </w:r>
    </w:p>
    <w:p>
      <w:pPr>
        <w:spacing w:after="0" w:line="20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above impacts of the COVID-19 pandemic and containment measures are likely to continue and in some cases, may worsen. The pandemic and containment measures may cause us to modify our strategic plans and business practices, and we may take further actions that we determine are in the best interests of our employees, customers and business partners. As a result of the above risks, COVID-19 could materially and adversely impact our business, results of operations, financial position and liquidity.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repurchase any of our common shares during the three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t>
            </w:r>
          </w:p>
        </w:tc>
        <w:tc>
          <w:tcPr>
            <w:tcW w:w="10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Exhibits:</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24"/>
                <w:szCs w:val="24"/>
                <w:color w:val="auto"/>
              </w:rPr>
            </w:pPr>
          </w:p>
        </w:tc>
        <w:tc>
          <w:tcPr>
            <w:tcW w:w="9940" w:type="dxa"/>
            <w:vAlign w:val="bottom"/>
            <w:vMerge w:val="restart"/>
          </w:tcPr>
          <w:p>
            <w:pPr>
              <w:ind w:left="4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500" w:type="dxa"/>
            <w:vAlign w:val="bottom"/>
            <w:tcBorders>
              <w:bottom w:val="single" w:sz="8" w:color="auto"/>
            </w:tcBorders>
          </w:tcPr>
          <w:p>
            <w:pPr>
              <w:spacing w:after="0"/>
              <w:rPr>
                <w:sz w:val="16"/>
                <w:szCs w:val="16"/>
                <w:color w:val="auto"/>
              </w:rPr>
            </w:pPr>
          </w:p>
        </w:tc>
        <w:tc>
          <w:tcPr>
            <w:tcW w:w="9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0" w:type="dxa"/>
            <w:vAlign w:val="bottom"/>
            <w:gridSpan w:val="3"/>
          </w:tcPr>
          <w:p>
            <w:pPr>
              <w:ind w:left="20"/>
              <w:spacing w:after="0" w:line="16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10.</w:t>
              </w:r>
            </w:hyperlink>
            <w:hyperlink r:id="rId68">
              <w:r>
                <w:rPr>
                  <w:rFonts w:ascii="Times New Roman" w:cs="Times New Roman" w:eastAsia="Times New Roman" w:hAnsi="Times New Roman"/>
                  <w:sz w:val="18"/>
                  <w:szCs w:val="18"/>
                  <w:u w:val="single" w:color="auto"/>
                  <w:color w:val="0000FF"/>
                </w:rPr>
                <w:t>1</w:t>
              </w:r>
            </w:hyperlink>
          </w:p>
        </w:tc>
        <w:tc>
          <w:tcPr>
            <w:tcW w:w="500" w:type="dxa"/>
            <w:vAlign w:val="bottom"/>
          </w:tcPr>
          <w:p>
            <w:pPr>
              <w:spacing w:after="0"/>
              <w:rPr>
                <w:sz w:val="15"/>
                <w:szCs w:val="15"/>
                <w:color w:val="auto"/>
              </w:rPr>
            </w:pPr>
          </w:p>
        </w:tc>
        <w:tc>
          <w:tcPr>
            <w:tcW w:w="9940" w:type="dxa"/>
            <w:vAlign w:val="bottom"/>
          </w:tcPr>
          <w:p>
            <w:pPr>
              <w:ind w:left="440"/>
              <w:spacing w:after="0" w:line="169" w:lineRule="exact"/>
              <w:rPr>
                <w:sz w:val="20"/>
                <w:szCs w:val="20"/>
                <w:color w:val="auto"/>
              </w:rPr>
            </w:pPr>
            <w:r>
              <w:rPr>
                <w:rFonts w:ascii="Times New Roman" w:cs="Times New Roman" w:eastAsia="Times New Roman" w:hAnsi="Times New Roman"/>
                <w:sz w:val="18"/>
                <w:szCs w:val="18"/>
                <w:color w:val="auto"/>
              </w:rPr>
              <w:t>Second Amended and Restated Credit Agreement, dated as of October 14, 2020, by and among Essent Group Ltd., Essent Irish</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940" w:type="dxa"/>
            <w:vAlign w:val="bottom"/>
          </w:tcPr>
          <w:p>
            <w:pPr>
              <w:ind w:left="440"/>
              <w:spacing w:after="0" w:line="135" w:lineRule="exact"/>
              <w:rPr>
                <w:sz w:val="20"/>
                <w:szCs w:val="20"/>
                <w:color w:val="auto"/>
              </w:rPr>
            </w:pPr>
            <w:r>
              <w:rPr>
                <w:rFonts w:ascii="Times New Roman" w:cs="Times New Roman" w:eastAsia="Times New Roman" w:hAnsi="Times New Roman"/>
                <w:sz w:val="15"/>
                <w:szCs w:val="15"/>
                <w:color w:val="auto"/>
              </w:rPr>
              <w:t>Intermediate Holdings Limited and Essent US Holdings, Inc., as borrowers, the several banks and other financial institutions or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94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entities from time to time parties to this agreement, as lenders, and JPMorgan Chase Bank, N.A., as administrative agent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94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(incorporated by reference herein to Exhibit 10.1 of the Current Report on Form 8-K (File No. 001-36157) filed on October 20,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180"/>
        </w:trPr>
        <w:tc>
          <w:tcPr>
            <w:tcW w:w="620" w:type="dxa"/>
            <w:vAlign w:val="bottom"/>
            <w:gridSpan w:val="3"/>
          </w:tcPr>
          <w:p>
            <w:pPr>
              <w:ind w:left="20"/>
              <w:spacing w:after="0" w:line="181" w:lineRule="exact"/>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31.1</w:t>
              </w:r>
            </w:hyperlink>
          </w:p>
        </w:tc>
        <w:tc>
          <w:tcPr>
            <w:tcW w:w="500" w:type="dxa"/>
            <w:vAlign w:val="bottom"/>
          </w:tcPr>
          <w:p>
            <w:pPr>
              <w:spacing w:after="0"/>
              <w:rPr>
                <w:sz w:val="15"/>
                <w:szCs w:val="15"/>
                <w:color w:val="auto"/>
              </w:rPr>
            </w:pPr>
          </w:p>
        </w:tc>
        <w:tc>
          <w:tcPr>
            <w:tcW w:w="994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80"/>
        </w:trPr>
        <w:tc>
          <w:tcPr>
            <w:tcW w:w="620" w:type="dxa"/>
            <w:vAlign w:val="bottom"/>
            <w:gridSpan w:val="3"/>
          </w:tcPr>
          <w:p>
            <w:pPr>
              <w:ind w:left="20"/>
              <w:spacing w:after="0" w:line="181" w:lineRule="exact"/>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31.2</w:t>
              </w:r>
            </w:hyperlink>
          </w:p>
        </w:tc>
        <w:tc>
          <w:tcPr>
            <w:tcW w:w="500" w:type="dxa"/>
            <w:vAlign w:val="bottom"/>
          </w:tcPr>
          <w:p>
            <w:pPr>
              <w:spacing w:after="0"/>
              <w:rPr>
                <w:sz w:val="15"/>
                <w:szCs w:val="15"/>
                <w:color w:val="auto"/>
              </w:rPr>
            </w:pPr>
          </w:p>
        </w:tc>
        <w:tc>
          <w:tcPr>
            <w:tcW w:w="994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80"/>
        </w:trPr>
        <w:tc>
          <w:tcPr>
            <w:tcW w:w="620" w:type="dxa"/>
            <w:vAlign w:val="bottom"/>
            <w:gridSpan w:val="3"/>
          </w:tcPr>
          <w:p>
            <w:pPr>
              <w:ind w:left="20"/>
              <w:spacing w:after="0" w:line="181" w:lineRule="exact"/>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32.1</w:t>
              </w:r>
            </w:hyperlink>
          </w:p>
        </w:tc>
        <w:tc>
          <w:tcPr>
            <w:tcW w:w="500" w:type="dxa"/>
            <w:vAlign w:val="bottom"/>
          </w:tcPr>
          <w:p>
            <w:pPr>
              <w:spacing w:after="0"/>
              <w:rPr>
                <w:sz w:val="15"/>
                <w:szCs w:val="15"/>
                <w:color w:val="auto"/>
              </w:rPr>
            </w:pPr>
          </w:p>
        </w:tc>
        <w:tc>
          <w:tcPr>
            <w:tcW w:w="994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w w:val="99"/>
              </w:rPr>
              <w:t>Certification of Chief Executive Officer and Chief Financial Officer pursuant to 18 U.S.C. 1350, as adopted pursuant to Section 906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0" w:type="dxa"/>
            <w:vAlign w:val="bottom"/>
          </w:tcPr>
          <w:p>
            <w:pPr>
              <w:spacing w:after="0"/>
              <w:rPr>
                <w:sz w:val="1"/>
                <w:szCs w:val="1"/>
                <w:color w:val="auto"/>
              </w:rPr>
            </w:pPr>
          </w:p>
        </w:tc>
      </w:tr>
    </w:tbl>
    <w:p>
      <w:pPr>
        <w:ind w:left="1560" w:hanging="1534"/>
        <w:spacing w:after="0" w:line="214" w:lineRule="auto"/>
        <w:tabs>
          <w:tab w:leader="none" w:pos="1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this Quarterly Report on Form 10-Q for the quarter ended September 30, 2020, formatted in Inline XBRL: (i) the Condensed Consolidated Balance Sheets (Unaudited); (ii)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29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ESSENT GROUP LTD.</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Date: November 6, 2020</w:t>
      </w:r>
      <w:r>
        <w:rPr>
          <w:sz w:val="20"/>
          <w:szCs w:val="20"/>
          <w:color w:val="auto"/>
        </w:rPr>
        <w:tab/>
      </w:r>
      <w:r>
        <w:rPr>
          <w:rFonts w:ascii="Times New Roman" w:cs="Times New Roman" w:eastAsia="Times New Roman" w:hAnsi="Times New Roman"/>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29743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Mark A. Casale</w:t>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ind w:left="5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Date: November 6, 2020</w:t>
      </w:r>
      <w:r>
        <w:rPr>
          <w:sz w:val="20"/>
          <w:szCs w:val="20"/>
          <w:color w:val="auto"/>
        </w:rPr>
        <w:tab/>
      </w:r>
      <w:r>
        <w:rPr>
          <w:rFonts w:ascii="Times New Roman" w:cs="Times New Roman" w:eastAsia="Times New Roman" w:hAnsi="Times New Roman"/>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29743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Lawrence E. McAlee</w:t>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53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Date: November 6, 2020</w:t>
      </w:r>
      <w:r>
        <w:rPr>
          <w:sz w:val="20"/>
          <w:szCs w:val="20"/>
          <w:color w:val="auto"/>
        </w:rPr>
        <w:tab/>
      </w:r>
      <w:r>
        <w:rPr>
          <w:rFonts w:ascii="Times New Roman" w:cs="Times New Roman" w:eastAsia="Times New Roman" w:hAnsi="Times New Roman"/>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29743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ind w:left="53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00"/>
          </w:cols>
          <w:pgMar w:left="320" w:top="121" w:right="37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25" w:lineRule="exact"/>
        <w:rPr>
          <w:rFonts w:ascii="Times New Roman" w:cs="Times New Roman" w:eastAsia="Times New Roman" w:hAnsi="Times New Roman"/>
          <w:sz w:val="18"/>
          <w:szCs w:val="18"/>
          <w:color w:val="auto"/>
        </w:rPr>
      </w:pPr>
    </w:p>
    <w:p>
      <w:pPr>
        <w:jc w:val="both"/>
        <w:ind w:right="240" w:firstLine="8"/>
        <w:spacing w:after="0" w:line="282" w:lineRule="auto"/>
        <w:tabs>
          <w:tab w:leader="none" w:pos="5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5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5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 w:firstLine="494"/>
        <w:spacing w:after="0" w:line="266" w:lineRule="auto"/>
        <w:tabs>
          <w:tab w:leader="none" w:pos="100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494"/>
        <w:spacing w:after="0" w:line="266" w:lineRule="auto"/>
        <w:tabs>
          <w:tab w:leader="none" w:pos="101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20" w:firstLine="494"/>
        <w:spacing w:after="0" w:line="282" w:lineRule="auto"/>
        <w:tabs>
          <w:tab w:leader="none" w:pos="10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494"/>
        <w:spacing w:after="0" w:line="266" w:lineRule="auto"/>
        <w:tabs>
          <w:tab w:leader="none" w:pos="101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00" w:firstLine="8"/>
        <w:spacing w:after="0" w:line="282" w:lineRule="auto"/>
        <w:tabs>
          <w:tab w:leader="none" w:pos="5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780" w:firstLine="494"/>
        <w:spacing w:after="0" w:line="282" w:lineRule="auto"/>
        <w:tabs>
          <w:tab w:leader="none" w:pos="10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60" w:firstLine="494"/>
        <w:spacing w:after="0" w:line="282" w:lineRule="auto"/>
        <w:tabs>
          <w:tab w:leader="none" w:pos="10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2020</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319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25" w:lineRule="exact"/>
        <w:rPr>
          <w:rFonts w:ascii="Times New Roman" w:cs="Times New Roman" w:eastAsia="Times New Roman" w:hAnsi="Times New Roman"/>
          <w:sz w:val="18"/>
          <w:szCs w:val="18"/>
          <w:color w:val="auto"/>
        </w:rPr>
      </w:pPr>
    </w:p>
    <w:p>
      <w:pPr>
        <w:jc w:val="both"/>
        <w:ind w:right="240" w:firstLine="8"/>
        <w:spacing w:after="0" w:line="282" w:lineRule="auto"/>
        <w:tabs>
          <w:tab w:leader="none" w:pos="5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5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5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 w:firstLine="494"/>
        <w:spacing w:after="0" w:line="266" w:lineRule="auto"/>
        <w:tabs>
          <w:tab w:leader="none" w:pos="100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494"/>
        <w:spacing w:after="0" w:line="266" w:lineRule="auto"/>
        <w:tabs>
          <w:tab w:leader="none" w:pos="101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20" w:firstLine="494"/>
        <w:spacing w:after="0" w:line="282" w:lineRule="auto"/>
        <w:tabs>
          <w:tab w:leader="none" w:pos="10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494"/>
        <w:spacing w:after="0" w:line="266" w:lineRule="auto"/>
        <w:tabs>
          <w:tab w:leader="none" w:pos="101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00" w:firstLine="8"/>
        <w:spacing w:after="0" w:line="282" w:lineRule="auto"/>
        <w:tabs>
          <w:tab w:leader="none" w:pos="5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780" w:firstLine="494"/>
        <w:spacing w:after="0" w:line="282" w:lineRule="auto"/>
        <w:tabs>
          <w:tab w:leader="none" w:pos="10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60" w:firstLine="494"/>
        <w:spacing w:after="0" w:line="282" w:lineRule="auto"/>
        <w:tabs>
          <w:tab w:leader="none" w:pos="10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2020</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319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Lawrence E. McAlee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58" w:name="page59"/>
    <w:bookmarkEnd w:id="58"/>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5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76" w:lineRule="exact"/>
        <w:rPr>
          <w:sz w:val="20"/>
          <w:szCs w:val="20"/>
          <w:color w:val="auto"/>
        </w:rPr>
      </w:pPr>
    </w:p>
    <w:p>
      <w:pPr>
        <w:ind w:right="960" w:firstLine="8"/>
        <w:spacing w:after="0" w:line="282" w:lineRule="auto"/>
        <w:tabs>
          <w:tab w:leader="none" w:pos="6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2020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160" w:firstLine="8"/>
        <w:spacing w:after="0" w:line="532" w:lineRule="auto"/>
        <w:tabs>
          <w:tab w:leader="none" w:pos="6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6, 2020</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Lawrence E. McAlee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3"/>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2"/>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0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67" Type="http://schemas.openxmlformats.org/officeDocument/2006/relationships/hyperlink" Target="http://www.sec.gov/Archives/edgar/data/1448893/000144889320000107/essent-2020xsecondarcra01.htm" TargetMode="External"/><Relationship Id="rId68" Type="http://schemas.openxmlformats.org/officeDocument/2006/relationships/hyperlink" Target="https://www.sec.gov/Archives/edgar/data/1448893/000144889320000107/essent-2020xsecondarcra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2020-11-06T15:49:49Z</dcterms:created>
  <dcterms:modified xsi:type="dcterms:W3CDTF">2020-11-06T15:49:49Z</dcterms:modified>
</cp:coreProperties>
</file>