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2072005</wp:posOffset>
            </wp:positionH>
            <wp:positionV relativeFrom="paragraph">
              <wp:posOffset>163830</wp:posOffset>
            </wp:positionV>
            <wp:extent cx="31216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2072005</wp:posOffset>
            </wp:positionH>
            <wp:positionV relativeFrom="paragraph">
              <wp:posOffset>323215</wp:posOffset>
            </wp:positionV>
            <wp:extent cx="31216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ind w:left="80"/>
        <w:spacing w:after="0"/>
        <w:rPr>
          <w:sz w:val="20"/>
          <w:szCs w:val="20"/>
          <w:color w:val="auto"/>
        </w:rPr>
      </w:pPr>
      <w:r>
        <w:rPr>
          <w:rFonts w:ascii="Arial" w:cs="Arial" w:eastAsia="Arial" w:hAnsi="Arial"/>
          <w:sz w:val="16"/>
          <w:szCs w:val="16"/>
          <w:b w:val="1"/>
          <w:bCs w:val="1"/>
          <w:color w:val="auto"/>
        </w:rPr>
        <w:t>(Mark One)</w:t>
      </w:r>
    </w:p>
    <w:p>
      <w:pPr>
        <w:spacing w:after="0" w:line="118" w:lineRule="exact"/>
        <w:rPr>
          <w:sz w:val="24"/>
          <w:szCs w:val="24"/>
          <w:color w:val="auto"/>
        </w:rPr>
      </w:pPr>
    </w:p>
    <w:p>
      <w:pPr>
        <w:ind w:left="800" w:hanging="468"/>
        <w:spacing w:after="0"/>
        <w:tabs>
          <w:tab w:leader="none" w:pos="80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period ended September 30, 2019</w:t>
      </w:r>
    </w:p>
    <w:p>
      <w:pPr>
        <w:spacing w:after="0" w:line="132" w:lineRule="exact"/>
        <w:rPr>
          <w:sz w:val="24"/>
          <w:szCs w:val="24"/>
          <w:color w:val="auto"/>
        </w:rPr>
      </w:pPr>
    </w:p>
    <w:p>
      <w:pPr>
        <w:ind w:left="820" w:hanging="488"/>
        <w:spacing w:after="0"/>
        <w:tabs>
          <w:tab w:leader="none" w:pos="820" w:val="left"/>
        </w:tabs>
        <w:numPr>
          <w:ilvl w:val="0"/>
          <w:numId w:val="2"/>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440"/>
          </w:cols>
          <w:pgMar w:left="240" w:top="233" w:right="219" w:bottom="1440" w:gutter="0" w:footer="0" w:header="0"/>
        </w:sectPr>
      </w:pPr>
    </w:p>
    <w:p>
      <w:pPr>
        <w:spacing w:after="0" w:line="66"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to</w:t>
      </w:r>
    </w:p>
    <w:p>
      <w:pPr>
        <w:spacing w:after="0" w:line="223" w:lineRule="exact"/>
        <w:rPr>
          <w:sz w:val="24"/>
          <w:szCs w:val="24"/>
          <w:color w:val="auto"/>
        </w:rPr>
      </w:pPr>
    </w:p>
    <w:p>
      <w:pPr>
        <w:sectPr>
          <w:pgSz w:w="11900" w:h="16838" w:orient="portrait"/>
          <w:cols w:equalWidth="0" w:num="2">
            <w:col w:w="6140" w:space="580"/>
            <w:col w:w="4720"/>
          </w:cols>
          <w:pgMar w:left="240" w:top="233" w:right="219" w:bottom="1440" w:gutter="0" w:footer="0" w:header="0"/>
          <w:type w:val="continuous"/>
        </w:sectPr>
      </w:pPr>
    </w:p>
    <w:p>
      <w:pPr>
        <w:spacing w:after="0" w:line="10"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Commission file number 001-36157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2072005</wp:posOffset>
            </wp:positionH>
            <wp:positionV relativeFrom="paragraph">
              <wp:posOffset>189865</wp:posOffset>
            </wp:positionV>
            <wp:extent cx="31216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ectPr>
          <w:pgSz w:w="11900" w:h="16838" w:orient="portrait"/>
          <w:cols w:equalWidth="0" w:num="1">
            <w:col w:w="11440"/>
          </w:cols>
          <w:pgMar w:left="240" w:top="233" w:right="219" w:bottom="1440" w:gutter="0" w:footer="0" w:header="0"/>
          <w:type w:val="continuous"/>
        </w:sectPr>
      </w:pPr>
    </w:p>
    <w:p>
      <w:pPr>
        <w:spacing w:after="0" w:line="200" w:lineRule="exact"/>
        <w:rPr>
          <w:sz w:val="24"/>
          <w:szCs w:val="24"/>
          <w:color w:val="auto"/>
        </w:rPr>
      </w:pPr>
    </w:p>
    <w:p>
      <w:pPr>
        <w:spacing w:after="0" w:line="323" w:lineRule="exact"/>
        <w:rPr>
          <w:sz w:val="24"/>
          <w:szCs w:val="24"/>
          <w:color w:val="auto"/>
        </w:rPr>
      </w:pPr>
    </w:p>
    <w:tbl>
      <w:tblPr>
        <w:tblLayout w:type="fixed"/>
        <w:tblInd w:w="10" w:type="dxa"/>
        <w:tblCellMar>
          <w:top w:w="0" w:type="dxa"/>
          <w:left w:w="0" w:type="dxa"/>
          <w:bottom w:w="0" w:type="dxa"/>
          <w:right w:w="0" w:type="dxa"/>
        </w:tblCellMar>
      </w:tblPr>
      <w:tr>
        <w:trPr>
          <w:trHeight w:val="373"/>
        </w:trPr>
        <w:tc>
          <w:tcPr>
            <w:tcW w:w="3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60" w:type="dxa"/>
            <w:vAlign w:val="bottom"/>
            <w:gridSpan w:val="2"/>
          </w:tcPr>
          <w:p>
            <w:pPr>
              <w:jc w:val="center"/>
              <w:ind w:right="440"/>
              <w:spacing w:after="0"/>
              <w:rPr>
                <w:sz w:val="20"/>
                <w:szCs w:val="20"/>
                <w:color w:val="auto"/>
              </w:rPr>
            </w:pPr>
            <w:r>
              <w:rPr>
                <w:rFonts w:ascii="Arial" w:cs="Arial" w:eastAsia="Arial" w:hAnsi="Arial"/>
                <w:sz w:val="29"/>
                <w:szCs w:val="29"/>
                <w:b w:val="1"/>
                <w:bCs w:val="1"/>
                <w:color w:val="auto"/>
                <w:w w:val="96"/>
              </w:rPr>
              <w:t>ESSENT GROUP LTD.</w:t>
            </w:r>
          </w:p>
        </w:tc>
        <w:tc>
          <w:tcPr>
            <w:tcW w:w="56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06"/>
        </w:trPr>
        <w:tc>
          <w:tcPr>
            <w:tcW w:w="3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760" w:type="dxa"/>
            <w:vAlign w:val="bottom"/>
            <w:gridSpan w:val="3"/>
          </w:tcPr>
          <w:p>
            <w:pPr>
              <w:jc w:val="center"/>
              <w:ind w:right="60"/>
              <w:spacing w:after="0"/>
              <w:rPr>
                <w:sz w:val="20"/>
                <w:szCs w:val="20"/>
                <w:color w:val="auto"/>
              </w:rPr>
            </w:pPr>
            <w:r>
              <w:rPr>
                <w:rFonts w:ascii="Arial" w:cs="Arial" w:eastAsia="Arial" w:hAnsi="Arial"/>
                <w:sz w:val="16"/>
                <w:szCs w:val="16"/>
                <w:color w:val="auto"/>
                <w:w w:val="91"/>
              </w:rPr>
              <w:t>(Exact name of registrant as specified in its charter)</w:t>
            </w:r>
          </w:p>
        </w:tc>
        <w:tc>
          <w:tcPr>
            <w:tcW w:w="560" w:type="dxa"/>
            <w:vAlign w:val="bottom"/>
          </w:tcPr>
          <w:p>
            <w:pPr>
              <w:spacing w:after="0"/>
              <w:rPr>
                <w:sz w:val="17"/>
                <w:szCs w:val="17"/>
                <w:color w:val="auto"/>
              </w:rPr>
            </w:pPr>
          </w:p>
        </w:tc>
        <w:tc>
          <w:tcPr>
            <w:tcW w:w="3260" w:type="dxa"/>
            <w:vAlign w:val="bottom"/>
          </w:tcPr>
          <w:p>
            <w:pPr>
              <w:spacing w:after="0"/>
              <w:rPr>
                <w:sz w:val="17"/>
                <w:szCs w:val="17"/>
                <w:color w:val="auto"/>
              </w:rPr>
            </w:pPr>
          </w:p>
        </w:tc>
      </w:tr>
      <w:tr>
        <w:trPr>
          <w:trHeight w:val="249"/>
        </w:trPr>
        <w:tc>
          <w:tcPr>
            <w:tcW w:w="326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3260" w:type="dxa"/>
            <w:vAlign w:val="bottom"/>
          </w:tcPr>
          <w:p>
            <w:pPr>
              <w:spacing w:after="0"/>
              <w:rPr>
                <w:sz w:val="21"/>
                <w:szCs w:val="21"/>
                <w:color w:val="auto"/>
              </w:rPr>
            </w:pPr>
          </w:p>
        </w:tc>
      </w:tr>
      <w:tr>
        <w:trPr>
          <w:trHeight w:val="568"/>
        </w:trPr>
        <w:tc>
          <w:tcPr>
            <w:tcW w:w="3860" w:type="dxa"/>
            <w:vAlign w:val="bottom"/>
            <w:gridSpan w:val="2"/>
          </w:tcPr>
          <w:p>
            <w:pPr>
              <w:jc w:val="center"/>
              <w:ind w:left="1556"/>
              <w:spacing w:after="0"/>
              <w:rPr>
                <w:sz w:val="20"/>
                <w:szCs w:val="20"/>
                <w:color w:val="auto"/>
              </w:rPr>
            </w:pPr>
            <w:r>
              <w:rPr>
                <w:rFonts w:ascii="Arial" w:cs="Arial" w:eastAsia="Arial" w:hAnsi="Arial"/>
                <w:sz w:val="16"/>
                <w:szCs w:val="16"/>
                <w:b w:val="1"/>
                <w:bCs w:val="1"/>
                <w:color w:val="auto"/>
                <w:w w:val="95"/>
              </w:rPr>
              <w:t>Bermuda</w:t>
            </w:r>
          </w:p>
        </w:tc>
        <w:tc>
          <w:tcPr>
            <w:tcW w:w="4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20" w:type="dxa"/>
            <w:vAlign w:val="bottom"/>
            <w:gridSpan w:val="2"/>
          </w:tcPr>
          <w:p>
            <w:pPr>
              <w:jc w:val="center"/>
              <w:ind w:right="1610"/>
              <w:spacing w:after="0"/>
              <w:rPr>
                <w:sz w:val="20"/>
                <w:szCs w:val="20"/>
                <w:color w:val="auto"/>
              </w:rPr>
            </w:pPr>
            <w:r>
              <w:rPr>
                <w:rFonts w:ascii="Arial" w:cs="Arial" w:eastAsia="Arial" w:hAnsi="Arial"/>
                <w:sz w:val="16"/>
                <w:szCs w:val="16"/>
                <w:b w:val="1"/>
                <w:bCs w:val="1"/>
                <w:color w:val="auto"/>
                <w:w w:val="92"/>
              </w:rPr>
              <w:t>Not Applicable</w:t>
            </w:r>
          </w:p>
        </w:tc>
      </w:tr>
      <w:tr>
        <w:trPr>
          <w:trHeight w:val="253"/>
        </w:trPr>
        <w:tc>
          <w:tcPr>
            <w:tcW w:w="3860" w:type="dxa"/>
            <w:vAlign w:val="bottom"/>
            <w:gridSpan w:val="2"/>
          </w:tcPr>
          <w:p>
            <w:pPr>
              <w:jc w:val="center"/>
              <w:ind w:left="1556"/>
              <w:spacing w:after="0"/>
              <w:rPr>
                <w:sz w:val="20"/>
                <w:szCs w:val="20"/>
                <w:color w:val="auto"/>
              </w:rPr>
            </w:pPr>
            <w:r>
              <w:rPr>
                <w:rFonts w:ascii="Arial" w:cs="Arial" w:eastAsia="Arial" w:hAnsi="Arial"/>
                <w:sz w:val="16"/>
                <w:szCs w:val="16"/>
                <w:color w:val="auto"/>
                <w:w w:val="94"/>
              </w:rPr>
              <w:t>(State or other jurisdiction of</w:t>
            </w:r>
          </w:p>
        </w:tc>
        <w:tc>
          <w:tcPr>
            <w:tcW w:w="40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20" w:type="dxa"/>
            <w:vAlign w:val="bottom"/>
            <w:gridSpan w:val="2"/>
          </w:tcPr>
          <w:p>
            <w:pPr>
              <w:jc w:val="center"/>
              <w:ind w:right="1590"/>
              <w:spacing w:after="0"/>
              <w:rPr>
                <w:sz w:val="20"/>
                <w:szCs w:val="20"/>
                <w:color w:val="auto"/>
              </w:rPr>
            </w:pPr>
            <w:r>
              <w:rPr>
                <w:rFonts w:ascii="Arial" w:cs="Arial" w:eastAsia="Arial" w:hAnsi="Arial"/>
                <w:sz w:val="16"/>
                <w:szCs w:val="16"/>
                <w:color w:val="auto"/>
                <w:w w:val="93"/>
              </w:rPr>
              <w:t>(I.R.S. Employer</w:t>
            </w:r>
          </w:p>
        </w:tc>
      </w:tr>
      <w:tr>
        <w:trPr>
          <w:trHeight w:val="206"/>
        </w:trPr>
        <w:tc>
          <w:tcPr>
            <w:tcW w:w="3860" w:type="dxa"/>
            <w:vAlign w:val="bottom"/>
            <w:gridSpan w:val="2"/>
          </w:tcPr>
          <w:p>
            <w:pPr>
              <w:jc w:val="center"/>
              <w:ind w:left="1556"/>
              <w:spacing w:after="0"/>
              <w:rPr>
                <w:sz w:val="20"/>
                <w:szCs w:val="20"/>
                <w:color w:val="auto"/>
              </w:rPr>
            </w:pPr>
            <w:r>
              <w:rPr>
                <w:rFonts w:ascii="Arial" w:cs="Arial" w:eastAsia="Arial" w:hAnsi="Arial"/>
                <w:sz w:val="16"/>
                <w:szCs w:val="16"/>
                <w:color w:val="auto"/>
                <w:w w:val="93"/>
              </w:rPr>
              <w:t>incorporation or organization)</w:t>
            </w:r>
          </w:p>
        </w:tc>
        <w:tc>
          <w:tcPr>
            <w:tcW w:w="4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20" w:type="dxa"/>
            <w:vAlign w:val="bottom"/>
            <w:gridSpan w:val="2"/>
          </w:tcPr>
          <w:p>
            <w:pPr>
              <w:jc w:val="center"/>
              <w:ind w:right="1590"/>
              <w:spacing w:after="0"/>
              <w:rPr>
                <w:sz w:val="20"/>
                <w:szCs w:val="20"/>
                <w:color w:val="auto"/>
              </w:rPr>
            </w:pPr>
            <w:r>
              <w:rPr>
                <w:rFonts w:ascii="Arial" w:cs="Arial" w:eastAsia="Arial" w:hAnsi="Arial"/>
                <w:sz w:val="16"/>
                <w:szCs w:val="16"/>
                <w:color w:val="auto"/>
                <w:w w:val="95"/>
              </w:rPr>
              <w:t>Identification Number)</w:t>
            </w:r>
          </w:p>
        </w:tc>
      </w:tr>
      <w:tr>
        <w:trPr>
          <w:trHeight w:val="208"/>
        </w:trPr>
        <w:tc>
          <w:tcPr>
            <w:tcW w:w="3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6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2"/>
              </w:rPr>
              <w:t>Clarendon House</w:t>
            </w:r>
          </w:p>
        </w:tc>
        <w:tc>
          <w:tcPr>
            <w:tcW w:w="56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189"/>
        </w:trPr>
        <w:tc>
          <w:tcPr>
            <w:tcW w:w="3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36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2"/>
              </w:rPr>
              <w:t>2 Church Street</w:t>
            </w:r>
          </w:p>
        </w:tc>
        <w:tc>
          <w:tcPr>
            <w:tcW w:w="560" w:type="dxa"/>
            <w:vAlign w:val="bottom"/>
          </w:tcPr>
          <w:p>
            <w:pPr>
              <w:spacing w:after="0"/>
              <w:rPr>
                <w:sz w:val="16"/>
                <w:szCs w:val="16"/>
                <w:color w:val="auto"/>
              </w:rPr>
            </w:pPr>
          </w:p>
        </w:tc>
        <w:tc>
          <w:tcPr>
            <w:tcW w:w="3260" w:type="dxa"/>
            <w:vAlign w:val="bottom"/>
          </w:tcPr>
          <w:p>
            <w:pPr>
              <w:spacing w:after="0"/>
              <w:rPr>
                <w:sz w:val="16"/>
                <w:szCs w:val="16"/>
                <w:color w:val="auto"/>
              </w:rPr>
            </w:pPr>
          </w:p>
        </w:tc>
      </w:tr>
      <w:tr>
        <w:trPr>
          <w:trHeight w:val="193"/>
        </w:trPr>
        <w:tc>
          <w:tcPr>
            <w:tcW w:w="3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36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5"/>
              </w:rPr>
              <w:t>Hamilton HM11, Bermuda</w:t>
            </w:r>
          </w:p>
        </w:tc>
        <w:tc>
          <w:tcPr>
            <w:tcW w:w="560" w:type="dxa"/>
            <w:vAlign w:val="bottom"/>
          </w:tcPr>
          <w:p>
            <w:pPr>
              <w:spacing w:after="0"/>
              <w:rPr>
                <w:sz w:val="16"/>
                <w:szCs w:val="16"/>
                <w:color w:val="auto"/>
              </w:rPr>
            </w:pPr>
          </w:p>
        </w:tc>
        <w:tc>
          <w:tcPr>
            <w:tcW w:w="3260" w:type="dxa"/>
            <w:vAlign w:val="bottom"/>
          </w:tcPr>
          <w:p>
            <w:pPr>
              <w:spacing w:after="0"/>
              <w:rPr>
                <w:sz w:val="16"/>
                <w:szCs w:val="16"/>
                <w:color w:val="auto"/>
              </w:rPr>
            </w:pPr>
          </w:p>
        </w:tc>
      </w:tr>
      <w:tr>
        <w:trPr>
          <w:trHeight w:val="185"/>
        </w:trPr>
        <w:tc>
          <w:tcPr>
            <w:tcW w:w="3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760" w:type="dxa"/>
            <w:vAlign w:val="bottom"/>
            <w:gridSpan w:val="3"/>
          </w:tcPr>
          <w:p>
            <w:pPr>
              <w:jc w:val="center"/>
              <w:ind w:right="60"/>
              <w:spacing w:after="0"/>
              <w:rPr>
                <w:sz w:val="20"/>
                <w:szCs w:val="20"/>
                <w:color w:val="auto"/>
              </w:rPr>
            </w:pPr>
            <w:r>
              <w:rPr>
                <w:rFonts w:ascii="Arial" w:cs="Arial" w:eastAsia="Arial" w:hAnsi="Arial"/>
                <w:sz w:val="16"/>
                <w:szCs w:val="16"/>
                <w:color w:val="auto"/>
                <w:w w:val="92"/>
              </w:rPr>
              <w:t>(Address of principal executive offices and zip code)</w:t>
            </w:r>
          </w:p>
        </w:tc>
        <w:tc>
          <w:tcPr>
            <w:tcW w:w="560" w:type="dxa"/>
            <w:vAlign w:val="bottom"/>
          </w:tcPr>
          <w:p>
            <w:pPr>
              <w:spacing w:after="0"/>
              <w:rPr>
                <w:sz w:val="16"/>
                <w:szCs w:val="16"/>
                <w:color w:val="auto"/>
              </w:rPr>
            </w:pPr>
          </w:p>
        </w:tc>
        <w:tc>
          <w:tcPr>
            <w:tcW w:w="3260" w:type="dxa"/>
            <w:vAlign w:val="bottom"/>
          </w:tcPr>
          <w:p>
            <w:pPr>
              <w:spacing w:after="0"/>
              <w:rPr>
                <w:sz w:val="16"/>
                <w:szCs w:val="16"/>
                <w:color w:val="auto"/>
              </w:rPr>
            </w:pPr>
          </w:p>
        </w:tc>
      </w:tr>
      <w:tr>
        <w:trPr>
          <w:trHeight w:val="193"/>
        </w:trPr>
        <w:tc>
          <w:tcPr>
            <w:tcW w:w="3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360" w:type="dxa"/>
            <w:vAlign w:val="bottom"/>
            <w:gridSpan w:val="2"/>
          </w:tcPr>
          <w:p>
            <w:pPr>
              <w:jc w:val="center"/>
              <w:ind w:left="259"/>
              <w:spacing w:after="0"/>
              <w:rPr>
                <w:sz w:val="20"/>
                <w:szCs w:val="20"/>
                <w:color w:val="auto"/>
              </w:rPr>
            </w:pPr>
            <w:r>
              <w:rPr>
                <w:rFonts w:ascii="Arial" w:cs="Arial" w:eastAsia="Arial" w:hAnsi="Arial"/>
                <w:sz w:val="16"/>
                <w:szCs w:val="16"/>
                <w:b w:val="1"/>
                <w:bCs w:val="1"/>
                <w:color w:val="auto"/>
                <w:w w:val="93"/>
              </w:rPr>
              <w:t>(441) 297-9901</w:t>
            </w: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60" w:type="dxa"/>
            <w:vAlign w:val="bottom"/>
          </w:tcPr>
          <w:p>
            <w:pPr>
              <w:spacing w:after="0"/>
              <w:rPr>
                <w:sz w:val="16"/>
                <w:szCs w:val="16"/>
                <w:color w:val="auto"/>
              </w:rPr>
            </w:pPr>
          </w:p>
        </w:tc>
      </w:tr>
      <w:tr>
        <w:trPr>
          <w:trHeight w:val="206"/>
        </w:trPr>
        <w:tc>
          <w:tcPr>
            <w:tcW w:w="3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760" w:type="dxa"/>
            <w:vAlign w:val="bottom"/>
            <w:gridSpan w:val="3"/>
          </w:tcPr>
          <w:p>
            <w:pPr>
              <w:jc w:val="center"/>
              <w:ind w:right="40"/>
              <w:spacing w:after="0"/>
              <w:rPr>
                <w:sz w:val="20"/>
                <w:szCs w:val="20"/>
                <w:color w:val="auto"/>
              </w:rPr>
            </w:pPr>
            <w:r>
              <w:rPr>
                <w:rFonts w:ascii="Arial" w:cs="Arial" w:eastAsia="Arial" w:hAnsi="Arial"/>
                <w:sz w:val="16"/>
                <w:szCs w:val="16"/>
                <w:color w:val="auto"/>
                <w:w w:val="91"/>
              </w:rPr>
              <w:t>(Registrant’s telephone number, including area code)</w:t>
            </w:r>
          </w:p>
        </w:tc>
        <w:tc>
          <w:tcPr>
            <w:tcW w:w="560" w:type="dxa"/>
            <w:vAlign w:val="bottom"/>
          </w:tcPr>
          <w:p>
            <w:pPr>
              <w:spacing w:after="0"/>
              <w:rPr>
                <w:sz w:val="17"/>
                <w:szCs w:val="17"/>
                <w:color w:val="auto"/>
              </w:rPr>
            </w:pPr>
          </w:p>
        </w:tc>
        <w:tc>
          <w:tcPr>
            <w:tcW w:w="3260" w:type="dxa"/>
            <w:vAlign w:val="bottom"/>
          </w:tcPr>
          <w:p>
            <w:pPr>
              <w:spacing w:after="0"/>
              <w:rPr>
                <w:sz w:val="17"/>
                <w:szCs w:val="17"/>
                <w:color w:val="auto"/>
              </w:rPr>
            </w:pPr>
          </w:p>
        </w:tc>
      </w:tr>
      <w:tr>
        <w:trPr>
          <w:trHeight w:val="398"/>
        </w:trPr>
        <w:tc>
          <w:tcPr>
            <w:tcW w:w="7620" w:type="dxa"/>
            <w:vAlign w:val="bottom"/>
            <w:gridSpan w:val="5"/>
          </w:tcPr>
          <w:p>
            <w:pPr>
              <w:ind w:left="500"/>
              <w:spacing w:after="0"/>
              <w:rPr>
                <w:sz w:val="20"/>
                <w:szCs w:val="20"/>
                <w:color w:val="auto"/>
              </w:rPr>
            </w:pPr>
            <w:r>
              <w:rPr>
                <w:rFonts w:ascii="Arial" w:cs="Arial" w:eastAsia="Arial" w:hAnsi="Arial"/>
                <w:sz w:val="18"/>
                <w:szCs w:val="18"/>
                <w:color w:val="auto"/>
              </w:rPr>
              <w:t>Securities registered pursuant to Section 12(b) of the Act:</w:t>
            </w:r>
          </w:p>
        </w:tc>
        <w:tc>
          <w:tcPr>
            <w:tcW w:w="56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135"/>
        </w:trPr>
        <w:tc>
          <w:tcPr>
            <w:tcW w:w="3860" w:type="dxa"/>
            <w:vAlign w:val="bottom"/>
            <w:tcBorders>
              <w:bottom w:val="single" w:sz="8" w:color="auto"/>
            </w:tcBorders>
            <w:gridSpan w:val="2"/>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9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820" w:type="dxa"/>
            <w:vAlign w:val="bottom"/>
            <w:tcBorders>
              <w:bottom w:val="single" w:sz="8" w:color="auto"/>
            </w:tcBorders>
            <w:gridSpan w:val="2"/>
          </w:tcPr>
          <w:p>
            <w:pPr>
              <w:spacing w:after="0"/>
              <w:rPr>
                <w:sz w:val="11"/>
                <w:szCs w:val="11"/>
                <w:color w:val="auto"/>
              </w:rPr>
            </w:pPr>
          </w:p>
        </w:tc>
      </w:tr>
      <w:tr>
        <w:trPr>
          <w:trHeight w:val="217"/>
        </w:trPr>
        <w:tc>
          <w:tcPr>
            <w:tcW w:w="3860" w:type="dxa"/>
            <w:vAlign w:val="bottom"/>
            <w:tcBorders>
              <w:left w:val="single" w:sz="8" w:color="auto"/>
            </w:tcBorders>
            <w:gridSpan w:val="2"/>
          </w:tcPr>
          <w:p>
            <w:pPr>
              <w:jc w:val="center"/>
              <w:ind w:left="316"/>
              <w:spacing w:after="0"/>
              <w:rPr>
                <w:sz w:val="20"/>
                <w:szCs w:val="20"/>
                <w:color w:val="auto"/>
              </w:rPr>
            </w:pPr>
            <w:r>
              <w:rPr>
                <w:rFonts w:ascii="Arial" w:cs="Arial" w:eastAsia="Arial" w:hAnsi="Arial"/>
                <w:sz w:val="16"/>
                <w:szCs w:val="16"/>
                <w:b w:val="1"/>
                <w:bCs w:val="1"/>
                <w:color w:val="auto"/>
                <w:w w:val="88"/>
              </w:rPr>
              <w:t>Title of each class</w:t>
            </w:r>
          </w:p>
        </w:tc>
        <w:tc>
          <w:tcPr>
            <w:tcW w:w="40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400" w:type="dxa"/>
            <w:vAlign w:val="bottom"/>
          </w:tcPr>
          <w:p>
            <w:pPr>
              <w:spacing w:after="0"/>
              <w:rPr>
                <w:sz w:val="18"/>
                <w:szCs w:val="18"/>
                <w:color w:val="auto"/>
              </w:rPr>
            </w:pPr>
          </w:p>
        </w:tc>
        <w:tc>
          <w:tcPr>
            <w:tcW w:w="3820" w:type="dxa"/>
            <w:vAlign w:val="bottom"/>
            <w:tcBorders>
              <w:right w:val="single" w:sz="8" w:color="auto"/>
            </w:tcBorders>
            <w:gridSpan w:val="2"/>
          </w:tcPr>
          <w:p>
            <w:pPr>
              <w:jc w:val="center"/>
              <w:ind w:right="330"/>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33"/>
        </w:trPr>
        <w:tc>
          <w:tcPr>
            <w:tcW w:w="3860" w:type="dxa"/>
            <w:vAlign w:val="bottom"/>
            <w:tcBorders>
              <w:left w:val="single" w:sz="8" w:color="auto"/>
              <w:bottom w:val="single" w:sz="8" w:color="auto"/>
            </w:tcBorders>
            <w:gridSpan w:val="2"/>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r>
      <w:tr>
        <w:trPr>
          <w:trHeight w:val="237"/>
        </w:trPr>
        <w:tc>
          <w:tcPr>
            <w:tcW w:w="3860" w:type="dxa"/>
            <w:vAlign w:val="bottom"/>
            <w:tcBorders>
              <w:left w:val="single" w:sz="8" w:color="auto"/>
            </w:tcBorders>
            <w:gridSpan w:val="2"/>
          </w:tcPr>
          <w:p>
            <w:pPr>
              <w:jc w:val="center"/>
              <w:ind w:left="316"/>
              <w:spacing w:after="0"/>
              <w:rPr>
                <w:sz w:val="20"/>
                <w:szCs w:val="20"/>
                <w:color w:val="auto"/>
              </w:rPr>
            </w:pPr>
            <w:r>
              <w:rPr>
                <w:rFonts w:ascii="Arial" w:cs="Arial" w:eastAsia="Arial" w:hAnsi="Arial"/>
                <w:sz w:val="18"/>
                <w:szCs w:val="18"/>
                <w:color w:val="auto"/>
                <w:w w:val="89"/>
              </w:rPr>
              <w:t>Common Shares, $0.015 par value</w:t>
            </w:r>
          </w:p>
        </w:tc>
        <w:tc>
          <w:tcPr>
            <w:tcW w:w="400" w:type="dxa"/>
            <w:vAlign w:val="bottom"/>
            <w:tcBorders>
              <w:right w:val="single" w:sz="8" w:color="auto"/>
            </w:tcBorders>
          </w:tcPr>
          <w:p>
            <w:pPr>
              <w:spacing w:after="0"/>
              <w:rPr>
                <w:sz w:val="20"/>
                <w:szCs w:val="20"/>
                <w:color w:val="auto"/>
              </w:rPr>
            </w:pPr>
          </w:p>
        </w:tc>
        <w:tc>
          <w:tcPr>
            <w:tcW w:w="2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ESNT</w:t>
            </w: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60" w:type="dxa"/>
            <w:vAlign w:val="bottom"/>
            <w:tcBorders>
              <w:right w:val="single" w:sz="8" w:color="auto"/>
            </w:tcBorders>
          </w:tcPr>
          <w:p>
            <w:pPr>
              <w:jc w:val="center"/>
              <w:ind w:right="890"/>
              <w:spacing w:after="0"/>
              <w:rPr>
                <w:sz w:val="20"/>
                <w:szCs w:val="20"/>
                <w:color w:val="auto"/>
              </w:rPr>
            </w:pPr>
            <w:r>
              <w:rPr>
                <w:rFonts w:ascii="Arial" w:cs="Arial" w:eastAsia="Arial" w:hAnsi="Arial"/>
                <w:sz w:val="18"/>
                <w:szCs w:val="18"/>
                <w:color w:val="auto"/>
                <w:w w:val="91"/>
              </w:rPr>
              <w:t>New York Stock Exchange</w:t>
            </w:r>
          </w:p>
        </w:tc>
      </w:tr>
      <w:tr>
        <w:trPr>
          <w:trHeight w:val="27"/>
        </w:trPr>
        <w:tc>
          <w:tcPr>
            <w:tcW w:w="326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r>
    </w:tbl>
    <w:p>
      <w:pPr>
        <w:spacing w:after="0" w:line="107" w:lineRule="exact"/>
        <w:rPr>
          <w:sz w:val="24"/>
          <w:szCs w:val="24"/>
          <w:color w:val="auto"/>
        </w:rPr>
      </w:pPr>
    </w:p>
    <w:p>
      <w:pPr>
        <w:jc w:val="both"/>
        <w:ind w:right="260" w:firstLine="55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jc w:val="both"/>
        <w:ind w:right="100" w:firstLine="55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right="180" w:firstLine="55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2500" w:type="dxa"/>
        <w:tblCellMar>
          <w:top w:w="0" w:type="dxa"/>
          <w:left w:w="0" w:type="dxa"/>
          <w:bottom w:w="0" w:type="dxa"/>
          <w:right w:w="0" w:type="dxa"/>
        </w:tblCellMar>
      </w:tblPr>
      <w:tr>
        <w:trPr>
          <w:trHeight w:val="270"/>
        </w:trPr>
        <w:tc>
          <w:tcPr>
            <w:tcW w:w="18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9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2820" w:type="dxa"/>
            <w:vAlign w:val="bottom"/>
          </w:tcPr>
          <w:p>
            <w:pPr>
              <w:ind w:left="440"/>
              <w:spacing w:after="0"/>
              <w:rPr>
                <w:sz w:val="20"/>
                <w:szCs w:val="20"/>
                <w:color w:val="auto"/>
              </w:rPr>
            </w:pPr>
            <w:r>
              <w:rPr>
                <w:rFonts w:ascii="Arial" w:cs="Arial" w:eastAsia="Arial" w:hAnsi="Arial"/>
                <w:sz w:val="16"/>
                <w:szCs w:val="16"/>
                <w:color w:val="auto"/>
              </w:rPr>
              <w:t>Accelerated filer</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1800" w:type="dxa"/>
            <w:vAlign w:val="bottom"/>
          </w:tcPr>
          <w:p>
            <w:pPr>
              <w:spacing w:after="0"/>
              <w:rPr>
                <w:sz w:val="20"/>
                <w:szCs w:val="20"/>
                <w:color w:val="auto"/>
              </w:rPr>
            </w:pPr>
            <w:r>
              <w:rPr>
                <w:rFonts w:ascii="Arial" w:cs="Arial" w:eastAsia="Arial" w:hAnsi="Arial"/>
                <w:sz w:val="16"/>
                <w:szCs w:val="16"/>
                <w:color w:val="auto"/>
              </w:rPr>
              <w:t>Non-accelerated filer</w:t>
            </w:r>
          </w:p>
        </w:tc>
        <w:tc>
          <w:tcPr>
            <w:tcW w:w="9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2820" w:type="dxa"/>
            <w:vAlign w:val="bottom"/>
          </w:tcPr>
          <w:p>
            <w:pPr>
              <w:ind w:left="440"/>
              <w:spacing w:after="0"/>
              <w:rPr>
                <w:sz w:val="20"/>
                <w:szCs w:val="20"/>
                <w:color w:val="auto"/>
              </w:rPr>
            </w:pPr>
            <w:r>
              <w:rPr>
                <w:rFonts w:ascii="Arial" w:cs="Arial" w:eastAsia="Arial" w:hAnsi="Arial"/>
                <w:sz w:val="16"/>
                <w:szCs w:val="16"/>
                <w:color w:val="auto"/>
              </w:rPr>
              <w:t>Smaller reporting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20" w:type="dxa"/>
            <w:vAlign w:val="bottom"/>
          </w:tcPr>
          <w:p>
            <w:pPr>
              <w:ind w:left="440"/>
              <w:spacing w:after="0"/>
              <w:rPr>
                <w:sz w:val="20"/>
                <w:szCs w:val="20"/>
                <w:color w:val="auto"/>
              </w:rPr>
            </w:pPr>
            <w:r>
              <w:rPr>
                <w:rFonts w:ascii="Arial" w:cs="Arial" w:eastAsia="Arial" w:hAnsi="Arial"/>
                <w:sz w:val="16"/>
                <w:szCs w:val="16"/>
                <w:color w:val="auto"/>
              </w:rPr>
              <w:t>Emerging growth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160" w:firstLine="554"/>
        <w:spacing w:after="0" w:line="21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60" w:right="1620"/>
        <w:spacing w:after="0" w:line="219"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the registrant’s common shares outstanding as of November 1, 2019 was 98,393,659.</w:t>
      </w:r>
    </w:p>
    <w:p>
      <w:pPr>
        <w:sectPr>
          <w:pgSz w:w="11900" w:h="16838" w:orient="portrait"/>
          <w:cols w:equalWidth="0" w:num="1">
            <w:col w:w="11440"/>
          </w:cols>
          <w:pgMar w:left="240" w:top="233" w:right="2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640" w:type="dxa"/>
            <w:vAlign w:val="bottom"/>
            <w:gridSpan w:val="8"/>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80"/>
        </w:trPr>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80" w:type="dxa"/>
            <w:vAlign w:val="bottom"/>
            <w:gridSpan w:val="9"/>
          </w:tcPr>
          <w:p>
            <w:pPr>
              <w:jc w:val="center"/>
              <w:ind w:right="4040"/>
              <w:spacing w:after="0"/>
              <w:rPr>
                <w:sz w:val="20"/>
                <w:szCs w:val="20"/>
                <w:color w:val="auto"/>
              </w:rPr>
            </w:pPr>
            <w:r>
              <w:rPr>
                <w:rFonts w:ascii="Arial" w:cs="Arial" w:eastAsia="Arial" w:hAnsi="Arial"/>
                <w:sz w:val="18"/>
                <w:szCs w:val="18"/>
                <w:b w:val="1"/>
                <w:bCs w:val="1"/>
                <w:color w:val="auto"/>
                <w:w w:val="89"/>
              </w:rPr>
              <w:t>Essent Group Ltd. and Subsidiaries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80" w:type="dxa"/>
            <w:vAlign w:val="bottom"/>
            <w:gridSpan w:val="9"/>
          </w:tcPr>
          <w:p>
            <w:pPr>
              <w:jc w:val="center"/>
              <w:ind w:right="4040"/>
              <w:spacing w:after="0"/>
              <w:rPr>
                <w:sz w:val="20"/>
                <w:szCs w:val="20"/>
                <w:color w:val="auto"/>
              </w:rPr>
            </w:pPr>
            <w:r>
              <w:rPr>
                <w:rFonts w:ascii="Arial" w:cs="Arial" w:eastAsia="Arial" w:hAnsi="Arial"/>
                <w:sz w:val="18"/>
                <w:szCs w:val="18"/>
                <w:b w:val="1"/>
                <w:bCs w:val="1"/>
                <w:color w:val="auto"/>
                <w:w w:val="95"/>
              </w:rPr>
              <w:t>Form 10-Q</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80" w:type="dxa"/>
            <w:vAlign w:val="bottom"/>
            <w:gridSpan w:val="9"/>
          </w:tcPr>
          <w:p>
            <w:pPr>
              <w:jc w:val="center"/>
              <w:ind w:right="4020"/>
              <w:spacing w:after="0"/>
              <w:rPr>
                <w:sz w:val="20"/>
                <w:szCs w:val="20"/>
                <w:color w:val="auto"/>
              </w:rPr>
            </w:pPr>
            <w:r>
              <w:rPr>
                <w:rFonts w:ascii="Arial" w:cs="Arial" w:eastAsia="Arial" w:hAnsi="Arial"/>
                <w:sz w:val="18"/>
                <w:szCs w:val="18"/>
                <w:b w:val="1"/>
                <w:bCs w:val="1"/>
                <w:color w:val="auto"/>
                <w:w w:val="93"/>
              </w:rPr>
              <w:t>Index</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54"/>
        </w:trPr>
        <w:tc>
          <w:tcPr>
            <w:tcW w:w="40" w:type="dxa"/>
            <w:vAlign w:val="bottom"/>
          </w:tcPr>
          <w:p>
            <w:pPr>
              <w:spacing w:after="0"/>
              <w:rPr>
                <w:sz w:val="24"/>
                <w:szCs w:val="24"/>
                <w:color w:val="auto"/>
              </w:rPr>
            </w:pPr>
          </w:p>
        </w:tc>
        <w:tc>
          <w:tcPr>
            <w:tcW w:w="1600" w:type="dxa"/>
            <w:vAlign w:val="bottom"/>
            <w:gridSpan w:val="7"/>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9580" w:type="dxa"/>
            <w:vAlign w:val="bottom"/>
            <w:gridSpan w:val="16"/>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FINANCIAL INFORMATION</w:t>
              </w:r>
            </w:hyperlink>
          </w:p>
        </w:tc>
        <w:tc>
          <w:tcPr>
            <w:tcW w:w="18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5">
              <w:r>
                <w:rPr>
                  <w:rFonts w:ascii="Arial" w:cs="Arial" w:eastAsia="Arial" w:hAnsi="Arial"/>
                  <w:sz w:val="18"/>
                  <w:szCs w:val="18"/>
                  <w:b w:val="1"/>
                  <w:bCs w:val="1"/>
                  <w:color w:val="0000EE"/>
                  <w:w w:val="91"/>
                </w:rPr>
                <w:t>Item 1.</w:t>
              </w:r>
            </w:hyperlink>
          </w:p>
        </w:tc>
        <w:tc>
          <w:tcPr>
            <w:tcW w:w="80" w:type="dxa"/>
            <w:vAlign w:val="bottom"/>
          </w:tcPr>
          <w:p>
            <w:pPr>
              <w:spacing w:after="0"/>
              <w:rPr>
                <w:sz w:val="24"/>
                <w:szCs w:val="24"/>
                <w:color w:val="auto"/>
              </w:rPr>
            </w:pPr>
          </w:p>
        </w:tc>
        <w:tc>
          <w:tcPr>
            <w:tcW w:w="980" w:type="dxa"/>
            <w:vAlign w:val="bottom"/>
            <w:gridSpan w:val="5"/>
          </w:tcPr>
          <w:p>
            <w:pPr>
              <w:spacing w:after="0"/>
              <w:rPr>
                <w:sz w:val="24"/>
                <w:szCs w:val="24"/>
                <w:color w:val="auto"/>
              </w:rPr>
            </w:pPr>
          </w:p>
        </w:tc>
        <w:tc>
          <w:tcPr>
            <w:tcW w:w="2600" w:type="dxa"/>
            <w:vAlign w:val="bottom"/>
            <w:tcBorders>
              <w:bottom w:val="single" w:sz="8" w:color="0000EE"/>
            </w:tcBorders>
            <w:gridSpan w:val="7"/>
          </w:tcPr>
          <w:p>
            <w:pPr>
              <w:spacing w:after="0"/>
              <w:rPr>
                <w:rFonts w:ascii="Arial" w:cs="Arial" w:eastAsia="Arial" w:hAnsi="Arial"/>
                <w:sz w:val="18"/>
                <w:szCs w:val="18"/>
                <w:b w:val="1"/>
                <w:bCs w:val="1"/>
                <w:color w:val="0000EE"/>
                <w:w w:val="90"/>
              </w:rPr>
            </w:pPr>
            <w:hyperlink w:anchor="page5">
              <w:r>
                <w:rPr>
                  <w:rFonts w:ascii="Arial" w:cs="Arial" w:eastAsia="Arial" w:hAnsi="Arial"/>
                  <w:sz w:val="18"/>
                  <w:szCs w:val="18"/>
                  <w:b w:val="1"/>
                  <w:bCs w:val="1"/>
                  <w:color w:val="0000EE"/>
                  <w:w w:val="90"/>
                </w:rPr>
                <w:t>Financial Statements (Unaudited)</w:t>
              </w:r>
            </w:hyperlink>
          </w:p>
        </w:tc>
        <w:tc>
          <w:tcPr>
            <w:tcW w:w="6980" w:type="dxa"/>
            <w:vAlign w:val="bottom"/>
            <w:gridSpan w:val="9"/>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1</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80" w:type="dxa"/>
            <w:vAlign w:val="bottom"/>
            <w:tcBorders>
              <w:bottom w:val="single" w:sz="8" w:color="0000EE"/>
            </w:tcBorders>
            <w:gridSpan w:val="8"/>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Condensed Consolidated Balance Sheets (Unaudited)</w:t>
              </w:r>
            </w:hyperlink>
          </w:p>
        </w:tc>
        <w:tc>
          <w:tcPr>
            <w:tcW w:w="5500" w:type="dxa"/>
            <w:vAlign w:val="bottom"/>
            <w:gridSpan w:val="8"/>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1</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80" w:type="dxa"/>
            <w:vAlign w:val="bottom"/>
            <w:gridSpan w:val="16"/>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Condensed Consolidated Statements of Comprehensive Income (Unaudited)</w:t>
              </w:r>
            </w:hyperlink>
          </w:p>
        </w:tc>
        <w:tc>
          <w:tcPr>
            <w:tcW w:w="180" w:type="dxa"/>
            <w:vAlign w:val="bottom"/>
            <w:gridSpan w:val="2"/>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2</w:t>
              </w:r>
            </w:hyperlink>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80" w:type="dxa"/>
            <w:vAlign w:val="bottom"/>
            <w:gridSpan w:val="16"/>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Condensed Consolidated Statements of Changes in Stockholders’ Equity (Unaudited)</w:t>
              </w:r>
            </w:hyperlink>
          </w:p>
        </w:tc>
        <w:tc>
          <w:tcPr>
            <w:tcW w:w="180" w:type="dxa"/>
            <w:vAlign w:val="bottom"/>
            <w:gridSpan w:val="2"/>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3</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540" w:type="dxa"/>
            <w:vAlign w:val="bottom"/>
            <w:tcBorders>
              <w:top w:val="single" w:sz="8" w:color="0000EE"/>
            </w:tcBorders>
            <w:gridSpan w:val="14"/>
          </w:tcPr>
          <w:p>
            <w:pPr>
              <w:spacing w:after="0"/>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Condensed Consolidated Statements of Cash Flows (Unaudited)</w:t>
              </w:r>
            </w:hyperlink>
          </w:p>
        </w:tc>
        <w:tc>
          <w:tcPr>
            <w:tcW w:w="30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4</w:t>
              </w:r>
            </w:hyperlink>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20" w:type="dxa"/>
            <w:vAlign w:val="bottom"/>
            <w:tcBorders>
              <w:bottom w:val="single" w:sz="8" w:color="0000EE"/>
            </w:tcBorders>
            <w:gridSpan w:val="12"/>
          </w:tcPr>
          <w:p>
            <w:pPr>
              <w:spacing w:after="0"/>
              <w:rPr>
                <w:rFonts w:ascii="Arial" w:cs="Arial" w:eastAsia="Arial" w:hAnsi="Arial"/>
                <w:sz w:val="18"/>
                <w:szCs w:val="18"/>
                <w:b w:val="1"/>
                <w:bCs w:val="1"/>
                <w:color w:val="0000EE"/>
                <w:w w:val="89"/>
              </w:rPr>
            </w:pPr>
            <w:hyperlink w:anchor="page9">
              <w:r>
                <w:rPr>
                  <w:rFonts w:ascii="Arial" w:cs="Arial" w:eastAsia="Arial" w:hAnsi="Arial"/>
                  <w:sz w:val="18"/>
                  <w:szCs w:val="18"/>
                  <w:b w:val="1"/>
                  <w:bCs w:val="1"/>
                  <w:color w:val="0000EE"/>
                  <w:w w:val="89"/>
                </w:rPr>
                <w:t>Notes to Condensed Consolidated Financial Statements (Unaudited)</w:t>
              </w:r>
            </w:hyperlink>
          </w:p>
        </w:tc>
        <w:tc>
          <w:tcPr>
            <w:tcW w:w="436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5</w:t>
              </w:r>
            </w:hyperlink>
          </w:p>
        </w:tc>
      </w:tr>
      <w:tr>
        <w:trPr>
          <w:trHeight w:val="520"/>
        </w:trPr>
        <w:tc>
          <w:tcPr>
            <w:tcW w:w="40" w:type="dxa"/>
            <w:vAlign w:val="bottom"/>
          </w:tcPr>
          <w:p>
            <w:pPr>
              <w:spacing w:after="0"/>
              <w:rPr>
                <w:sz w:val="24"/>
                <w:szCs w:val="24"/>
                <w:color w:val="auto"/>
              </w:rPr>
            </w:pPr>
          </w:p>
        </w:tc>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28">
              <w:r>
                <w:rPr>
                  <w:rFonts w:ascii="Arial" w:cs="Arial" w:eastAsia="Arial" w:hAnsi="Arial"/>
                  <w:sz w:val="18"/>
                  <w:szCs w:val="18"/>
                  <w:b w:val="1"/>
                  <w:bCs w:val="1"/>
                  <w:color w:val="0000EE"/>
                  <w:w w:val="91"/>
                </w:rPr>
                <w:t>Item 2.</w:t>
              </w:r>
            </w:hyperlink>
          </w:p>
        </w:tc>
        <w:tc>
          <w:tcPr>
            <w:tcW w:w="1060" w:type="dxa"/>
            <w:vAlign w:val="bottom"/>
            <w:gridSpan w:val="6"/>
          </w:tcPr>
          <w:p>
            <w:pPr>
              <w:spacing w:after="0"/>
              <w:rPr>
                <w:sz w:val="24"/>
                <w:szCs w:val="24"/>
                <w:color w:val="auto"/>
              </w:rPr>
            </w:pPr>
          </w:p>
        </w:tc>
        <w:tc>
          <w:tcPr>
            <w:tcW w:w="6840" w:type="dxa"/>
            <w:vAlign w:val="bottom"/>
            <w:tcBorders>
              <w:bottom w:val="single" w:sz="8" w:color="0000EE"/>
            </w:tcBorders>
            <w:gridSpan w:val="15"/>
          </w:tcPr>
          <w:p>
            <w:pPr>
              <w:spacing w:after="0"/>
              <w:rPr>
                <w:rFonts w:ascii="Arial" w:cs="Arial" w:eastAsia="Arial" w:hAnsi="Arial"/>
                <w:sz w:val="18"/>
                <w:szCs w:val="18"/>
                <w:b w:val="1"/>
                <w:bCs w:val="1"/>
                <w:color w:val="0000EE"/>
                <w:w w:val="89"/>
              </w:rPr>
            </w:pPr>
            <w:hyperlink w:anchor="page28">
              <w:r>
                <w:rPr>
                  <w:rFonts w:ascii="Arial" w:cs="Arial" w:eastAsia="Arial" w:hAnsi="Arial"/>
                  <w:sz w:val="18"/>
                  <w:szCs w:val="18"/>
                  <w:b w:val="1"/>
                  <w:bCs w:val="1"/>
                  <w:color w:val="0000EE"/>
                  <w:w w:val="89"/>
                </w:rPr>
                <w:t>Management’s Discussion and Analysis of Financial Condition and Results of Operations</w:t>
              </w:r>
            </w:hyperlink>
          </w:p>
        </w:tc>
        <w:tc>
          <w:tcPr>
            <w:tcW w:w="2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24</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b w:val="1"/>
                <w:bCs w:val="1"/>
                <w:color w:val="0000EE"/>
                <w:w w:val="91"/>
              </w:rPr>
            </w:pPr>
            <w:hyperlink w:anchor="page48">
              <w:r>
                <w:rPr>
                  <w:rFonts w:ascii="Arial" w:cs="Arial" w:eastAsia="Arial" w:hAnsi="Arial"/>
                  <w:sz w:val="18"/>
                  <w:szCs w:val="18"/>
                  <w:b w:val="1"/>
                  <w:bCs w:val="1"/>
                  <w:color w:val="0000EE"/>
                  <w:w w:val="91"/>
                </w:rPr>
                <w:t>Item 3.</w:t>
              </w:r>
            </w:hyperlink>
          </w:p>
        </w:tc>
        <w:tc>
          <w:tcPr>
            <w:tcW w:w="1060" w:type="dxa"/>
            <w:vAlign w:val="bottom"/>
            <w:gridSpan w:val="6"/>
          </w:tcPr>
          <w:p>
            <w:pPr>
              <w:spacing w:after="0"/>
              <w:rPr>
                <w:sz w:val="24"/>
                <w:szCs w:val="24"/>
                <w:color w:val="auto"/>
              </w:rPr>
            </w:pPr>
          </w:p>
        </w:tc>
        <w:tc>
          <w:tcPr>
            <w:tcW w:w="9580" w:type="dxa"/>
            <w:vAlign w:val="bottom"/>
            <w:gridSpan w:val="16"/>
          </w:tcPr>
          <w:p>
            <w:pPr>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Quantitative and Qualitative Disclosures About Market Risk</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8">
              <w:r>
                <w:rPr>
                  <w:rFonts w:ascii="Arial" w:cs="Arial" w:eastAsia="Arial" w:hAnsi="Arial"/>
                  <w:sz w:val="18"/>
                  <w:szCs w:val="18"/>
                  <w:color w:val="0000EE"/>
                  <w:w w:val="79"/>
                </w:rPr>
                <w:t>44</w:t>
              </w:r>
            </w:hyperlink>
          </w:p>
        </w:tc>
      </w:tr>
      <w:tr>
        <w:trPr>
          <w:trHeight w:val="520"/>
        </w:trPr>
        <w:tc>
          <w:tcPr>
            <w:tcW w:w="40" w:type="dxa"/>
            <w:vAlign w:val="bottom"/>
          </w:tcPr>
          <w:p>
            <w:pPr>
              <w:spacing w:after="0"/>
              <w:rPr>
                <w:sz w:val="24"/>
                <w:szCs w:val="24"/>
                <w:color w:val="auto"/>
              </w:rPr>
            </w:pPr>
          </w:p>
        </w:tc>
        <w:tc>
          <w:tcPr>
            <w:tcW w:w="540" w:type="dxa"/>
            <w:vAlign w:val="bottom"/>
            <w:tcBorders>
              <w:top w:val="single" w:sz="8" w:color="0000EE"/>
              <w:bottom w:val="single" w:sz="8" w:color="0000EE"/>
            </w:tcBorders>
          </w:tcPr>
          <w:p>
            <w:pPr>
              <w:spacing w:after="0"/>
              <w:rPr>
                <w:rFonts w:ascii="Arial" w:cs="Arial" w:eastAsia="Arial" w:hAnsi="Arial"/>
                <w:sz w:val="18"/>
                <w:szCs w:val="18"/>
                <w:b w:val="1"/>
                <w:bCs w:val="1"/>
                <w:color w:val="0000EE"/>
                <w:w w:val="91"/>
              </w:rPr>
            </w:pPr>
            <w:hyperlink w:anchor="page48">
              <w:r>
                <w:rPr>
                  <w:rFonts w:ascii="Arial" w:cs="Arial" w:eastAsia="Arial" w:hAnsi="Arial"/>
                  <w:sz w:val="18"/>
                  <w:szCs w:val="18"/>
                  <w:b w:val="1"/>
                  <w:bCs w:val="1"/>
                  <w:color w:val="0000EE"/>
                  <w:w w:val="91"/>
                </w:rPr>
                <w:t>Item 4.</w:t>
              </w:r>
            </w:hyperlink>
          </w:p>
        </w:tc>
        <w:tc>
          <w:tcPr>
            <w:tcW w:w="1060" w:type="dxa"/>
            <w:vAlign w:val="bottom"/>
            <w:gridSpan w:val="6"/>
          </w:tcPr>
          <w:p>
            <w:pPr>
              <w:spacing w:after="0"/>
              <w:rPr>
                <w:sz w:val="24"/>
                <w:szCs w:val="24"/>
                <w:color w:val="auto"/>
              </w:rPr>
            </w:pPr>
          </w:p>
        </w:tc>
        <w:tc>
          <w:tcPr>
            <w:tcW w:w="1920" w:type="dxa"/>
            <w:vAlign w:val="bottom"/>
            <w:tcBorders>
              <w:top w:val="single" w:sz="8" w:color="0000EE"/>
              <w:bottom w:val="single" w:sz="8" w:color="0000EE"/>
            </w:tcBorders>
            <w:gridSpan w:val="4"/>
          </w:tcPr>
          <w:p>
            <w:pPr>
              <w:spacing w:after="0"/>
              <w:rPr>
                <w:rFonts w:ascii="Arial" w:cs="Arial" w:eastAsia="Arial" w:hAnsi="Arial"/>
                <w:sz w:val="18"/>
                <w:szCs w:val="18"/>
                <w:b w:val="1"/>
                <w:bCs w:val="1"/>
                <w:color w:val="0000EE"/>
                <w:w w:val="88"/>
              </w:rPr>
            </w:pPr>
            <w:hyperlink w:anchor="page48">
              <w:r>
                <w:rPr>
                  <w:rFonts w:ascii="Arial" w:cs="Arial" w:eastAsia="Arial" w:hAnsi="Arial"/>
                  <w:sz w:val="18"/>
                  <w:szCs w:val="18"/>
                  <w:b w:val="1"/>
                  <w:bCs w:val="1"/>
                  <w:color w:val="0000EE"/>
                  <w:w w:val="88"/>
                </w:rPr>
                <w:t>Controls and Procedures</w:t>
              </w:r>
            </w:hyperlink>
          </w:p>
        </w:tc>
        <w:tc>
          <w:tcPr>
            <w:tcW w:w="2740" w:type="dxa"/>
            <w:vAlign w:val="bottom"/>
            <w:tcBorders>
              <w:top w:val="single" w:sz="8" w:color="0000EE"/>
            </w:tcBorders>
            <w:gridSpan w:val="6"/>
          </w:tcPr>
          <w:p>
            <w:pPr>
              <w:spacing w:after="0"/>
              <w:rPr>
                <w:sz w:val="24"/>
                <w:szCs w:val="24"/>
                <w:color w:val="auto"/>
              </w:rPr>
            </w:pPr>
          </w:p>
        </w:tc>
        <w:tc>
          <w:tcPr>
            <w:tcW w:w="4920" w:type="dxa"/>
            <w:vAlign w:val="bottom"/>
            <w:gridSpan w:val="6"/>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48">
              <w:r>
                <w:rPr>
                  <w:rFonts w:ascii="Arial" w:cs="Arial" w:eastAsia="Arial" w:hAnsi="Arial"/>
                  <w:sz w:val="18"/>
                  <w:szCs w:val="18"/>
                  <w:color w:val="0000EE"/>
                  <w:w w:val="79"/>
                </w:rPr>
                <w:t>44</w:t>
              </w:r>
            </w:hyperlink>
          </w:p>
        </w:tc>
      </w:tr>
      <w:tr>
        <w:trPr>
          <w:trHeight w:val="520"/>
        </w:trPr>
        <w:tc>
          <w:tcPr>
            <w:tcW w:w="40" w:type="dxa"/>
            <w:vAlign w:val="bottom"/>
          </w:tcPr>
          <w:p>
            <w:pPr>
              <w:spacing w:after="0"/>
              <w:rPr>
                <w:sz w:val="24"/>
                <w:szCs w:val="24"/>
                <w:color w:val="auto"/>
              </w:rPr>
            </w:pPr>
          </w:p>
        </w:tc>
        <w:tc>
          <w:tcPr>
            <w:tcW w:w="700" w:type="dxa"/>
            <w:vAlign w:val="bottom"/>
            <w:gridSpan w:val="4"/>
          </w:tcPr>
          <w:p>
            <w:pPr>
              <w:spacing w:after="0"/>
              <w:rPr>
                <w:rFonts w:ascii="Arial" w:cs="Arial" w:eastAsia="Arial" w:hAnsi="Arial"/>
                <w:sz w:val="18"/>
                <w:szCs w:val="18"/>
                <w:b w:val="1"/>
                <w:bCs w:val="1"/>
                <w:color w:val="0000EE"/>
                <w:w w:val="98"/>
              </w:rPr>
            </w:pPr>
            <w:hyperlink w:anchor="page49">
              <w:r>
                <w:rPr>
                  <w:rFonts w:ascii="Arial" w:cs="Arial" w:eastAsia="Arial" w:hAnsi="Arial"/>
                  <w:sz w:val="18"/>
                  <w:szCs w:val="18"/>
                  <w:b w:val="1"/>
                  <w:bCs w:val="1"/>
                  <w:color w:val="0000EE"/>
                  <w:w w:val="98"/>
                </w:rPr>
                <w:t>PART II.</w:t>
              </w:r>
            </w:hyperlink>
          </w:p>
        </w:tc>
        <w:tc>
          <w:tcPr>
            <w:tcW w:w="900" w:type="dxa"/>
            <w:vAlign w:val="bottom"/>
            <w:gridSpan w:val="3"/>
          </w:tcPr>
          <w:p>
            <w:pPr>
              <w:spacing w:after="0"/>
              <w:rPr>
                <w:sz w:val="24"/>
                <w:szCs w:val="24"/>
                <w:color w:val="auto"/>
              </w:rPr>
            </w:pPr>
          </w:p>
        </w:tc>
        <w:tc>
          <w:tcPr>
            <w:tcW w:w="9580" w:type="dxa"/>
            <w:vAlign w:val="bottom"/>
            <w:gridSpan w:val="16"/>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OTHER INFORMATION</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9">
              <w:r>
                <w:rPr>
                  <w:rFonts w:ascii="Arial" w:cs="Arial" w:eastAsia="Arial" w:hAnsi="Arial"/>
                  <w:sz w:val="18"/>
                  <w:szCs w:val="18"/>
                  <w:color w:val="0000EE"/>
                  <w:w w:val="79"/>
                </w:rPr>
                <w:t>45</w:t>
              </w:r>
            </w:hyperlink>
          </w:p>
        </w:tc>
      </w:tr>
      <w:tr>
        <w:trPr>
          <w:trHeight w:val="520"/>
        </w:trPr>
        <w:tc>
          <w:tcPr>
            <w:tcW w:w="40" w:type="dxa"/>
            <w:vAlign w:val="bottom"/>
          </w:tcPr>
          <w:p>
            <w:pPr>
              <w:spacing w:after="0"/>
              <w:rPr>
                <w:sz w:val="24"/>
                <w:szCs w:val="24"/>
                <w:color w:val="auto"/>
              </w:rPr>
            </w:pPr>
          </w:p>
        </w:tc>
        <w:tc>
          <w:tcPr>
            <w:tcW w:w="540" w:type="dxa"/>
            <w:vAlign w:val="bottom"/>
            <w:tcBorders>
              <w:top w:val="single" w:sz="8" w:color="0000EE"/>
            </w:tcBorders>
          </w:tcPr>
          <w:p>
            <w:pPr>
              <w:spacing w:after="0"/>
              <w:rPr>
                <w:rFonts w:ascii="Arial" w:cs="Arial" w:eastAsia="Arial" w:hAnsi="Arial"/>
                <w:sz w:val="18"/>
                <w:szCs w:val="18"/>
                <w:b w:val="1"/>
                <w:bCs w:val="1"/>
                <w:color w:val="0000EE"/>
                <w:w w:val="91"/>
              </w:rPr>
            </w:pPr>
            <w:hyperlink w:anchor="page49">
              <w:r>
                <w:rPr>
                  <w:rFonts w:ascii="Arial" w:cs="Arial" w:eastAsia="Arial" w:hAnsi="Arial"/>
                  <w:sz w:val="18"/>
                  <w:szCs w:val="18"/>
                  <w:b w:val="1"/>
                  <w:bCs w:val="1"/>
                  <w:color w:val="0000EE"/>
                  <w:w w:val="91"/>
                </w:rPr>
                <w:t>Item 1.</w:t>
              </w:r>
            </w:hyperlink>
          </w:p>
        </w:tc>
        <w:tc>
          <w:tcPr>
            <w:tcW w:w="160" w:type="dxa"/>
            <w:vAlign w:val="bottom"/>
            <w:tcBorders>
              <w:top w:val="single" w:sz="8" w:color="0000EE"/>
            </w:tcBorders>
            <w:gridSpan w:val="3"/>
          </w:tcPr>
          <w:p>
            <w:pPr>
              <w:spacing w:after="0"/>
              <w:rPr>
                <w:sz w:val="24"/>
                <w:szCs w:val="24"/>
                <w:color w:val="auto"/>
              </w:rPr>
            </w:pPr>
          </w:p>
        </w:tc>
        <w:tc>
          <w:tcPr>
            <w:tcW w:w="900" w:type="dxa"/>
            <w:vAlign w:val="bottom"/>
            <w:gridSpan w:val="3"/>
          </w:tcPr>
          <w:p>
            <w:pPr>
              <w:spacing w:after="0"/>
              <w:rPr>
                <w:sz w:val="24"/>
                <w:szCs w:val="24"/>
                <w:color w:val="auto"/>
              </w:rPr>
            </w:pPr>
          </w:p>
        </w:tc>
        <w:tc>
          <w:tcPr>
            <w:tcW w:w="2020" w:type="dxa"/>
            <w:vAlign w:val="bottom"/>
            <w:tcBorders>
              <w:top w:val="single" w:sz="8" w:color="0000EE"/>
            </w:tcBorders>
            <w:gridSpan w:val="5"/>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Legal Proceedings</w:t>
              </w:r>
            </w:hyperlink>
          </w:p>
        </w:tc>
        <w:tc>
          <w:tcPr>
            <w:tcW w:w="7560" w:type="dxa"/>
            <w:vAlign w:val="bottom"/>
            <w:gridSpan w:val="11"/>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49">
              <w:r>
                <w:rPr>
                  <w:rFonts w:ascii="Arial" w:cs="Arial" w:eastAsia="Arial" w:hAnsi="Arial"/>
                  <w:sz w:val="18"/>
                  <w:szCs w:val="18"/>
                  <w:color w:val="0000EE"/>
                  <w:w w:val="79"/>
                </w:rPr>
                <w:t>45</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180" w:type="dxa"/>
            <w:vAlign w:val="bottom"/>
            <w:gridSpan w:val="6"/>
          </w:tcPr>
          <w:p>
            <w:pPr>
              <w:spacing w:after="0" w:line="20" w:lineRule="exact"/>
              <w:rPr>
                <w:sz w:val="1"/>
                <w:szCs w:val="1"/>
                <w:color w:val="auto"/>
              </w:rPr>
            </w:pPr>
          </w:p>
        </w:tc>
        <w:tc>
          <w:tcPr>
            <w:tcW w:w="5000" w:type="dxa"/>
            <w:vAlign w:val="bottom"/>
            <w:gridSpan w:val="7"/>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600" w:type="dxa"/>
            <w:vAlign w:val="bottom"/>
            <w:gridSpan w:val="7"/>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Item 1A.</w:t>
              </w:r>
            </w:hyperlink>
          </w:p>
        </w:tc>
        <w:tc>
          <w:tcPr>
            <w:tcW w:w="9580" w:type="dxa"/>
            <w:vAlign w:val="bottom"/>
            <w:gridSpan w:val="16"/>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Risk Factors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9">
              <w:r>
                <w:rPr>
                  <w:rFonts w:ascii="Arial" w:cs="Arial" w:eastAsia="Arial" w:hAnsi="Arial"/>
                  <w:sz w:val="18"/>
                  <w:szCs w:val="18"/>
                  <w:color w:val="0000EE"/>
                  <w:w w:val="79"/>
                </w:rPr>
                <w:t>45</w:t>
              </w:r>
            </w:hyperlink>
          </w:p>
        </w:tc>
      </w:tr>
      <w:tr>
        <w:trPr>
          <w:trHeight w:val="20"/>
        </w:trPr>
        <w:tc>
          <w:tcPr>
            <w:tcW w:w="4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0" w:type="dxa"/>
            <w:vAlign w:val="bottom"/>
            <w:gridSpan w:val="7"/>
          </w:tcPr>
          <w:p>
            <w:pPr>
              <w:spacing w:after="0" w:line="20" w:lineRule="exact"/>
              <w:rPr>
                <w:sz w:val="1"/>
                <w:szCs w:val="1"/>
                <w:color w:val="auto"/>
              </w:rPr>
            </w:pPr>
          </w:p>
        </w:tc>
        <w:tc>
          <w:tcPr>
            <w:tcW w:w="5000" w:type="dxa"/>
            <w:vAlign w:val="bottom"/>
            <w:gridSpan w:val="7"/>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49">
              <w:r>
                <w:rPr>
                  <w:rFonts w:ascii="Arial" w:cs="Arial" w:eastAsia="Arial" w:hAnsi="Arial"/>
                  <w:sz w:val="18"/>
                  <w:szCs w:val="18"/>
                  <w:b w:val="1"/>
                  <w:bCs w:val="1"/>
                  <w:color w:val="0000EE"/>
                  <w:w w:val="91"/>
                </w:rPr>
                <w:t>Item 2.</w:t>
              </w:r>
            </w:hyperlink>
          </w:p>
        </w:tc>
        <w:tc>
          <w:tcPr>
            <w:tcW w:w="120" w:type="dxa"/>
            <w:vAlign w:val="bottom"/>
            <w:gridSpan w:val="2"/>
          </w:tcPr>
          <w:p>
            <w:pPr>
              <w:spacing w:after="0"/>
              <w:rPr>
                <w:sz w:val="24"/>
                <w:szCs w:val="24"/>
                <w:color w:val="auto"/>
              </w:rPr>
            </w:pPr>
          </w:p>
        </w:tc>
        <w:tc>
          <w:tcPr>
            <w:tcW w:w="940" w:type="dxa"/>
            <w:vAlign w:val="bottom"/>
            <w:gridSpan w:val="4"/>
          </w:tcPr>
          <w:p>
            <w:pPr>
              <w:spacing w:after="0"/>
              <w:rPr>
                <w:sz w:val="24"/>
                <w:szCs w:val="24"/>
                <w:color w:val="auto"/>
              </w:rPr>
            </w:pPr>
          </w:p>
        </w:tc>
        <w:tc>
          <w:tcPr>
            <w:tcW w:w="4580" w:type="dxa"/>
            <w:vAlign w:val="bottom"/>
            <w:tcBorders>
              <w:bottom w:val="single" w:sz="8" w:color="0000EE"/>
            </w:tcBorders>
            <w:gridSpan w:val="9"/>
          </w:tcPr>
          <w:p>
            <w:pPr>
              <w:spacing w:after="0"/>
              <w:rPr>
                <w:rFonts w:ascii="Arial" w:cs="Arial" w:eastAsia="Arial" w:hAnsi="Arial"/>
                <w:sz w:val="18"/>
                <w:szCs w:val="18"/>
                <w:b w:val="1"/>
                <w:bCs w:val="1"/>
                <w:color w:val="0000EE"/>
                <w:w w:val="87"/>
              </w:rPr>
            </w:pPr>
            <w:hyperlink w:anchor="page49">
              <w:r>
                <w:rPr>
                  <w:rFonts w:ascii="Arial" w:cs="Arial" w:eastAsia="Arial" w:hAnsi="Arial"/>
                  <w:sz w:val="18"/>
                  <w:szCs w:val="18"/>
                  <w:b w:val="1"/>
                  <w:bCs w:val="1"/>
                  <w:color w:val="0000EE"/>
                  <w:w w:val="87"/>
                </w:rPr>
                <w:t>Unregistered Sales of Equity Securities and Use of Proceeds</w:t>
              </w:r>
            </w:hyperlink>
          </w:p>
        </w:tc>
        <w:tc>
          <w:tcPr>
            <w:tcW w:w="5000" w:type="dxa"/>
            <w:vAlign w:val="bottom"/>
            <w:gridSpan w:val="7"/>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9">
              <w:r>
                <w:rPr>
                  <w:rFonts w:ascii="Arial" w:cs="Arial" w:eastAsia="Arial" w:hAnsi="Arial"/>
                  <w:sz w:val="18"/>
                  <w:szCs w:val="18"/>
                  <w:color w:val="0000EE"/>
                  <w:w w:val="79"/>
                </w:rPr>
                <w:t>45</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b w:val="1"/>
                <w:bCs w:val="1"/>
                <w:color w:val="0000EE"/>
                <w:w w:val="91"/>
              </w:rPr>
            </w:pPr>
            <w:hyperlink w:anchor="page50">
              <w:r>
                <w:rPr>
                  <w:rFonts w:ascii="Arial" w:cs="Arial" w:eastAsia="Arial" w:hAnsi="Arial"/>
                  <w:sz w:val="18"/>
                  <w:szCs w:val="18"/>
                  <w:b w:val="1"/>
                  <w:bCs w:val="1"/>
                  <w:color w:val="0000EE"/>
                  <w:w w:val="91"/>
                </w:rPr>
                <w:t>Item 6.</w:t>
              </w:r>
            </w:hyperlink>
          </w:p>
        </w:tc>
        <w:tc>
          <w:tcPr>
            <w:tcW w:w="1060" w:type="dxa"/>
            <w:vAlign w:val="bottom"/>
            <w:gridSpan w:val="6"/>
          </w:tcPr>
          <w:p>
            <w:pPr>
              <w:spacing w:after="0"/>
              <w:rPr>
                <w:sz w:val="24"/>
                <w:szCs w:val="24"/>
                <w:color w:val="auto"/>
              </w:rPr>
            </w:pPr>
          </w:p>
        </w:tc>
        <w:tc>
          <w:tcPr>
            <w:tcW w:w="9580" w:type="dxa"/>
            <w:vAlign w:val="bottom"/>
            <w:gridSpan w:val="16"/>
          </w:tcPr>
          <w:p>
            <w:pP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Exhibits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50">
              <w:r>
                <w:rPr>
                  <w:rFonts w:ascii="Arial" w:cs="Arial" w:eastAsia="Arial" w:hAnsi="Arial"/>
                  <w:sz w:val="18"/>
                  <w:szCs w:val="18"/>
                  <w:color w:val="0000EE"/>
                  <w:w w:val="79"/>
                </w:rPr>
                <w:t>46</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160" w:type="dxa"/>
            <w:vAlign w:val="bottom"/>
            <w:tcBorders>
              <w:bottom w:val="single" w:sz="8" w:color="0000EE"/>
            </w:tcBorders>
            <w:gridSpan w:val="5"/>
          </w:tcPr>
          <w:p>
            <w:pPr>
              <w:spacing w:after="0"/>
              <w:rPr>
                <w:rFonts w:ascii="Arial" w:cs="Arial" w:eastAsia="Arial" w:hAnsi="Arial"/>
                <w:sz w:val="18"/>
                <w:szCs w:val="18"/>
                <w:b w:val="1"/>
                <w:bCs w:val="1"/>
                <w:color w:val="0000EE"/>
                <w:w w:val="96"/>
              </w:rPr>
            </w:pPr>
            <w:hyperlink w:anchor="page51">
              <w:r>
                <w:rPr>
                  <w:rFonts w:ascii="Arial" w:cs="Arial" w:eastAsia="Arial" w:hAnsi="Arial"/>
                  <w:sz w:val="18"/>
                  <w:szCs w:val="18"/>
                  <w:b w:val="1"/>
                  <w:bCs w:val="1"/>
                  <w:color w:val="0000EE"/>
                  <w:w w:val="96"/>
                </w:rPr>
                <w:t>SIGNATURES</w:t>
              </w:r>
            </w:hyperlink>
          </w:p>
        </w:tc>
        <w:tc>
          <w:tcPr>
            <w:tcW w:w="44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1">
              <w:r>
                <w:rPr>
                  <w:rFonts w:ascii="Arial" w:cs="Arial" w:eastAsia="Arial" w:hAnsi="Arial"/>
                  <w:sz w:val="18"/>
                  <w:szCs w:val="18"/>
                  <w:color w:val="0000EE"/>
                  <w:w w:val="79"/>
                </w:rPr>
                <w:t>47</w:t>
              </w:r>
            </w:hyperlink>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108"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Unless the context otherwise indicates or requires, the terms “we,” “our,” “us,” “Essent,” and the “Company,” as used in this Quarterly Report on</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Form 10-Q, refer to Essent Group Ltd. and its directly and indirectly owned subsidiaries, including our primary operating subsidiaries, Essent Guaranty, Inc. and Essent Reinsurance Ltd., as a combined entity, except where otherwise stated or where it is clear that the terms mean only Essent Group Ltd. exclusive of its subsidiaries.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This Quarterly Report on Form 10-Q, or Quarterly Report, includes forward-looking statements pursuant to the “safe harbor” provisions of the Private Securities Litigation Reform Act of 1995. Forward-looking statements relate to expectations, beliefs, projections, future plans and strategies, anticipated events or trends and similar expressions concerning matters that are not historical facts or present facts or conditions, such as statements regarding our future financial condition or results of operations, our prospects and strategies for future growth, the introduction of new products and services, and the implementation of our marketing and branding strategies. In many cases, you can identify forward-looking statements by terms such as “may,” “will,” “should,” “expects,” “plans,” “anticipates,” “believes,” “estimates,” “predicts,” “potential” or the negative of these terms or other comparable terminology.</w:t>
      </w:r>
    </w:p>
    <w:p>
      <w:pPr>
        <w:spacing w:after="0" w:line="16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forward-looking statements contained in this Quarterly Report reflect our views as of the date of this Quarterly Report about future events and are subject to risks, uncertainties, assumptions and changes in circumstances that may cause events or our actual activities or results to differ significantly from those expressed in any forward-looking statement. Although we believe that the expectations reflected in the forward-looking statements are reasonable, we cannot guarantee future events, results, actions, levels of activity, performance or achievements. A number of important factors could cause actual results to differ materially from those indicated by the forward-looking statements, including, but not limited to, those factors described below, in Part I, Item 2 “Management’s Discussion and Analysis of Financial Condition and Results of Operations” of this Quarterly Report, and in Part I, Item 1A “Risk Factors” of our Annual Report on Form 10-K for the year ended December 31, 2018 filed with the Securities and Exchange Commission. These factors include, without limitation, the following:</w:t>
      </w:r>
    </w:p>
    <w:p>
      <w:pPr>
        <w:spacing w:after="0" w:line="192" w:lineRule="exact"/>
        <w:rPr>
          <w:sz w:val="20"/>
          <w:szCs w:val="20"/>
          <w:color w:val="auto"/>
        </w:rPr>
      </w:pPr>
    </w:p>
    <w:p>
      <w:pPr>
        <w:ind w:left="660" w:right="2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or to Fannie Mae and Freddie Mac, which we refer to collectively as the GSEs, whether through Federal legislation, restructurings or a shift in business practices;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continue to meet the mortgage insurer eligibility requirements of the GSEs;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for our customers or the loss of a significant customer;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lenders or investors seeking alternatives to private mortgage insurance;</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 in the number of loans insured through Federal government mortgage insurance programs, including those offered by the Federal Housing Administration;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decline in the volume of low down payment mortgage originations;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of loss reserve estimates;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 in the length of time our insurance policies are in force;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deteriorating economic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recently enacted U.S. Federal tax reform and its impact on us, our shareholders and our operations;</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definition of “Qualified Mortgage” reducing the size of the mortgage origination market or creating incentives to use government mortgage insurance programs;</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definition of “Qualified Residential Mortgage” reducing the number of low down payment loans or lenders and investors seeking alternatives to private mortgage insurance;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the Basel III Capital Accord, which may discourage the use of private mortgage insurance;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management of risk in our investment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interest rates;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40" w:top="125" w:right="2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inadequacy of the premiums we charge to compensate for our losses incurred;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dependence on management team and qualified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disturbance to our information technology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 in our customers’ capital requirements discouraging the use of mortgage insurance;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declines in the value of borrowers’ homes;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limited availability of capital;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unanticipated claims arise under and risks associated with our contract underwriting program;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practice that loss reserves are established only upon a loan default;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 in mortgage loan servicing;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of future legal proceedings;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customers’ technological demands;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non-U.S. operations becoming subject to U.S. Federal income taxation;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becoming considered a passive foreign investment company for U.S. Federal income tax purposes;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restrictions on the ability of our insurance subsidiaries to pay dividends.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Readers are urged to consider these factors carefully in evaluating the forward-looking statements and are cautioned not to place undue reliance on these forward-looking statements. All of the forward-looking statements we have included in this Quarterly Report are based on information available to us on the date of this Quarterly Report. We undertake no obligation to publicly update or revise any forward-looking statement, whether as a result of new information, future events or otherwise,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20"/>
          </w:cols>
          <w:pgMar w:left="240" w:top="125" w:right="4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1100" w:type="dxa"/>
            <w:vAlign w:val="bottom"/>
          </w:tcPr>
          <w:p>
            <w:pPr>
              <w:jc w:val="right"/>
              <w:ind w:right="111"/>
              <w:spacing w:after="0"/>
              <w:rPr>
                <w:sz w:val="20"/>
                <w:szCs w:val="20"/>
                <w:color w:val="auto"/>
              </w:rPr>
            </w:pPr>
            <w:r>
              <w:rPr>
                <w:rFonts w:ascii="Arial" w:cs="Arial" w:eastAsia="Arial" w:hAnsi="Arial"/>
                <w:sz w:val="14"/>
                <w:szCs w:val="14"/>
                <w:b w:val="1"/>
                <w:bCs w:val="1"/>
                <w:color w:val="auto"/>
                <w:w w:val="96"/>
              </w:rPr>
              <w:t>December 31,</w:t>
            </w:r>
          </w:p>
        </w:tc>
      </w:tr>
      <w:tr>
        <w:trPr>
          <w:trHeight w:val="276"/>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Fixed maturities available for sale, at fair value (amortized cost: 2019 — $2,905,928; 2018 — $2,638,950)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2,982,009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2,605,666</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w w:val="97"/>
              </w:rPr>
              <w:t>Short-term investments available for sale, at fair value (amortized cost: 2019 — $252,602; 2018 — $154,400)</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252,604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154,400</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investments available for sale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3,234,613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2,760,066</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Other invested assets</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75,273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30,952</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3,309,886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2,791,018</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Cash</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49,582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64,946</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investment income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17,627</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40,221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36,881</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policy acquisition costs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16,049</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Property and equipment (at cost, less accumulated depreciation of $56,638 in 2019 and $53,870 in 2018)</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16,792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7,629</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federal income tax</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246,885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202,385</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24,158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13,436</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3,722,054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3,149,971</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71"/>
        </w:trPr>
        <w:tc>
          <w:tcPr>
            <w:tcW w:w="8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Liabilities and 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Reserve for losses and LAE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61,436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49,464</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Unearned premium reserve</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290,065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295,467</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deferred tax liability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236,644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172,642</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w w:val="94"/>
              </w:rPr>
              <w:t>Credit facility borrowings (at carrying value, less unamortized deferred costs of $906 in 2019 and $1,336 in 2018)</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224,094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223,664</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accrued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54,645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43,017</w:t>
            </w:r>
          </w:p>
        </w:tc>
      </w:tr>
      <w:tr>
        <w:trPr>
          <w:trHeight w:val="237"/>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866,884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784,254</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 (see Note 7)</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Common shares, $0.015 par value: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500"/>
              <w:spacing w:after="0"/>
              <w:rPr>
                <w:sz w:val="20"/>
                <w:szCs w:val="20"/>
                <w:color w:val="auto"/>
              </w:rPr>
            </w:pPr>
            <w:r>
              <w:rPr>
                <w:rFonts w:ascii="Arial" w:cs="Arial" w:eastAsia="Arial" w:hAnsi="Arial"/>
                <w:sz w:val="18"/>
                <w:szCs w:val="18"/>
                <w:color w:val="auto"/>
              </w:rPr>
              <w:t>Authorized - 233,333; issued and outstanding - 98,385 shares in 2019 and 98,139 shares in 2018</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1,476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1,472</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1,114,586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1,110,800</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Accumulated other comprehensive income (loss)</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62,727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(28,993)</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1,676,381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1,282,438</w:t>
            </w:r>
          </w:p>
        </w:tc>
      </w:tr>
      <w:tr>
        <w:trPr>
          <w:trHeight w:val="237"/>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2,855,170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2,365,717</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3,722,054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3,149,971</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Net premiums written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198,304</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175,221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564,352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508,850</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Decrease (increase) in unearned premiums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5,169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5,402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(32,659)</w:t>
            </w: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Net premiums earned</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203,473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166,675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569,754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476,191</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21,104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61,565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45,494</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Realized investment gains, net</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1,153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2,396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1,160</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3,384</w:t>
            </w:r>
          </w:p>
        </w:tc>
      </w:tr>
      <w:tr>
        <w:trPr>
          <w:trHeight w:val="237"/>
        </w:trPr>
        <w:tc>
          <w:tcPr>
            <w:tcW w:w="516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 revenues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226,387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184,998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638,805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526,229</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91"/>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Losses and expenses: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losses and LAE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9,990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12,574</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Other underwriting and operating expenses</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41,588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36,899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124,138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111,451</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2,584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7,933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7,568</w:t>
            </w:r>
          </w:p>
        </w:tc>
      </w:tr>
      <w:tr>
        <w:trPr>
          <w:trHeight w:val="237"/>
        </w:trPr>
        <w:tc>
          <w:tcPr>
            <w:tcW w:w="516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 losses and expenses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54,162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44,851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154,128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131,593</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91"/>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172,225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140,147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484,677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394,636</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27,595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24,136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75,922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55,801</w:t>
            </w:r>
          </w:p>
        </w:tc>
      </w:tr>
      <w:tr>
        <w:trPr>
          <w:trHeight w:val="297"/>
        </w:trPr>
        <w:tc>
          <w:tcPr>
            <w:tcW w:w="516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144,630</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116,011</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408,755</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338,835</w:t>
            </w:r>
          </w:p>
        </w:tc>
      </w:tr>
      <w:tr>
        <w:trPr>
          <w:trHeight w:val="271"/>
        </w:trPr>
        <w:tc>
          <w:tcPr>
            <w:tcW w:w="5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Earnings per share:</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w:t>
            </w: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3.46</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4"/>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97,822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97,438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97,739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97,388</w:t>
            </w: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98,257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98,013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98,178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97,944</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97"/>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144,630</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116,011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408,755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338,835</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4"/>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4"/>
              </w:rPr>
              <w:t>Change in unrealized appreciation (depreciation) of investments,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6"/>
        </w:trPr>
        <w:tc>
          <w:tcPr>
            <w:tcW w:w="51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net of tax expense (benefit) of $3,640 and ($1,352) in the</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1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three months ended September 30, 2019 and 2018 and</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1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7"/>
              </w:rPr>
              <w:t>$18,685 and ($7,963) in the nine months ended September</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57"/>
        </w:trPr>
        <w:tc>
          <w:tcPr>
            <w:tcW w:w="51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30, 2019 and 2018</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17,367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91,720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(44,197)</w:t>
            </w:r>
          </w:p>
        </w:tc>
      </w:tr>
      <w:tr>
        <w:trPr>
          <w:trHeight w:val="237"/>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Total other comprehensive income (loss)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17,367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(8,201)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91,720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(44,197)</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Comprehensive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161,997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107,810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500,475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294,638</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 (Unaudited)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Three Months Ended September 30, 2019</w:t>
            </w: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Accumulated</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3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2"/>
              </w:rPr>
              <w:t>Other</w:t>
            </w: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center"/>
              <w:ind w:right="104"/>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3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vMerge w:val="restart"/>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88"/>
              </w:rPr>
              <w:t>Common</w:t>
            </w:r>
          </w:p>
        </w:tc>
        <w:tc>
          <w:tcPr>
            <w:tcW w:w="220" w:type="dxa"/>
            <w:vAlign w:val="bottom"/>
          </w:tcPr>
          <w:p>
            <w:pPr>
              <w:spacing w:after="0"/>
              <w:rPr>
                <w:sz w:val="11"/>
                <w:szCs w:val="11"/>
                <w:color w:val="auto"/>
              </w:rPr>
            </w:pPr>
          </w:p>
        </w:tc>
        <w:tc>
          <w:tcPr>
            <w:tcW w:w="11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2"/>
              </w:rPr>
              <w:t>Paid-In</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240" w:type="dxa"/>
            <w:vAlign w:val="bottom"/>
          </w:tcPr>
          <w:p>
            <w:pPr>
              <w:spacing w:after="0"/>
              <w:rPr>
                <w:sz w:val="11"/>
                <w:szCs w:val="11"/>
                <w:color w:val="auto"/>
              </w:rPr>
            </w:pPr>
          </w:p>
        </w:tc>
        <w:tc>
          <w:tcPr>
            <w:tcW w:w="110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Retained</w:t>
            </w:r>
          </w:p>
        </w:tc>
        <w:tc>
          <w:tcPr>
            <w:tcW w:w="260" w:type="dxa"/>
            <w:vAlign w:val="bottom"/>
          </w:tcPr>
          <w:p>
            <w:pPr>
              <w:spacing w:after="0"/>
              <w:rPr>
                <w:sz w:val="11"/>
                <w:szCs w:val="11"/>
                <w:color w:val="auto"/>
              </w:rPr>
            </w:pPr>
          </w:p>
        </w:tc>
        <w:tc>
          <w:tcPr>
            <w:tcW w:w="110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0"/>
              </w:rPr>
              <w:t>Treasury</w:t>
            </w:r>
          </w:p>
        </w:tc>
        <w:tc>
          <w:tcPr>
            <w:tcW w:w="180" w:type="dxa"/>
            <w:vAlign w:val="bottom"/>
          </w:tcPr>
          <w:p>
            <w:pPr>
              <w:spacing w:after="0"/>
              <w:rPr>
                <w:sz w:val="11"/>
                <w:szCs w:val="11"/>
                <w:color w:val="auto"/>
              </w:rPr>
            </w:pPr>
          </w:p>
        </w:tc>
        <w:tc>
          <w:tcPr>
            <w:tcW w:w="1060" w:type="dxa"/>
            <w:vAlign w:val="bottom"/>
          </w:tcPr>
          <w:p>
            <w:pPr>
              <w:jc w:val="center"/>
              <w:ind w:right="124"/>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74"/>
        </w:trPr>
        <w:tc>
          <w:tcPr>
            <w:tcW w:w="32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65"/>
              <w:spacing w:after="0"/>
              <w:rPr>
                <w:sz w:val="20"/>
                <w:szCs w:val="20"/>
                <w:color w:val="auto"/>
              </w:rPr>
            </w:pPr>
            <w:r>
              <w:rPr>
                <w:rFonts w:ascii="Arial" w:cs="Arial" w:eastAsia="Arial" w:hAnsi="Arial"/>
                <w:sz w:val="13"/>
                <w:szCs w:val="13"/>
                <w:b w:val="1"/>
                <w:bCs w:val="1"/>
                <w:color w:val="auto"/>
                <w:w w:val="82"/>
              </w:rPr>
              <w:t>Shares</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45"/>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w w:val="86"/>
              </w:rPr>
              <w:t>Income (Loss)</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Earnings</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65"/>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04"/>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36"/>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June 30, 2019</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b w:val="1"/>
                <w:bCs w:val="1"/>
                <w:color w:val="auto"/>
              </w:rPr>
              <w:t>1,476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b w:val="1"/>
                <w:bCs w:val="1"/>
                <w:color w:val="auto"/>
              </w:rPr>
              <w:t>1,110,893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6"/>
                <w:szCs w:val="16"/>
                <w:b w:val="1"/>
                <w:bCs w:val="1"/>
                <w:color w:val="auto"/>
              </w:rPr>
              <w:t>45,360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b w:val="1"/>
                <w:bCs w:val="1"/>
                <w:color w:val="auto"/>
              </w:rPr>
              <w:t>1,546,563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b w:val="1"/>
                <w:bCs w:val="1"/>
                <w:color w:val="auto"/>
              </w:rPr>
              <w:t>2,704,292</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6"/>
              <w:spacing w:after="0"/>
              <w:rPr>
                <w:sz w:val="20"/>
                <w:szCs w:val="20"/>
                <w:color w:val="auto"/>
              </w:rPr>
            </w:pPr>
            <w:r>
              <w:rPr>
                <w:rFonts w:ascii="Arial" w:cs="Arial" w:eastAsia="Arial" w:hAnsi="Arial"/>
                <w:sz w:val="16"/>
                <w:szCs w:val="16"/>
                <w:color w:val="auto"/>
              </w:rPr>
              <w:t>144,630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144,630</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6"/>
                <w:szCs w:val="16"/>
                <w:color w:val="auto"/>
              </w:rPr>
              <w:t>17,367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17,367</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Dividends and dividend equivalents declared</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45"/>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(14,812)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(14,673)</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Issuance of management incentive shares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45"/>
              <w:spacing w:after="0"/>
              <w:rPr>
                <w:sz w:val="20"/>
                <w:szCs w:val="20"/>
                <w:color w:val="auto"/>
              </w:rPr>
            </w:pPr>
            <w:r>
              <w:rPr>
                <w:rFonts w:ascii="Arial" w:cs="Arial" w:eastAsia="Arial" w:hAnsi="Arial"/>
                <w:sz w:val="16"/>
                <w:szCs w:val="16"/>
                <w:color w:val="auto"/>
              </w:rPr>
              <w:t>4,170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4,170</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Treasury stock acquired</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(616)</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Cancellation of treasury stock</w:t>
            </w:r>
          </w:p>
        </w:tc>
        <w:tc>
          <w:tcPr>
            <w:tcW w:w="24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25"/>
              <w:spacing w:after="0"/>
              <w:rPr>
                <w:sz w:val="20"/>
                <w:szCs w:val="20"/>
                <w:color w:val="auto"/>
              </w:rPr>
            </w:pPr>
            <w:r>
              <w:rPr>
                <w:rFonts w:ascii="Arial" w:cs="Arial" w:eastAsia="Arial" w:hAnsi="Arial"/>
                <w:sz w:val="16"/>
                <w:szCs w:val="16"/>
                <w:color w:val="auto"/>
              </w:rPr>
              <w:t>616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September 30, 2019</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b w:val="1"/>
                <w:bCs w:val="1"/>
                <w:color w:val="auto"/>
              </w:rPr>
              <w:t>1,476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b w:val="1"/>
                <w:bCs w:val="1"/>
                <w:color w:val="auto"/>
              </w:rPr>
              <w:t>1,114,586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6"/>
                <w:szCs w:val="16"/>
                <w:b w:val="1"/>
                <w:bCs w:val="1"/>
                <w:color w:val="auto"/>
              </w:rPr>
              <w:t>62,727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6"/>
                <w:szCs w:val="16"/>
                <w:b w:val="1"/>
                <w:bCs w:val="1"/>
                <w:color w:val="auto"/>
              </w:rPr>
              <w:t>1,676,381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b w:val="1"/>
                <w:bCs w:val="1"/>
                <w:color w:val="auto"/>
              </w:rPr>
              <w:t>2,855,170</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3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Three Months Ended September 30, 2018</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Accumulated</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3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2"/>
              </w:rPr>
              <w:t>Other</w:t>
            </w: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center"/>
              <w:ind w:right="104"/>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3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vMerge w:val="restart"/>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88"/>
              </w:rPr>
              <w:t>Common</w:t>
            </w:r>
          </w:p>
        </w:tc>
        <w:tc>
          <w:tcPr>
            <w:tcW w:w="220" w:type="dxa"/>
            <w:vAlign w:val="bottom"/>
          </w:tcPr>
          <w:p>
            <w:pPr>
              <w:spacing w:after="0"/>
              <w:rPr>
                <w:sz w:val="11"/>
                <w:szCs w:val="11"/>
                <w:color w:val="auto"/>
              </w:rPr>
            </w:pPr>
          </w:p>
        </w:tc>
        <w:tc>
          <w:tcPr>
            <w:tcW w:w="11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2"/>
              </w:rPr>
              <w:t>Paid-In</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240" w:type="dxa"/>
            <w:vAlign w:val="bottom"/>
          </w:tcPr>
          <w:p>
            <w:pPr>
              <w:spacing w:after="0"/>
              <w:rPr>
                <w:sz w:val="11"/>
                <w:szCs w:val="11"/>
                <w:color w:val="auto"/>
              </w:rPr>
            </w:pPr>
          </w:p>
        </w:tc>
        <w:tc>
          <w:tcPr>
            <w:tcW w:w="110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Retained</w:t>
            </w:r>
          </w:p>
        </w:tc>
        <w:tc>
          <w:tcPr>
            <w:tcW w:w="260" w:type="dxa"/>
            <w:vAlign w:val="bottom"/>
          </w:tcPr>
          <w:p>
            <w:pPr>
              <w:spacing w:after="0"/>
              <w:rPr>
                <w:sz w:val="11"/>
                <w:szCs w:val="11"/>
                <w:color w:val="auto"/>
              </w:rPr>
            </w:pPr>
          </w:p>
        </w:tc>
        <w:tc>
          <w:tcPr>
            <w:tcW w:w="110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0"/>
              </w:rPr>
              <w:t>Treasury</w:t>
            </w:r>
          </w:p>
        </w:tc>
        <w:tc>
          <w:tcPr>
            <w:tcW w:w="180" w:type="dxa"/>
            <w:vAlign w:val="bottom"/>
          </w:tcPr>
          <w:p>
            <w:pPr>
              <w:spacing w:after="0"/>
              <w:rPr>
                <w:sz w:val="11"/>
                <w:szCs w:val="11"/>
                <w:color w:val="auto"/>
              </w:rPr>
            </w:pPr>
          </w:p>
        </w:tc>
        <w:tc>
          <w:tcPr>
            <w:tcW w:w="1060" w:type="dxa"/>
            <w:vAlign w:val="bottom"/>
          </w:tcPr>
          <w:p>
            <w:pPr>
              <w:jc w:val="center"/>
              <w:ind w:right="124"/>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74"/>
        </w:trPr>
        <w:tc>
          <w:tcPr>
            <w:tcW w:w="320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65"/>
              <w:spacing w:after="0"/>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45"/>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w w:val="86"/>
              </w:rPr>
              <w:t>Income (Loss)</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65"/>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04"/>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23"/>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Balance at June 30, 2018</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ind w:right="45"/>
              <w:spacing w:after="0"/>
              <w:rPr>
                <w:sz w:val="20"/>
                <w:szCs w:val="20"/>
                <w:color w:val="auto"/>
              </w:rPr>
            </w:pPr>
            <w:r>
              <w:rPr>
                <w:rFonts w:ascii="Arial" w:cs="Arial" w:eastAsia="Arial" w:hAnsi="Arial"/>
                <w:sz w:val="16"/>
                <w:szCs w:val="16"/>
                <w:b w:val="1"/>
                <w:bCs w:val="1"/>
                <w:color w:val="auto"/>
              </w:rPr>
              <w:t>1,472</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45"/>
              <w:spacing w:after="0"/>
              <w:rPr>
                <w:sz w:val="20"/>
                <w:szCs w:val="20"/>
                <w:color w:val="auto"/>
              </w:rPr>
            </w:pPr>
            <w:r>
              <w:rPr>
                <w:rFonts w:ascii="Arial" w:cs="Arial" w:eastAsia="Arial" w:hAnsi="Arial"/>
                <w:sz w:val="16"/>
                <w:szCs w:val="16"/>
                <w:b w:val="1"/>
                <w:bCs w:val="1"/>
                <w:color w:val="auto"/>
              </w:rPr>
              <w:t>1,103,448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(39,248)</w:t>
            </w:r>
          </w:p>
        </w:tc>
        <w:tc>
          <w:tcPr>
            <w:tcW w:w="1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26"/>
              <w:spacing w:after="0"/>
              <w:rPr>
                <w:sz w:val="20"/>
                <w:szCs w:val="20"/>
                <w:color w:val="auto"/>
              </w:rPr>
            </w:pPr>
            <w:r>
              <w:rPr>
                <w:rFonts w:ascii="Arial" w:cs="Arial" w:eastAsia="Arial" w:hAnsi="Arial"/>
                <w:sz w:val="16"/>
                <w:szCs w:val="16"/>
                <w:b w:val="1"/>
                <w:bCs w:val="1"/>
                <w:color w:val="auto"/>
              </w:rPr>
              <w:t>1,037,899</w:t>
            </w:r>
          </w:p>
        </w:tc>
        <w:tc>
          <w:tcPr>
            <w:tcW w:w="100" w:type="dxa"/>
            <w:vAlign w:val="bottom"/>
          </w:tcPr>
          <w:p>
            <w:pPr>
              <w:spacing w:after="0"/>
              <w:rPr>
                <w:sz w:val="19"/>
                <w:szCs w:val="19"/>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24"/>
              <w:spacing w:after="0"/>
              <w:rPr>
                <w:sz w:val="20"/>
                <w:szCs w:val="20"/>
                <w:color w:val="auto"/>
              </w:rPr>
            </w:pPr>
            <w:r>
              <w:rPr>
                <w:rFonts w:ascii="Arial" w:cs="Arial" w:eastAsia="Arial" w:hAnsi="Arial"/>
                <w:sz w:val="16"/>
                <w:szCs w:val="16"/>
                <w:b w:val="1"/>
                <w:bCs w:val="1"/>
                <w:color w:val="auto"/>
              </w:rPr>
              <w:t>2,103,571</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116,011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116,011</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Other comprehensive loss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(8,201)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(8,201)</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Issuance of management incentive shares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45"/>
              <w:spacing w:after="0"/>
              <w:rPr>
                <w:sz w:val="20"/>
                <w:szCs w:val="20"/>
                <w:color w:val="auto"/>
              </w:rPr>
            </w:pPr>
            <w:r>
              <w:rPr>
                <w:rFonts w:ascii="Arial" w:cs="Arial" w:eastAsia="Arial" w:hAnsi="Arial"/>
                <w:sz w:val="16"/>
                <w:szCs w:val="16"/>
                <w:color w:val="auto"/>
              </w:rPr>
              <w:t>3,837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3,837</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Treasury stock acquired</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Cancellation of treasury stock</w:t>
            </w:r>
          </w:p>
        </w:tc>
        <w:tc>
          <w:tcPr>
            <w:tcW w:w="24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25"/>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September 30, 2018</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b w:val="1"/>
                <w:bCs w:val="1"/>
                <w:color w:val="auto"/>
              </w:rPr>
              <w:t>1,472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b w:val="1"/>
                <w:bCs w:val="1"/>
                <w:color w:val="auto"/>
              </w:rPr>
              <w:t>1,107,206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(47,449)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6"/>
                <w:szCs w:val="16"/>
                <w:b w:val="1"/>
                <w:bCs w:val="1"/>
                <w:color w:val="auto"/>
              </w:rPr>
              <w:t>1,153,910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b w:val="1"/>
                <w:bCs w:val="1"/>
                <w:color w:val="auto"/>
              </w:rPr>
              <w:t>2,215,139</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3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Nine Months Ended September 30, 2019</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Accumulated</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3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2"/>
              </w:rPr>
              <w:t>Other</w:t>
            </w: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center"/>
              <w:ind w:right="104"/>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3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vMerge w:val="restart"/>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88"/>
              </w:rPr>
              <w:t>Common</w:t>
            </w:r>
          </w:p>
        </w:tc>
        <w:tc>
          <w:tcPr>
            <w:tcW w:w="220" w:type="dxa"/>
            <w:vAlign w:val="bottom"/>
          </w:tcPr>
          <w:p>
            <w:pPr>
              <w:spacing w:after="0"/>
              <w:rPr>
                <w:sz w:val="11"/>
                <w:szCs w:val="11"/>
                <w:color w:val="auto"/>
              </w:rPr>
            </w:pPr>
          </w:p>
        </w:tc>
        <w:tc>
          <w:tcPr>
            <w:tcW w:w="11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2"/>
              </w:rPr>
              <w:t>Paid-In</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240" w:type="dxa"/>
            <w:vAlign w:val="bottom"/>
          </w:tcPr>
          <w:p>
            <w:pPr>
              <w:spacing w:after="0"/>
              <w:rPr>
                <w:sz w:val="11"/>
                <w:szCs w:val="11"/>
                <w:color w:val="auto"/>
              </w:rPr>
            </w:pPr>
          </w:p>
        </w:tc>
        <w:tc>
          <w:tcPr>
            <w:tcW w:w="110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Retained</w:t>
            </w:r>
          </w:p>
        </w:tc>
        <w:tc>
          <w:tcPr>
            <w:tcW w:w="260" w:type="dxa"/>
            <w:vAlign w:val="bottom"/>
          </w:tcPr>
          <w:p>
            <w:pPr>
              <w:spacing w:after="0"/>
              <w:rPr>
                <w:sz w:val="11"/>
                <w:szCs w:val="11"/>
                <w:color w:val="auto"/>
              </w:rPr>
            </w:pPr>
          </w:p>
        </w:tc>
        <w:tc>
          <w:tcPr>
            <w:tcW w:w="110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0"/>
              </w:rPr>
              <w:t>Treasury</w:t>
            </w:r>
          </w:p>
        </w:tc>
        <w:tc>
          <w:tcPr>
            <w:tcW w:w="180" w:type="dxa"/>
            <w:vAlign w:val="bottom"/>
          </w:tcPr>
          <w:p>
            <w:pPr>
              <w:spacing w:after="0"/>
              <w:rPr>
                <w:sz w:val="11"/>
                <w:szCs w:val="11"/>
                <w:color w:val="auto"/>
              </w:rPr>
            </w:pPr>
          </w:p>
        </w:tc>
        <w:tc>
          <w:tcPr>
            <w:tcW w:w="1060" w:type="dxa"/>
            <w:vAlign w:val="bottom"/>
          </w:tcPr>
          <w:p>
            <w:pPr>
              <w:jc w:val="center"/>
              <w:ind w:right="124"/>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74"/>
        </w:trPr>
        <w:tc>
          <w:tcPr>
            <w:tcW w:w="320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65"/>
              <w:spacing w:after="0"/>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45"/>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w w:val="86"/>
              </w:rPr>
              <w:t>Income (Loss)</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65"/>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04"/>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23"/>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Balance at December 31, 2018</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ind w:right="45"/>
              <w:spacing w:after="0"/>
              <w:rPr>
                <w:sz w:val="20"/>
                <w:szCs w:val="20"/>
                <w:color w:val="auto"/>
              </w:rPr>
            </w:pPr>
            <w:r>
              <w:rPr>
                <w:rFonts w:ascii="Arial" w:cs="Arial" w:eastAsia="Arial" w:hAnsi="Arial"/>
                <w:sz w:val="16"/>
                <w:szCs w:val="16"/>
                <w:b w:val="1"/>
                <w:bCs w:val="1"/>
                <w:color w:val="auto"/>
              </w:rPr>
              <w:t>1,472</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45"/>
              <w:spacing w:after="0"/>
              <w:rPr>
                <w:sz w:val="20"/>
                <w:szCs w:val="20"/>
                <w:color w:val="auto"/>
              </w:rPr>
            </w:pPr>
            <w:r>
              <w:rPr>
                <w:rFonts w:ascii="Arial" w:cs="Arial" w:eastAsia="Arial" w:hAnsi="Arial"/>
                <w:sz w:val="16"/>
                <w:szCs w:val="16"/>
                <w:b w:val="1"/>
                <w:bCs w:val="1"/>
                <w:color w:val="auto"/>
              </w:rPr>
              <w:t>1,110,800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(28,993)</w:t>
            </w:r>
          </w:p>
        </w:tc>
        <w:tc>
          <w:tcPr>
            <w:tcW w:w="1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26"/>
              <w:spacing w:after="0"/>
              <w:rPr>
                <w:sz w:val="20"/>
                <w:szCs w:val="20"/>
                <w:color w:val="auto"/>
              </w:rPr>
            </w:pPr>
            <w:r>
              <w:rPr>
                <w:rFonts w:ascii="Arial" w:cs="Arial" w:eastAsia="Arial" w:hAnsi="Arial"/>
                <w:sz w:val="16"/>
                <w:szCs w:val="16"/>
                <w:b w:val="1"/>
                <w:bCs w:val="1"/>
                <w:color w:val="auto"/>
              </w:rPr>
              <w:t>1,282,438</w:t>
            </w:r>
          </w:p>
        </w:tc>
        <w:tc>
          <w:tcPr>
            <w:tcW w:w="100" w:type="dxa"/>
            <w:vAlign w:val="bottom"/>
          </w:tcPr>
          <w:p>
            <w:pPr>
              <w:spacing w:after="0"/>
              <w:rPr>
                <w:sz w:val="19"/>
                <w:szCs w:val="19"/>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24"/>
              <w:spacing w:after="0"/>
              <w:rPr>
                <w:sz w:val="20"/>
                <w:szCs w:val="20"/>
                <w:color w:val="auto"/>
              </w:rPr>
            </w:pPr>
            <w:r>
              <w:rPr>
                <w:rFonts w:ascii="Arial" w:cs="Arial" w:eastAsia="Arial" w:hAnsi="Arial"/>
                <w:sz w:val="16"/>
                <w:szCs w:val="16"/>
                <w:b w:val="1"/>
                <w:bCs w:val="1"/>
                <w:color w:val="auto"/>
              </w:rPr>
              <w:t>2,365,717</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408,755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408,755</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Other comprehensive income</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9"/>
              <w:spacing w:after="0"/>
              <w:rPr>
                <w:sz w:val="20"/>
                <w:szCs w:val="20"/>
                <w:color w:val="auto"/>
              </w:rPr>
            </w:pPr>
            <w:r>
              <w:rPr>
                <w:rFonts w:ascii="Arial" w:cs="Arial" w:eastAsia="Arial" w:hAnsi="Arial"/>
                <w:sz w:val="16"/>
                <w:szCs w:val="16"/>
                <w:color w:val="auto"/>
              </w:rPr>
              <w:t>91,720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91,720</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Dividends and dividend equivalents declared</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(14,673)</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Issuance of management incentive shares</w:t>
            </w:r>
          </w:p>
        </w:tc>
        <w:tc>
          <w:tcPr>
            <w:tcW w:w="240" w:type="dxa"/>
            <w:vAlign w:val="bottom"/>
          </w:tcPr>
          <w:p>
            <w:pPr>
              <w:spacing w:after="0"/>
              <w:rPr>
                <w:sz w:val="20"/>
                <w:szCs w:val="20"/>
                <w:color w:val="auto"/>
              </w:rPr>
            </w:pPr>
          </w:p>
        </w:tc>
        <w:tc>
          <w:tcPr>
            <w:tcW w:w="1040" w:type="dxa"/>
            <w:vAlign w:val="bottom"/>
          </w:tcPr>
          <w:p>
            <w:pPr>
              <w:jc w:val="right"/>
              <w:ind w:right="45"/>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12,492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12,492</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Treasury stock acquired</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(8,841)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(8,841)</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Cancellation of treasury stock</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(8,838)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8,841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Balance at September 30, 2019</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6"/>
                <w:szCs w:val="16"/>
                <w:b w:val="1"/>
                <w:bCs w:val="1"/>
                <w:color w:val="auto"/>
              </w:rPr>
              <w:t>1,476</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6"/>
                <w:szCs w:val="16"/>
                <w:b w:val="1"/>
                <w:bCs w:val="1"/>
                <w:color w:val="auto"/>
              </w:rPr>
              <w:t>1,114,586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6"/>
                <w:szCs w:val="16"/>
                <w:b w:val="1"/>
                <w:bCs w:val="1"/>
                <w:color w:val="auto"/>
              </w:rPr>
              <w:t>62,727</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6"/>
                <w:szCs w:val="16"/>
                <w:b w:val="1"/>
                <w:bCs w:val="1"/>
                <w:color w:val="auto"/>
              </w:rPr>
              <w:t>1,676,381</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2,855,170</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3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Nine Months Ended September 30, 2018</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Accumulated</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3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2"/>
              </w:rPr>
              <w:t>Other</w:t>
            </w: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center"/>
              <w:ind w:right="104"/>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3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vMerge w:val="restart"/>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88"/>
              </w:rPr>
              <w:t>Common</w:t>
            </w:r>
          </w:p>
        </w:tc>
        <w:tc>
          <w:tcPr>
            <w:tcW w:w="220" w:type="dxa"/>
            <w:vAlign w:val="bottom"/>
          </w:tcPr>
          <w:p>
            <w:pPr>
              <w:spacing w:after="0"/>
              <w:rPr>
                <w:sz w:val="11"/>
                <w:szCs w:val="11"/>
                <w:color w:val="auto"/>
              </w:rPr>
            </w:pPr>
          </w:p>
        </w:tc>
        <w:tc>
          <w:tcPr>
            <w:tcW w:w="11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2"/>
              </w:rPr>
              <w:t>Paid-In</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240" w:type="dxa"/>
            <w:vAlign w:val="bottom"/>
          </w:tcPr>
          <w:p>
            <w:pPr>
              <w:spacing w:after="0"/>
              <w:rPr>
                <w:sz w:val="11"/>
                <w:szCs w:val="11"/>
                <w:color w:val="auto"/>
              </w:rPr>
            </w:pPr>
          </w:p>
        </w:tc>
        <w:tc>
          <w:tcPr>
            <w:tcW w:w="110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Retained</w:t>
            </w:r>
          </w:p>
        </w:tc>
        <w:tc>
          <w:tcPr>
            <w:tcW w:w="260" w:type="dxa"/>
            <w:vAlign w:val="bottom"/>
          </w:tcPr>
          <w:p>
            <w:pPr>
              <w:spacing w:after="0"/>
              <w:rPr>
                <w:sz w:val="11"/>
                <w:szCs w:val="11"/>
                <w:color w:val="auto"/>
              </w:rPr>
            </w:pPr>
          </w:p>
        </w:tc>
        <w:tc>
          <w:tcPr>
            <w:tcW w:w="110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0"/>
              </w:rPr>
              <w:t>Treasury</w:t>
            </w:r>
          </w:p>
        </w:tc>
        <w:tc>
          <w:tcPr>
            <w:tcW w:w="180" w:type="dxa"/>
            <w:vAlign w:val="bottom"/>
          </w:tcPr>
          <w:p>
            <w:pPr>
              <w:spacing w:after="0"/>
              <w:rPr>
                <w:sz w:val="11"/>
                <w:szCs w:val="11"/>
                <w:color w:val="auto"/>
              </w:rPr>
            </w:pPr>
          </w:p>
        </w:tc>
        <w:tc>
          <w:tcPr>
            <w:tcW w:w="1060" w:type="dxa"/>
            <w:vAlign w:val="bottom"/>
          </w:tcPr>
          <w:p>
            <w:pPr>
              <w:jc w:val="center"/>
              <w:ind w:right="124"/>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74"/>
        </w:trPr>
        <w:tc>
          <w:tcPr>
            <w:tcW w:w="32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65"/>
              <w:spacing w:after="0"/>
              <w:rPr>
                <w:sz w:val="20"/>
                <w:szCs w:val="20"/>
                <w:color w:val="auto"/>
              </w:rPr>
            </w:pPr>
            <w:r>
              <w:rPr>
                <w:rFonts w:ascii="Arial" w:cs="Arial" w:eastAsia="Arial" w:hAnsi="Arial"/>
                <w:sz w:val="13"/>
                <w:szCs w:val="13"/>
                <w:b w:val="1"/>
                <w:bCs w:val="1"/>
                <w:color w:val="auto"/>
                <w:w w:val="82"/>
              </w:rPr>
              <w:t>Shares</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45"/>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w w:val="86"/>
              </w:rPr>
              <w:t>Income (Loss)</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Earnings</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65"/>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04"/>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36"/>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December 31, 2017</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b w:val="1"/>
                <w:bCs w:val="1"/>
                <w:color w:val="auto"/>
              </w:rPr>
              <w:t>1,476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b w:val="1"/>
                <w:bCs w:val="1"/>
                <w:color w:val="auto"/>
              </w:rPr>
              <w:t>1,127,137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(3,252)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b w:val="1"/>
                <w:bCs w:val="1"/>
                <w:color w:val="auto"/>
              </w:rPr>
              <w:t>815,075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b w:val="1"/>
                <w:bCs w:val="1"/>
                <w:color w:val="auto"/>
              </w:rPr>
              <w:t>1,940,436</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6"/>
              <w:spacing w:after="0"/>
              <w:rPr>
                <w:sz w:val="20"/>
                <w:szCs w:val="20"/>
                <w:color w:val="auto"/>
              </w:rPr>
            </w:pPr>
            <w:r>
              <w:rPr>
                <w:rFonts w:ascii="Arial" w:cs="Arial" w:eastAsia="Arial" w:hAnsi="Arial"/>
                <w:sz w:val="16"/>
                <w:szCs w:val="16"/>
                <w:color w:val="auto"/>
              </w:rPr>
              <w:t>338,835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338,835</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(44,197)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(44,197)</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Issuance of management incentive shares</w:t>
            </w:r>
          </w:p>
        </w:tc>
        <w:tc>
          <w:tcPr>
            <w:tcW w:w="240" w:type="dxa"/>
            <w:vAlign w:val="bottom"/>
          </w:tcPr>
          <w:p>
            <w:pPr>
              <w:spacing w:after="0"/>
              <w:rPr>
                <w:sz w:val="20"/>
                <w:szCs w:val="20"/>
                <w:color w:val="auto"/>
              </w:rPr>
            </w:pPr>
          </w:p>
        </w:tc>
        <w:tc>
          <w:tcPr>
            <w:tcW w:w="1040" w:type="dxa"/>
            <w:vAlign w:val="bottom"/>
          </w:tcPr>
          <w:p>
            <w:pPr>
              <w:jc w:val="right"/>
              <w:ind w:right="45"/>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11,269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11,269</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Treasury stock acquired</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(31,204)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(31,204)</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Cancellation of treasury stock</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(31,194)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31,204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Balance at September 30, 2018</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6"/>
                <w:szCs w:val="16"/>
                <w:b w:val="1"/>
                <w:bCs w:val="1"/>
                <w:color w:val="auto"/>
              </w:rPr>
              <w:t>1,472</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6"/>
                <w:szCs w:val="16"/>
                <w:b w:val="1"/>
                <w:bCs w:val="1"/>
                <w:color w:val="auto"/>
              </w:rPr>
              <w:t>1,107,206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(47,449)</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6"/>
                <w:szCs w:val="16"/>
                <w:b w:val="1"/>
                <w:bCs w:val="1"/>
                <w:color w:val="auto"/>
              </w:rPr>
              <w:t>1,153,910</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2,215,139</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r>
      <w:tr>
        <w:trPr>
          <w:trHeight w:val="236"/>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408,755</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338,835</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60" w:type="dxa"/>
            <w:vAlign w:val="bottom"/>
            <w:gridSpan w:val="2"/>
          </w:tcPr>
          <w:p>
            <w:pPr>
              <w:ind w:left="280"/>
              <w:spacing w:after="0"/>
              <w:rPr>
                <w:sz w:val="20"/>
                <w:szCs w:val="20"/>
                <w:color w:val="auto"/>
              </w:rPr>
            </w:pPr>
            <w:r>
              <w:rPr>
                <w:rFonts w:ascii="Arial" w:cs="Arial" w:eastAsia="Arial" w:hAnsi="Arial"/>
                <w:sz w:val="16"/>
                <w:szCs w:val="16"/>
                <w:color w:val="auto"/>
              </w:rPr>
              <w:t>Gain on the sale of investments, net</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(2,396)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(1,160)</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Equity in net loss (income) of other invested 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60" w:type="dxa"/>
            <w:vAlign w:val="bottom"/>
            <w:gridSpan w:val="2"/>
          </w:tcPr>
          <w:p>
            <w:pPr>
              <w:ind w:left="280"/>
              <w:spacing w:after="0"/>
              <w:rPr>
                <w:sz w:val="20"/>
                <w:szCs w:val="20"/>
                <w:color w:val="auto"/>
              </w:rPr>
            </w:pPr>
            <w:r>
              <w:rPr>
                <w:rFonts w:ascii="Arial" w:cs="Arial" w:eastAsia="Arial" w:hAnsi="Arial"/>
                <w:sz w:val="16"/>
                <w:szCs w:val="16"/>
                <w:color w:val="auto"/>
              </w:rPr>
              <w:t>Distribution of income from other invested assets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2,539</w:t>
            </w:r>
          </w:p>
        </w:tc>
      </w:tr>
      <w:tr>
        <w:trPr>
          <w:trHeight w:val="237"/>
        </w:trPr>
        <w:tc>
          <w:tcPr>
            <w:tcW w:w="8360" w:type="dxa"/>
            <w:vAlign w:val="bottom"/>
            <w:gridSpan w:val="2"/>
          </w:tcPr>
          <w:p>
            <w:pPr>
              <w:ind w:left="280"/>
              <w:spacing w:after="0"/>
              <w:rPr>
                <w:sz w:val="20"/>
                <w:szCs w:val="20"/>
                <w:color w:val="auto"/>
              </w:rPr>
            </w:pPr>
            <w:r>
              <w:rPr>
                <w:rFonts w:ascii="Arial" w:cs="Arial" w:eastAsia="Arial" w:hAnsi="Arial"/>
                <w:sz w:val="16"/>
                <w:szCs w:val="16"/>
                <w:color w:val="auto"/>
              </w:rPr>
              <w:t>Stock-based compensation expense</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12,492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11,269</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Amortization of premium on investment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10,701</w:t>
            </w:r>
          </w:p>
        </w:tc>
      </w:tr>
      <w:tr>
        <w:trPr>
          <w:trHeight w:val="237"/>
        </w:trPr>
        <w:tc>
          <w:tcPr>
            <w:tcW w:w="8360" w:type="dxa"/>
            <w:vAlign w:val="bottom"/>
            <w:gridSpan w:val="2"/>
          </w:tcPr>
          <w:p>
            <w:pPr>
              <w:ind w:left="280"/>
              <w:spacing w:after="0"/>
              <w:rPr>
                <w:sz w:val="20"/>
                <w:szCs w:val="20"/>
                <w:color w:val="auto"/>
              </w:rPr>
            </w:pPr>
            <w:r>
              <w:rPr>
                <w:rFonts w:ascii="Arial" w:cs="Arial" w:eastAsia="Arial" w:hAnsi="Arial"/>
                <w:sz w:val="16"/>
                <w:szCs w:val="16"/>
                <w:color w:val="auto"/>
              </w:rPr>
              <w:t>Deferred income tax provision</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45,317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35,676</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Change in: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60" w:type="dxa"/>
            <w:vAlign w:val="bottom"/>
            <w:gridSpan w:val="2"/>
          </w:tcPr>
          <w:p>
            <w:pPr>
              <w:ind w:left="500"/>
              <w:spacing w:after="0"/>
              <w:rPr>
                <w:sz w:val="20"/>
                <w:szCs w:val="20"/>
                <w:color w:val="auto"/>
              </w:rPr>
            </w:pPr>
            <w:r>
              <w:rPr>
                <w:rFonts w:ascii="Arial" w:cs="Arial" w:eastAsia="Arial" w:hAnsi="Arial"/>
                <w:sz w:val="16"/>
                <w:szCs w:val="16"/>
                <w:color w:val="auto"/>
              </w:rPr>
              <w:t>Accrued investment income</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(4,318)</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Accounts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(5,842)</w:t>
            </w:r>
          </w:p>
        </w:tc>
      </w:tr>
      <w:tr>
        <w:trPr>
          <w:trHeight w:val="237"/>
        </w:trPr>
        <w:tc>
          <w:tcPr>
            <w:tcW w:w="8360" w:type="dxa"/>
            <w:vAlign w:val="bottom"/>
            <w:gridSpan w:val="2"/>
          </w:tcPr>
          <w:p>
            <w:pPr>
              <w:ind w:left="500"/>
              <w:spacing w:after="0"/>
              <w:rPr>
                <w:sz w:val="20"/>
                <w:szCs w:val="20"/>
                <w:color w:val="auto"/>
              </w:rPr>
            </w:pPr>
            <w:r>
              <w:rPr>
                <w:rFonts w:ascii="Arial" w:cs="Arial" w:eastAsia="Arial" w:hAnsi="Arial"/>
                <w:sz w:val="16"/>
                <w:szCs w:val="16"/>
                <w:color w:val="auto"/>
              </w:rPr>
              <w:t>Deferred policy acquisition costs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(805)</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Prepaid federal income tax</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(44,500)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66,222</w:t>
            </w:r>
          </w:p>
        </w:tc>
      </w:tr>
      <w:tr>
        <w:trPr>
          <w:trHeight w:val="237"/>
        </w:trPr>
        <w:tc>
          <w:tcPr>
            <w:tcW w:w="8360" w:type="dxa"/>
            <w:vAlign w:val="bottom"/>
            <w:gridSpan w:val="2"/>
          </w:tcPr>
          <w:p>
            <w:pPr>
              <w:ind w:left="500"/>
              <w:spacing w:after="0"/>
              <w:rPr>
                <w:sz w:val="20"/>
                <w:szCs w:val="20"/>
                <w:color w:val="auto"/>
              </w:rPr>
            </w:pPr>
            <w:r>
              <w:rPr>
                <w:rFonts w:ascii="Arial" w:cs="Arial" w:eastAsia="Arial" w:hAnsi="Arial"/>
                <w:sz w:val="16"/>
                <w:szCs w:val="16"/>
                <w:color w:val="auto"/>
              </w:rPr>
              <w:t>Other assets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(7,428)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(2,439)</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Reserve for losses and LAE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6,505</w:t>
            </w:r>
          </w:p>
        </w:tc>
      </w:tr>
      <w:tr>
        <w:trPr>
          <w:trHeight w:val="237"/>
        </w:trPr>
        <w:tc>
          <w:tcPr>
            <w:tcW w:w="8360" w:type="dxa"/>
            <w:vAlign w:val="bottom"/>
            <w:gridSpan w:val="2"/>
          </w:tcPr>
          <w:p>
            <w:pPr>
              <w:ind w:left="500"/>
              <w:spacing w:after="0"/>
              <w:rPr>
                <w:sz w:val="20"/>
                <w:szCs w:val="20"/>
                <w:color w:val="auto"/>
              </w:rPr>
            </w:pPr>
            <w:r>
              <w:rPr>
                <w:rFonts w:ascii="Arial" w:cs="Arial" w:eastAsia="Arial" w:hAnsi="Arial"/>
                <w:sz w:val="16"/>
                <w:szCs w:val="16"/>
                <w:color w:val="auto"/>
              </w:rPr>
              <w:t>Unearned premium reserve</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(5,402)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32,659</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Other accrued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(5,791)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(3,888)</w:t>
            </w:r>
          </w:p>
        </w:tc>
      </w:tr>
      <w:tr>
        <w:trPr>
          <w:trHeight w:val="217"/>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424,579</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485,954</w:t>
            </w:r>
          </w:p>
        </w:tc>
      </w:tr>
      <w:tr>
        <w:trPr>
          <w:trHeight w:val="33"/>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56"/>
        </w:trPr>
        <w:tc>
          <w:tcPr>
            <w:tcW w:w="8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Net change in short-term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(98,204)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120,782</w:t>
            </w:r>
          </w:p>
        </w:tc>
      </w:tr>
      <w:tr>
        <w:trPr>
          <w:trHeight w:val="237"/>
        </w:trPr>
        <w:tc>
          <w:tcPr>
            <w:tcW w:w="8360" w:type="dxa"/>
            <w:vAlign w:val="bottom"/>
            <w:gridSpan w:val="2"/>
          </w:tcPr>
          <w:p>
            <w:pPr>
              <w:ind w:left="280"/>
              <w:spacing w:after="0"/>
              <w:rPr>
                <w:sz w:val="20"/>
                <w:szCs w:val="20"/>
                <w:color w:val="auto"/>
              </w:rPr>
            </w:pPr>
            <w:r>
              <w:rPr>
                <w:rFonts w:ascii="Arial" w:cs="Arial" w:eastAsia="Arial" w:hAnsi="Arial"/>
                <w:sz w:val="16"/>
                <w:szCs w:val="16"/>
                <w:color w:val="auto"/>
              </w:rPr>
              <w:t>Purchase of investments available for sale</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(778,937)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(861,042)</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Proceeds from maturity of investments available for sale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68,768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82,746</w:t>
            </w:r>
          </w:p>
        </w:tc>
      </w:tr>
      <w:tr>
        <w:trPr>
          <w:trHeight w:val="237"/>
        </w:trPr>
        <w:tc>
          <w:tcPr>
            <w:tcW w:w="8360" w:type="dxa"/>
            <w:vAlign w:val="bottom"/>
            <w:gridSpan w:val="2"/>
          </w:tcPr>
          <w:p>
            <w:pPr>
              <w:ind w:left="280"/>
              <w:spacing w:after="0"/>
              <w:rPr>
                <w:sz w:val="20"/>
                <w:szCs w:val="20"/>
                <w:color w:val="auto"/>
              </w:rPr>
            </w:pPr>
            <w:r>
              <w:rPr>
                <w:rFonts w:ascii="Arial" w:cs="Arial" w:eastAsia="Arial" w:hAnsi="Arial"/>
                <w:sz w:val="16"/>
                <w:szCs w:val="16"/>
                <w:color w:val="auto"/>
              </w:rPr>
              <w:t>Proceeds from sales of investments available for sale</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438,015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241,865</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Purchase of other invested 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(24,751)</w:t>
            </w:r>
          </w:p>
        </w:tc>
      </w:tr>
      <w:tr>
        <w:trPr>
          <w:trHeight w:val="237"/>
        </w:trPr>
        <w:tc>
          <w:tcPr>
            <w:tcW w:w="8360" w:type="dxa"/>
            <w:vAlign w:val="bottom"/>
            <w:gridSpan w:val="2"/>
          </w:tcPr>
          <w:p>
            <w:pPr>
              <w:ind w:left="280"/>
              <w:spacing w:after="0"/>
              <w:rPr>
                <w:sz w:val="20"/>
                <w:szCs w:val="20"/>
                <w:color w:val="auto"/>
              </w:rPr>
            </w:pPr>
            <w:r>
              <w:rPr>
                <w:rFonts w:ascii="Arial" w:cs="Arial" w:eastAsia="Arial" w:hAnsi="Arial"/>
                <w:sz w:val="16"/>
                <w:szCs w:val="16"/>
                <w:color w:val="auto"/>
              </w:rPr>
              <w:t>Return of investment from other invested assets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882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386</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Purchase of property and equipment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(2,947)</w:t>
            </w:r>
          </w:p>
        </w:tc>
      </w:tr>
      <w:tr>
        <w:trPr>
          <w:trHeight w:val="217"/>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(416,414)</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(442,961)</w:t>
            </w:r>
          </w:p>
        </w:tc>
      </w:tr>
      <w:tr>
        <w:trPr>
          <w:trHeight w:val="33"/>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56"/>
        </w:trPr>
        <w:tc>
          <w:tcPr>
            <w:tcW w:w="8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Credit facility borrowings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15,000</w:t>
            </w:r>
          </w:p>
        </w:tc>
      </w:tr>
      <w:tr>
        <w:trPr>
          <w:trHeight w:val="237"/>
        </w:trPr>
        <w:tc>
          <w:tcPr>
            <w:tcW w:w="8360" w:type="dxa"/>
            <w:vAlign w:val="bottom"/>
            <w:gridSpan w:val="2"/>
          </w:tcPr>
          <w:p>
            <w:pPr>
              <w:ind w:left="280"/>
              <w:spacing w:after="0"/>
              <w:rPr>
                <w:sz w:val="20"/>
                <w:szCs w:val="20"/>
                <w:color w:val="auto"/>
              </w:rPr>
            </w:pPr>
            <w:r>
              <w:rPr>
                <w:rFonts w:ascii="Arial" w:cs="Arial" w:eastAsia="Arial" w:hAnsi="Arial"/>
                <w:sz w:val="16"/>
                <w:szCs w:val="16"/>
                <w:color w:val="auto"/>
              </w:rPr>
              <w:t>Credit facility repayments</w:t>
            </w:r>
          </w:p>
        </w:tc>
        <w:tc>
          <w:tcPr>
            <w:tcW w:w="2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(40,000)</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Treasury stock acquired</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(31,204)</w:t>
            </w:r>
          </w:p>
        </w:tc>
      </w:tr>
      <w:tr>
        <w:trPr>
          <w:trHeight w:val="237"/>
        </w:trPr>
        <w:tc>
          <w:tcPr>
            <w:tcW w:w="8360" w:type="dxa"/>
            <w:vAlign w:val="bottom"/>
            <w:gridSpan w:val="2"/>
          </w:tcPr>
          <w:p>
            <w:pPr>
              <w:ind w:left="280"/>
              <w:spacing w:after="0"/>
              <w:rPr>
                <w:sz w:val="20"/>
                <w:szCs w:val="20"/>
                <w:color w:val="auto"/>
              </w:rPr>
            </w:pPr>
            <w:r>
              <w:rPr>
                <w:rFonts w:ascii="Arial" w:cs="Arial" w:eastAsia="Arial" w:hAnsi="Arial"/>
                <w:sz w:val="16"/>
                <w:szCs w:val="16"/>
                <w:color w:val="auto"/>
              </w:rPr>
              <w:t>Payment of issuance costs for credit facility</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(516)</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Dividends paid</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(14,673)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Net cash used in financing activities</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(23,529)</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(56,720)</w:t>
            </w:r>
          </w:p>
        </w:tc>
      </w:tr>
      <w:tr>
        <w:trPr>
          <w:trHeight w:val="33"/>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56"/>
        </w:trPr>
        <w:tc>
          <w:tcPr>
            <w:tcW w:w="8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Net decrease in cash</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(15,364)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(13,727)</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Cash at beginning of year</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64,946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43,524</w:t>
            </w:r>
          </w:p>
        </w:tc>
      </w:tr>
      <w:tr>
        <w:trPr>
          <w:trHeight w:val="284"/>
        </w:trPr>
        <w:tc>
          <w:tcPr>
            <w:tcW w:w="83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b w:val="1"/>
                <w:bCs w:val="1"/>
                <w:color w:val="auto"/>
              </w:rPr>
              <w:t>Cash at end of period</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49,582</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29,797</w:t>
            </w:r>
          </w:p>
        </w:tc>
      </w:tr>
      <w:tr>
        <w:trPr>
          <w:trHeight w:val="149"/>
        </w:trPr>
        <w:tc>
          <w:tcPr>
            <w:tcW w:w="8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tax payments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(18,600)</w:t>
            </w: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Interest payments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(7,718)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(7,051)</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62"/>
        </w:trPr>
        <w:tc>
          <w:tcPr>
            <w:tcW w:w="8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6"/>
                <w:szCs w:val="16"/>
                <w:b w:val="1"/>
                <w:bCs w:val="1"/>
                <w:color w:val="auto"/>
              </w:rPr>
              <w:t>Noncash Transactions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Repayment of borrowings with term loan proceeds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(100,000)</w:t>
            </w: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Lease liabilities arising from obtaining right-of-use assets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385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25" w:right="239" w:bottom="219"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219"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2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In these notes to condensed consolidated financial statements, “Essent”, “Company”, “we”, “us”, and “our” refer to Essent Group Ltd. and its subsidiaries, unless the context otherwise requires.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of Presentation</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Essent Group Ltd. (“Essent Group”) is a Bermuda-based holding company, which, through its wholly-owned subsidiaries, offers private mortgage insurance and reinsurance for mortgages secured by residential properties located in the United States. Mortgage insurance facilitates the sale of low down payment (generally less than 20%) mortgage loans into the secondary mortgage market, primarily to two government-sponsored enterprises (“GSEs”), Fannie Mae and Freddie Mac.</w:t>
      </w:r>
    </w:p>
    <w:p>
      <w:pPr>
        <w:spacing w:after="0" w:line="187"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primary mortgage insurance operations are conducted through Essent Guaranty, Inc. (“Essent Guaranty”), a wholly-owned subsidiary approved as a qualified mortgage insurer by the GSEs and is licensed to write mortgage insurance in all 50 states and the District of Columbia. Essent Guaranty reinsures 25% of new insurance written to Essent Reinsurance Ltd. (“Essent Re”), an affiliated Bermuda domiciled Class 3A Insurer licensed pursuant to Section 4 of the Bermuda Insurance Act 1978 that provides insurance and reinsurance coverage of mortgage credit risk. Essent Re also provides insurance and reinsurance to Freddie Mac and Fannie Mae. In 2016, Essent Re formed Essent Agency (Bermuda) Ltd., a wholly-owned subsidiary, which provides underwriting consulting services to third-party reinsurers. In accordance with certain state law requirements then in effect, Essent Guaranty also reinsures that portion of the risk that is in excess of 25% of the mortgage balance with respect to loans insured prior to April 1, 2019, after consideration of other reinsurance, to Essent Guaranty of PA, Inc. (“Essent PA”), an affiliate.</w:t>
      </w:r>
    </w:p>
    <w:p>
      <w:pPr>
        <w:spacing w:after="0" w:line="179"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In addition to offering mortgage insurance, we provide contract underwriting services on a limited basis through CUW Solutions, LLC ("CUW Solutions"), a Delaware limited liability company, that provides, among other things, mortgage contract underwriting services to lenders and mortgage insurance underwriting services to affiliates.</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have prepared the condensed consolidated financial statements included herein pursuant to the rules and regulations of the Securities and Exchange Commission (“SEC”). We have condensed or omitted certain information and footnote disclosures normally included in consolidated financial statements prepared in accordance with U.S. generally accepted accounting principles (“GAAP”) pursuant to such rules and regulations. In the opinion of management, the statements include all adjustments (which include normal recurring adjustments) required for a fair statement of financial position, results of operations and cash flows for the interim periods presented. These statements should be read in conjunction with the consolidated financial statements and notes thereto, including Note 1 and Note 2 to the consolidated financial statements, included in our Annual Report on Form 10-K for the year ended December 31, 2018, which discloses the principles of consolidation and a summary of significant accounting policies. The results of operations for the interim periods are not necessarily indicative of the results for the full year. We evaluated the need to recognize or disclose events that occurred subsequent to September 30, 2019 prior to the issuance of these condensed consolidated financial statements.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amounts in prior years have been reclassified to conform to the current year 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Recently Issued Accounting Standards</w:t>
      </w:r>
    </w:p>
    <w:p>
      <w:pPr>
        <w:spacing w:after="0" w:line="22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This update requires organizations that lease assets to recognize on the balance sheet the assets and liabilities for the rights and obligations created by those leases. The new guidance also requires additional disclosures about the amount, timing and uncertainty of cash flows arising from leases. The provisions of this update were effective for annual and interim periods beginning after December 15, 2018. We adopted this standard on January 1, 2019 using the modified retrospective adoption approach for our existing operating leases at January 1, 2019. As permitted by this ASU, for leases that commenced before January 1, 2019 we elected the practical expedients of not reassessing whether any expired or existing contracts are or contain leases, not reassessing the lease classification for any expired or existing leases and not reassessing any initial direct costs for existing leases. In addition, we elected the practical expedient to use hindsight in determining the lease term. We also elected to recognize rent expense for short-term leases on a straight line basis over the lease term as permitted under this ASU. The adoption of this ASU did not have a material effect on the Company's consolidated operating results or financial position.</w:t>
      </w:r>
    </w:p>
    <w:p>
      <w:pPr>
        <w:spacing w:after="0" w:line="182"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Measurement of Credit Losses on Financial Instruments (Topic 326)</w:t>
      </w:r>
      <w:r>
        <w:rPr>
          <w:rFonts w:ascii="Arial" w:cs="Arial" w:eastAsia="Arial" w:hAnsi="Arial"/>
          <w:sz w:val="18"/>
          <w:szCs w:val="18"/>
          <w:color w:val="auto"/>
        </w:rPr>
        <w:t>. This update is intended to provide financial statement users with more information about the expected credit losses on financial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instruments and other commitments to extend credit held by a reporting entity at each reporting date. The amendments in this ASU replace the incurred loss impairment methodology in current GAAP with a methodology that reflects expected credit losses and requires consideration of a broader range of reasonable and supportable information to inform credit loss estimates. The new guidance requires financial assets measured at amortized cost to be presented at the net amount expected to be collected through the use of an allowance for credit losses. Credit losses relating to available-for-sale debt securities will also be recorded through an allowance rather than as a write-down of the amortized cost of the securities. The provisions of this update are effective for annual and interim periods beginning after December 15, 2019. While the Company is still evaluating this ASU, we do not expect it to impact our accounting for insurance losses and loss adjustment expenses ("LAE") as these items are not within the scope of this ASU.</w:t>
      </w:r>
    </w:p>
    <w:p>
      <w:pPr>
        <w:spacing w:after="0" w:line="191" w:lineRule="exact"/>
        <w:rPr>
          <w:sz w:val="20"/>
          <w:szCs w:val="20"/>
          <w:color w:val="auto"/>
        </w:rPr>
      </w:pPr>
    </w:p>
    <w:p>
      <w:pPr>
        <w:ind w:right="40" w:firstLine="648"/>
        <w:spacing w:after="0" w:line="272"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 - 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for Fair Value Measurement</w:t>
      </w:r>
      <w:r>
        <w:rPr>
          <w:rFonts w:ascii="Arial" w:cs="Arial" w:eastAsia="Arial" w:hAnsi="Arial"/>
          <w:sz w:val="18"/>
          <w:szCs w:val="18"/>
          <w:color w:val="auto"/>
        </w:rPr>
        <w:t>. The amendments in this update modify the disclosure requirements for fair value measurements by removing,</w:t>
      </w:r>
      <w:r>
        <w:rPr>
          <w:rFonts w:ascii="Arial" w:cs="Arial" w:eastAsia="Arial" w:hAnsi="Arial"/>
          <w:sz w:val="18"/>
          <w:szCs w:val="18"/>
          <w:i w:val="1"/>
          <w:iCs w:val="1"/>
          <w:color w:val="auto"/>
        </w:rPr>
        <w:t xml:space="preserve"> </w:t>
      </w:r>
      <w:r>
        <w:rPr>
          <w:rFonts w:ascii="Arial" w:cs="Arial" w:eastAsia="Arial" w:hAnsi="Arial"/>
          <w:sz w:val="18"/>
          <w:szCs w:val="18"/>
          <w:color w:val="auto"/>
        </w:rPr>
        <w:t>modifying, or adding certain disclosures. The provisions of this update are effective for interim and annual periods beginning after December 15, 2019, with early adoption permitted for the removed disclosures. The Company is evaluating the impact the adoption of this ASU will have on the consolidated financial statements and related disclosures.</w:t>
      </w:r>
    </w:p>
    <w:p>
      <w:pPr>
        <w:spacing w:after="0" w:line="178"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Intangibles - Goodwill and Other - Internal-Use Software (Subtopic 350-40):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for Implementation Costs Incurred in a Cloud Computing Arrangement That Is a Service Contract. </w:t>
      </w:r>
      <w:r>
        <w:rPr>
          <w:rFonts w:ascii="Arial" w:cs="Arial" w:eastAsia="Arial" w:hAnsi="Arial"/>
          <w:sz w:val="16"/>
          <w:szCs w:val="16"/>
          <w:color w:val="auto"/>
        </w:rPr>
        <w:t>The amendments in this update align the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for capitalizing implementation costs associated with cloud computing arrangements hosted by a vendor with the requirements for capitalizing implementation costs incurred to develop or obtain internal-use software. The provisions of this update are effective for interim and annual periods beginning after December 15, 2019, with early adoption permitted. The Company has elected to adopt this ASU prospectively to eligible costs incurred effective January 1, 2019. The adoption of this ASU did not have a material effect on the Company’s consolidated operating results or financial position.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Investments available for sale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 2019 (In thousands)</w:t>
            </w:r>
          </w:p>
        </w:tc>
        <w:tc>
          <w:tcPr>
            <w:tcW w:w="12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14"/>
                <w:szCs w:val="14"/>
                <w:color w:val="auto"/>
              </w:rPr>
            </w:pPr>
          </w:p>
        </w:tc>
        <w:tc>
          <w:tcPr>
            <w:tcW w:w="1120" w:type="dxa"/>
            <w:vAlign w:val="bottom"/>
          </w:tcPr>
          <w:p>
            <w:pPr>
              <w:jc w:val="center"/>
              <w:ind w:right="253"/>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3"/>
              </w:rPr>
              <w:t>Cost</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266,329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271,359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3"/>
          </w:tcPr>
          <w:p>
            <w:pPr>
              <w:ind w:left="20"/>
              <w:spacing w:after="0"/>
              <w:rPr>
                <w:sz w:val="20"/>
                <w:szCs w:val="20"/>
                <w:color w:val="auto"/>
              </w:rPr>
            </w:pPr>
            <w:r>
              <w:rPr>
                <w:rFonts w:ascii="Arial" w:cs="Arial" w:eastAsia="Arial" w:hAnsi="Arial"/>
                <w:sz w:val="18"/>
                <w:szCs w:val="18"/>
                <w:color w:val="auto"/>
              </w:rPr>
              <w:t>U.S. agency securities</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33,626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33,544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U.S. agency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815,276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829,748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3"/>
          </w:tcPr>
          <w:p>
            <w:pPr>
              <w:ind w:left="20"/>
              <w:spacing w:after="0"/>
              <w:rPr>
                <w:sz w:val="20"/>
                <w:szCs w:val="20"/>
                <w:color w:val="auto"/>
              </w:rPr>
            </w:pPr>
            <w:r>
              <w:rPr>
                <w:rFonts w:ascii="Arial" w:cs="Arial" w:eastAsia="Arial" w:hAnsi="Arial"/>
                <w:sz w:val="18"/>
                <w:szCs w:val="18"/>
                <w:color w:val="auto"/>
              </w:rPr>
              <w:t>Municipal debt securities (1)</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341,036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23,133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364,140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Non-U.S. government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46,961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49,935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3"/>
          </w:tcPr>
          <w:p>
            <w:pPr>
              <w:ind w:left="20"/>
              <w:spacing w:after="0"/>
              <w:rPr>
                <w:sz w:val="20"/>
                <w:szCs w:val="20"/>
                <w:color w:val="auto"/>
              </w:rPr>
            </w:pPr>
            <w:r>
              <w:rPr>
                <w:rFonts w:ascii="Arial" w:cs="Arial" w:eastAsia="Arial" w:hAnsi="Arial"/>
                <w:sz w:val="18"/>
                <w:szCs w:val="18"/>
                <w:color w:val="auto"/>
              </w:rPr>
              <w:t>Corporate debt securities (2)</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801,193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23,661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824,632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Residential and commercial mortgage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276,092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283,790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3"/>
          </w:tcPr>
          <w:p>
            <w:pPr>
              <w:ind w:left="2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325,415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(1,577)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324,861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252,602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252,604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gridSpan w:val="3"/>
          </w:tcPr>
          <w:p>
            <w:pPr>
              <w:ind w:left="20"/>
              <w:spacing w:after="0"/>
              <w:rPr>
                <w:sz w:val="20"/>
                <w:szCs w:val="20"/>
                <w:color w:val="auto"/>
              </w:rPr>
            </w:pPr>
            <w:r>
              <w:rPr>
                <w:rFonts w:ascii="Arial" w:cs="Arial" w:eastAsia="Arial" w:hAnsi="Arial"/>
                <w:sz w:val="18"/>
                <w:szCs w:val="18"/>
                <w:color w:val="auto"/>
              </w:rPr>
              <w:t>Total investments available for sale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3,158,530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81,038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(4,955)</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3,234,613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0" w:type="dxa"/>
            <w:vAlign w:val="bottom"/>
          </w:tcPr>
          <w:p>
            <w:pPr>
              <w:spacing w:after="0"/>
              <w:rPr>
                <w:sz w:val="23"/>
                <w:szCs w:val="23"/>
                <w:color w:val="auto"/>
              </w:rPr>
            </w:pPr>
          </w:p>
        </w:tc>
        <w:tc>
          <w:tcPr>
            <w:tcW w:w="5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2018 (In thousands)</w:t>
            </w:r>
          </w:p>
        </w:tc>
        <w:tc>
          <w:tcPr>
            <w:tcW w:w="120" w:type="dxa"/>
            <w:vAlign w:val="bottom"/>
            <w:vMerge w:val="restart"/>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23"/>
                <w:szCs w:val="23"/>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3"/>
                <w:szCs w:val="23"/>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23"/>
                <w:szCs w:val="23"/>
                <w:color w:val="auto"/>
              </w:rPr>
            </w:pPr>
          </w:p>
        </w:tc>
        <w:tc>
          <w:tcPr>
            <w:tcW w:w="1120" w:type="dxa"/>
            <w:vAlign w:val="bottom"/>
          </w:tcPr>
          <w:p>
            <w:pPr>
              <w:jc w:val="center"/>
              <w:ind w:right="253"/>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3"/>
              </w:rPr>
              <w:t>Cost</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295,145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289,892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3"/>
          </w:tcPr>
          <w:p>
            <w:pPr>
              <w:ind w:left="20"/>
              <w:spacing w:after="0"/>
              <w:rPr>
                <w:sz w:val="20"/>
                <w:szCs w:val="20"/>
                <w:color w:val="auto"/>
              </w:rPr>
            </w:pPr>
            <w:r>
              <w:rPr>
                <w:rFonts w:ascii="Arial" w:cs="Arial" w:eastAsia="Arial" w:hAnsi="Arial"/>
                <w:sz w:val="18"/>
                <w:szCs w:val="18"/>
                <w:color w:val="auto"/>
              </w:rPr>
              <w:t>U.S. agency securities</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33,645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32,997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9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U.S. agency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649,228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637,178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3"/>
          </w:tcPr>
          <w:p>
            <w:pPr>
              <w:ind w:left="20"/>
              <w:spacing w:after="0"/>
              <w:rPr>
                <w:sz w:val="20"/>
                <w:szCs w:val="20"/>
                <w:color w:val="auto"/>
              </w:rPr>
            </w:pPr>
            <w:r>
              <w:rPr>
                <w:rFonts w:ascii="Arial" w:cs="Arial" w:eastAsia="Arial" w:hAnsi="Arial"/>
                <w:sz w:val="18"/>
                <w:szCs w:val="18"/>
                <w:color w:val="auto"/>
              </w:rPr>
              <w:t>Municipal debt securities (1)</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481,547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5,351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(3,019)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483,879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9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Non-U.S. government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44,999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45,001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3"/>
          </w:tcPr>
          <w:p>
            <w:pPr>
              <w:ind w:left="20"/>
              <w:spacing w:after="0"/>
              <w:rPr>
                <w:sz w:val="20"/>
                <w:szCs w:val="20"/>
                <w:color w:val="auto"/>
              </w:rPr>
            </w:pPr>
            <w:r>
              <w:rPr>
                <w:rFonts w:ascii="Arial" w:cs="Arial" w:eastAsia="Arial" w:hAnsi="Arial"/>
                <w:sz w:val="18"/>
                <w:szCs w:val="18"/>
                <w:color w:val="auto"/>
              </w:rPr>
              <w:t>Corporate debt securities (2)</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738,964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(14,768)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725,201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9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Residential and commercial mortgage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122,369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121,838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3"/>
          </w:tcPr>
          <w:p>
            <w:pPr>
              <w:ind w:left="2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288,371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(3,679)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284,997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9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139,082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139,083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gridSpan w:val="3"/>
          </w:tcPr>
          <w:p>
            <w:pPr>
              <w:ind w:left="20"/>
              <w:spacing w:after="0"/>
              <w:rPr>
                <w:sz w:val="20"/>
                <w:szCs w:val="20"/>
                <w:color w:val="auto"/>
              </w:rPr>
            </w:pPr>
            <w:r>
              <w:rPr>
                <w:rFonts w:ascii="Arial" w:cs="Arial" w:eastAsia="Arial" w:hAnsi="Arial"/>
                <w:sz w:val="18"/>
                <w:szCs w:val="18"/>
                <w:color w:val="auto"/>
              </w:rPr>
              <w:t>Total investments available for sale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2,793,350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10,846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(44,130)</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2,760,066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220" w:type="dxa"/>
        <w:tblCellMar>
          <w:top w:w="0" w:type="dxa"/>
          <w:left w:w="0" w:type="dxa"/>
          <w:bottom w:w="0" w:type="dxa"/>
          <w:right w:w="0" w:type="dxa"/>
        </w:tblCellMar>
      </w:tblPr>
      <w:tr>
        <w:trPr>
          <w:trHeight w:val="186"/>
        </w:trPr>
        <w:tc>
          <w:tcPr>
            <w:tcW w:w="480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ind w:left="200"/>
              <w:spacing w:after="0"/>
              <w:rPr>
                <w:sz w:val="20"/>
                <w:szCs w:val="20"/>
                <w:color w:val="auto"/>
              </w:rPr>
            </w:pPr>
            <w:r>
              <w:rPr>
                <w:rFonts w:ascii="Arial" w:cs="Arial" w:eastAsia="Arial" w:hAnsi="Arial"/>
                <w:sz w:val="14"/>
                <w:szCs w:val="14"/>
                <w:b w:val="1"/>
                <w:bCs w:val="1"/>
                <w:color w:val="auto"/>
              </w:rPr>
              <w:t>September 30,</w:t>
            </w:r>
          </w:p>
        </w:tc>
        <w:tc>
          <w:tcPr>
            <w:tcW w:w="1280" w:type="dxa"/>
            <w:vAlign w:val="bottom"/>
          </w:tcPr>
          <w:p>
            <w:pPr>
              <w:jc w:val="right"/>
              <w:ind w:right="13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76"/>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(1) The following table summarizes municipal debt securities as of :</w:t>
            </w:r>
          </w:p>
        </w:tc>
        <w:tc>
          <w:tcPr>
            <w:tcW w:w="34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Special revenue bonds</w:t>
            </w:r>
          </w:p>
        </w:tc>
        <w:tc>
          <w:tcPr>
            <w:tcW w:w="4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General obligation bonds</w:t>
            </w:r>
          </w:p>
        </w:tc>
        <w:tc>
          <w:tcPr>
            <w:tcW w:w="4800" w:type="dxa"/>
            <w:vAlign w:val="bottom"/>
            <w:gridSpan w:val="3"/>
          </w:tcPr>
          <w:p>
            <w:pPr>
              <w:jc w:val="right"/>
              <w:ind w:right="99"/>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Certificate of participation bonds</w:t>
            </w:r>
          </w:p>
        </w:tc>
        <w:tc>
          <w:tcPr>
            <w:tcW w:w="480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Tax allocation bonds</w:t>
            </w:r>
          </w:p>
        </w:tc>
        <w:tc>
          <w:tcPr>
            <w:tcW w:w="4800" w:type="dxa"/>
            <w:vAlign w:val="bottom"/>
            <w:gridSpan w:val="3"/>
          </w:tcPr>
          <w:p>
            <w:pPr>
              <w:jc w:val="right"/>
              <w:ind w:right="99"/>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Special tax bonds</w:t>
            </w:r>
          </w:p>
        </w:tc>
        <w:tc>
          <w:tcPr>
            <w:tcW w:w="3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57"/>
        </w:trPr>
        <w:tc>
          <w:tcPr>
            <w:tcW w:w="4800" w:type="dxa"/>
            <w:vAlign w:val="bottom"/>
          </w:tcPr>
          <w:p>
            <w:pPr>
              <w:ind w:left="160"/>
              <w:spacing w:after="0"/>
              <w:rPr>
                <w:sz w:val="20"/>
                <w:szCs w:val="20"/>
                <w:color w:val="auto"/>
              </w:rPr>
            </w:pPr>
            <w:r>
              <w:rPr>
                <w:rFonts w:ascii="Arial" w:cs="Arial" w:eastAsia="Arial" w:hAnsi="Arial"/>
                <w:sz w:val="18"/>
                <w:szCs w:val="18"/>
                <w:color w:val="auto"/>
              </w:rPr>
              <w:t>Total</w:t>
            </w:r>
          </w:p>
        </w:tc>
        <w:tc>
          <w:tcPr>
            <w:tcW w:w="3520" w:type="dxa"/>
            <w:vAlign w:val="bottom"/>
            <w:gridSpan w:val="2"/>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3420" w:type="dxa"/>
            <w:vAlign w:val="bottom"/>
            <w:vMerge w:val="restart"/>
          </w:tcPr>
          <w:p>
            <w:pPr>
              <w:jc w:val="right"/>
              <w:ind w:right="259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80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220" w:type="dxa"/>
        <w:tblCellMar>
          <w:top w:w="0" w:type="dxa"/>
          <w:left w:w="0" w:type="dxa"/>
          <w:bottom w:w="0" w:type="dxa"/>
          <w:right w:w="0" w:type="dxa"/>
        </w:tblCellMar>
      </w:tblPr>
      <w:tr>
        <w:trPr>
          <w:trHeight w:val="186"/>
        </w:trPr>
        <w:tc>
          <w:tcPr>
            <w:tcW w:w="480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ind w:left="200"/>
              <w:spacing w:after="0"/>
              <w:rPr>
                <w:sz w:val="20"/>
                <w:szCs w:val="20"/>
                <w:color w:val="auto"/>
              </w:rPr>
            </w:pPr>
            <w:r>
              <w:rPr>
                <w:rFonts w:ascii="Arial" w:cs="Arial" w:eastAsia="Arial" w:hAnsi="Arial"/>
                <w:sz w:val="14"/>
                <w:szCs w:val="14"/>
                <w:b w:val="1"/>
                <w:bCs w:val="1"/>
                <w:color w:val="auto"/>
              </w:rPr>
              <w:t>September 30,</w:t>
            </w:r>
          </w:p>
        </w:tc>
        <w:tc>
          <w:tcPr>
            <w:tcW w:w="1280" w:type="dxa"/>
            <w:vAlign w:val="bottom"/>
          </w:tcPr>
          <w:p>
            <w:pPr>
              <w:jc w:val="right"/>
              <w:ind w:right="13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76"/>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 The following table summarizes corporate debt securities as of :</w:t>
            </w:r>
          </w:p>
        </w:tc>
        <w:tc>
          <w:tcPr>
            <w:tcW w:w="34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Financial</w:t>
            </w:r>
          </w:p>
        </w:tc>
        <w:tc>
          <w:tcPr>
            <w:tcW w:w="4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Consumer, non-cyclical</w:t>
            </w:r>
          </w:p>
        </w:tc>
        <w:tc>
          <w:tcPr>
            <w:tcW w:w="4800" w:type="dxa"/>
            <w:vAlign w:val="bottom"/>
            <w:gridSpan w:val="3"/>
          </w:tcPr>
          <w:p>
            <w:pPr>
              <w:jc w:val="right"/>
              <w:ind w:right="99"/>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Communications</w:t>
            </w:r>
          </w:p>
        </w:tc>
        <w:tc>
          <w:tcPr>
            <w:tcW w:w="480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Energy</w:t>
            </w:r>
          </w:p>
        </w:tc>
        <w:tc>
          <w:tcPr>
            <w:tcW w:w="4800" w:type="dxa"/>
            <w:vAlign w:val="bottom"/>
            <w:gridSpan w:val="3"/>
          </w:tcPr>
          <w:p>
            <w:pPr>
              <w:jc w:val="right"/>
              <w:ind w:right="99"/>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Consumer, cyclical</w:t>
            </w:r>
          </w:p>
        </w:tc>
        <w:tc>
          <w:tcPr>
            <w:tcW w:w="480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Utilities</w:t>
            </w:r>
          </w:p>
        </w:tc>
        <w:tc>
          <w:tcPr>
            <w:tcW w:w="4800" w:type="dxa"/>
            <w:vAlign w:val="bottom"/>
            <w:gridSpan w:val="3"/>
          </w:tcPr>
          <w:p>
            <w:pPr>
              <w:jc w:val="right"/>
              <w:ind w:right="99"/>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480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Technology</w:t>
            </w:r>
          </w:p>
        </w:tc>
        <w:tc>
          <w:tcPr>
            <w:tcW w:w="4800" w:type="dxa"/>
            <w:vAlign w:val="bottom"/>
            <w:gridSpan w:val="3"/>
          </w:tcPr>
          <w:p>
            <w:pPr>
              <w:jc w:val="right"/>
              <w:ind w:right="99"/>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materials</w:t>
            </w:r>
          </w:p>
        </w:tc>
        <w:tc>
          <w:tcPr>
            <w:tcW w:w="3520" w:type="dxa"/>
            <w:vAlign w:val="bottom"/>
            <w:tcBorders>
              <w:bottom w:val="single" w:sz="8" w:color="CCEEFF"/>
            </w:tcBorders>
            <w:gridSpan w:val="2"/>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57"/>
        </w:trPr>
        <w:tc>
          <w:tcPr>
            <w:tcW w:w="4800" w:type="dxa"/>
            <w:vAlign w:val="bottom"/>
          </w:tcPr>
          <w:p>
            <w:pPr>
              <w:ind w:left="160"/>
              <w:spacing w:after="0"/>
              <w:rPr>
                <w:sz w:val="20"/>
                <w:szCs w:val="20"/>
                <w:color w:val="auto"/>
              </w:rPr>
            </w:pPr>
            <w:r>
              <w:rPr>
                <w:rFonts w:ascii="Arial" w:cs="Arial" w:eastAsia="Arial" w:hAnsi="Arial"/>
                <w:sz w:val="18"/>
                <w:szCs w:val="18"/>
                <w:color w:val="auto"/>
              </w:rPr>
              <w:t>Total</w:t>
            </w:r>
          </w:p>
        </w:tc>
        <w:tc>
          <w:tcPr>
            <w:tcW w:w="3520" w:type="dxa"/>
            <w:vAlign w:val="bottom"/>
            <w:gridSpan w:val="2"/>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3420" w:type="dxa"/>
            <w:vAlign w:val="bottom"/>
            <w:vMerge w:val="restart"/>
          </w:tcPr>
          <w:p>
            <w:pPr>
              <w:jc w:val="right"/>
              <w:ind w:right="259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80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125" w:right="4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The amortized cost and fair value of investments available for sale at September 30, 2019, by contractual maturity, are shown below. Expected maturities will differ from contractual maturities because borrowers may have the right to call or prepay obligations with or without call or prepayment penalties. Because most U.S. agency mortgage-backed securities, residential and commercial mortgage securities and asset-backed securities provide for periodic payments throughout their lives, they are listed below in separate categories.</w:t>
      </w:r>
    </w:p>
    <w:p>
      <w:pPr>
        <w:spacing w:after="0" w:line="32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4"/>
                <w:szCs w:val="14"/>
                <w:color w:val="auto"/>
              </w:rPr>
            </w:pPr>
          </w:p>
        </w:tc>
        <w:tc>
          <w:tcPr>
            <w:tcW w:w="380" w:type="dxa"/>
            <w:vAlign w:val="bottom"/>
          </w:tcPr>
          <w:p>
            <w:pPr>
              <w:spacing w:after="0"/>
              <w:rPr>
                <w:sz w:val="14"/>
                <w:szCs w:val="14"/>
                <w:color w:val="auto"/>
              </w:rPr>
            </w:pPr>
          </w:p>
        </w:tc>
        <w:tc>
          <w:tcPr>
            <w:tcW w:w="1660" w:type="dxa"/>
            <w:vAlign w:val="bottom"/>
            <w:gridSpan w:val="2"/>
          </w:tcPr>
          <w:p>
            <w:pPr>
              <w:ind w:left="260"/>
              <w:spacing w:after="0"/>
              <w:rPr>
                <w:sz w:val="20"/>
                <w:szCs w:val="20"/>
                <w:color w:val="auto"/>
              </w:rPr>
            </w:pPr>
            <w:r>
              <w:rPr>
                <w:rFonts w:ascii="Arial" w:cs="Arial" w:eastAsia="Arial" w:hAnsi="Arial"/>
                <w:sz w:val="14"/>
                <w:szCs w:val="14"/>
                <w:b w:val="1"/>
                <w:bCs w:val="1"/>
                <w:color w:val="auto"/>
              </w:rPr>
              <w:t>Amortized</w:t>
            </w:r>
          </w:p>
        </w:tc>
        <w:tc>
          <w:tcPr>
            <w:tcW w:w="440" w:type="dxa"/>
            <w:vAlign w:val="bottom"/>
          </w:tcPr>
          <w:p>
            <w:pPr>
              <w:spacing w:after="0"/>
              <w:rPr>
                <w:sz w:val="14"/>
                <w:szCs w:val="14"/>
                <w:color w:val="auto"/>
              </w:rPr>
            </w:pPr>
          </w:p>
        </w:tc>
        <w:tc>
          <w:tcPr>
            <w:tcW w:w="1480" w:type="dxa"/>
            <w:vAlign w:val="bottom"/>
          </w:tcPr>
          <w:p>
            <w:pPr>
              <w:jc w:val="right"/>
              <w:ind w:right="731"/>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7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35,895</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35,815</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152,282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155,111</w:t>
            </w: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after 5 but within 10 years</w:t>
            </w:r>
          </w:p>
        </w:tc>
        <w:tc>
          <w:tcPr>
            <w:tcW w:w="3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78,152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80,433</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Subtotal</w:t>
            </w:r>
          </w:p>
        </w:tc>
        <w:tc>
          <w:tcPr>
            <w:tcW w:w="3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266,329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271,359</w:t>
            </w:r>
          </w:p>
        </w:tc>
        <w:tc>
          <w:tcPr>
            <w:tcW w:w="0" w:type="dxa"/>
            <w:vAlign w:val="bottom"/>
          </w:tcPr>
          <w:p>
            <w:pPr>
              <w:spacing w:after="0"/>
              <w:rPr>
                <w:sz w:val="1"/>
                <w:szCs w:val="1"/>
                <w:color w:val="auto"/>
              </w:rPr>
            </w:pPr>
          </w:p>
        </w:tc>
      </w:tr>
      <w:tr>
        <w:trPr>
          <w:trHeight w:val="223"/>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U.S. agency securities:</w:t>
            </w:r>
          </w:p>
        </w:tc>
        <w:tc>
          <w:tcPr>
            <w:tcW w:w="3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19,187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19,119</w:t>
            </w: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14,439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14,425</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Subtotal</w:t>
            </w:r>
          </w:p>
        </w:tc>
        <w:tc>
          <w:tcPr>
            <w:tcW w:w="3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33,626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33,544</w:t>
            </w:r>
          </w:p>
        </w:tc>
        <w:tc>
          <w:tcPr>
            <w:tcW w:w="0" w:type="dxa"/>
            <w:vAlign w:val="bottom"/>
          </w:tcPr>
          <w:p>
            <w:pPr>
              <w:spacing w:after="0"/>
              <w:rPr>
                <w:sz w:val="1"/>
                <w:szCs w:val="1"/>
                <w:color w:val="auto"/>
              </w:rPr>
            </w:pPr>
          </w:p>
        </w:tc>
      </w:tr>
      <w:tr>
        <w:trPr>
          <w:trHeight w:val="223"/>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Municipal debt securities:</w:t>
            </w:r>
          </w:p>
        </w:tc>
        <w:tc>
          <w:tcPr>
            <w:tcW w:w="3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19,681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20,415</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5 but within 10 years</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176,809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187,511</w:t>
            </w: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after 10 years</w:t>
            </w:r>
          </w:p>
        </w:tc>
        <w:tc>
          <w:tcPr>
            <w:tcW w:w="3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142,546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154,213</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Subtotal</w:t>
            </w:r>
          </w:p>
        </w:tc>
        <w:tc>
          <w:tcPr>
            <w:tcW w:w="3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341,036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364,140</w:t>
            </w:r>
          </w:p>
        </w:tc>
        <w:tc>
          <w:tcPr>
            <w:tcW w:w="0" w:type="dxa"/>
            <w:vAlign w:val="bottom"/>
          </w:tcPr>
          <w:p>
            <w:pPr>
              <w:spacing w:after="0"/>
              <w:rPr>
                <w:sz w:val="1"/>
                <w:szCs w:val="1"/>
                <w:color w:val="auto"/>
              </w:rPr>
            </w:pPr>
          </w:p>
        </w:tc>
      </w:tr>
      <w:tr>
        <w:trPr>
          <w:trHeight w:val="223"/>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Non-U.S. government securities:</w:t>
            </w:r>
          </w:p>
        </w:tc>
        <w:tc>
          <w:tcPr>
            <w:tcW w:w="3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19,838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20,700</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5 but within 10 years</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25,897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27,971</w:t>
            </w: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after 10 years</w:t>
            </w:r>
          </w:p>
        </w:tc>
        <w:tc>
          <w:tcPr>
            <w:tcW w:w="3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1,226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Subtotal</w:t>
            </w:r>
          </w:p>
        </w:tc>
        <w:tc>
          <w:tcPr>
            <w:tcW w:w="3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46,961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49,935</w:t>
            </w:r>
          </w:p>
        </w:tc>
        <w:tc>
          <w:tcPr>
            <w:tcW w:w="0" w:type="dxa"/>
            <w:vAlign w:val="bottom"/>
          </w:tcPr>
          <w:p>
            <w:pPr>
              <w:spacing w:after="0"/>
              <w:rPr>
                <w:sz w:val="1"/>
                <w:szCs w:val="1"/>
                <w:color w:val="auto"/>
              </w:rPr>
            </w:pPr>
          </w:p>
        </w:tc>
      </w:tr>
      <w:tr>
        <w:trPr>
          <w:trHeight w:val="223"/>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Corporate debt securities:</w:t>
            </w:r>
          </w:p>
        </w:tc>
        <w:tc>
          <w:tcPr>
            <w:tcW w:w="3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131,346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131,506</w:t>
            </w: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402,210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411,088</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5 but within 10 years</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247,608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261,718</w:t>
            </w: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after 10 years</w:t>
            </w:r>
          </w:p>
        </w:tc>
        <w:tc>
          <w:tcPr>
            <w:tcW w:w="3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20,029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20,320</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Subtotal</w:t>
            </w:r>
          </w:p>
        </w:tc>
        <w:tc>
          <w:tcPr>
            <w:tcW w:w="3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801,193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824,632</w:t>
            </w:r>
          </w:p>
        </w:tc>
        <w:tc>
          <w:tcPr>
            <w:tcW w:w="0" w:type="dxa"/>
            <w:vAlign w:val="bottom"/>
          </w:tcPr>
          <w:p>
            <w:pPr>
              <w:spacing w:after="0"/>
              <w:rPr>
                <w:sz w:val="1"/>
                <w:szCs w:val="1"/>
                <w:color w:val="auto"/>
              </w:rPr>
            </w:pPr>
          </w:p>
        </w:tc>
      </w:tr>
      <w:tr>
        <w:trPr>
          <w:trHeight w:val="237"/>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U.S. agency mortgage-backed securities</w:t>
            </w:r>
          </w:p>
        </w:tc>
        <w:tc>
          <w:tcPr>
            <w:tcW w:w="3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815,276</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829,748</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Residential and commercial mortgage securities</w:t>
            </w:r>
          </w:p>
        </w:tc>
        <w:tc>
          <w:tcPr>
            <w:tcW w:w="3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276,092</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283,790</w:t>
            </w:r>
          </w:p>
        </w:tc>
        <w:tc>
          <w:tcPr>
            <w:tcW w:w="0" w:type="dxa"/>
            <w:vAlign w:val="bottom"/>
          </w:tcPr>
          <w:p>
            <w:pPr>
              <w:spacing w:after="0"/>
              <w:rPr>
                <w:sz w:val="1"/>
                <w:szCs w:val="1"/>
                <w:color w:val="auto"/>
              </w:rPr>
            </w:pPr>
          </w:p>
        </w:tc>
      </w:tr>
      <w:tr>
        <w:trPr>
          <w:trHeight w:val="237"/>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Asset-backed securities</w:t>
            </w:r>
          </w:p>
        </w:tc>
        <w:tc>
          <w:tcPr>
            <w:tcW w:w="3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325,415</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324,861</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3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252,602</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252,604</w:t>
            </w:r>
          </w:p>
        </w:tc>
        <w:tc>
          <w:tcPr>
            <w:tcW w:w="0" w:type="dxa"/>
            <w:vAlign w:val="bottom"/>
          </w:tcPr>
          <w:p>
            <w:pPr>
              <w:spacing w:after="0"/>
              <w:rPr>
                <w:sz w:val="1"/>
                <w:szCs w:val="1"/>
                <w:color w:val="auto"/>
              </w:rPr>
            </w:pPr>
          </w:p>
        </w:tc>
      </w:tr>
      <w:tr>
        <w:trPr>
          <w:trHeight w:val="237"/>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Total investments available for sale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3,158,530</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3,234,613</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gains and losses realized on the sale of investments available for sale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Realized gross gains</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1,326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574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3,920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1,883</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Realized gross losses</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723</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investments available for sale in an unrealized loss position and the related unrealized losses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515"/>
              <w:spacing w:after="0"/>
              <w:rPr>
                <w:sz w:val="20"/>
                <w:szCs w:val="20"/>
                <w:color w:val="auto"/>
              </w:rPr>
            </w:pPr>
            <w:r>
              <w:rPr>
                <w:rFonts w:ascii="Arial" w:cs="Arial" w:eastAsia="Arial" w:hAnsi="Arial"/>
                <w:sz w:val="14"/>
                <w:szCs w:val="14"/>
                <w:b w:val="1"/>
                <w:bCs w:val="1"/>
                <w:color w:val="auto"/>
              </w:rPr>
              <w:t>12 months or more</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3"/>
                <w:szCs w:val="13"/>
                <w:color w:val="auto"/>
              </w:rPr>
            </w:pPr>
          </w:p>
        </w:tc>
        <w:tc>
          <w:tcPr>
            <w:tcW w:w="9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3"/>
                <w:szCs w:val="13"/>
                <w:color w:val="auto"/>
              </w:rPr>
            </w:pPr>
          </w:p>
        </w:tc>
        <w:tc>
          <w:tcPr>
            <w:tcW w:w="820" w:type="dxa"/>
            <w:vAlign w:val="bottom"/>
            <w:vMerge w:val="restart"/>
          </w:tcPr>
          <w:p>
            <w:pPr>
              <w:jc w:val="center"/>
              <w:ind w:right="33"/>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75"/>
              <w:spacing w:after="0" w:line="15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3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September 30, 2019 (In thousands)</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25,953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60,133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86,086</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U.S. agency securities</w:t>
            </w:r>
          </w:p>
        </w:tc>
        <w:tc>
          <w:tcPr>
            <w:tcW w:w="26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27,438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27,438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72,811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150,037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222,848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Municipal debt securities</w:t>
            </w:r>
          </w:p>
        </w:tc>
        <w:tc>
          <w:tcPr>
            <w:tcW w:w="26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7,608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8,332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40,165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46,756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86,921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Residential and commercial mortgage securities</w:t>
            </w:r>
          </w:p>
        </w:tc>
        <w:tc>
          <w:tcPr>
            <w:tcW w:w="26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65,473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5,342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70,815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95,967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90,895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186,862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0" w:type="dxa"/>
            <w:vAlign w:val="bottom"/>
          </w:tcPr>
          <w:p>
            <w:pPr>
              <w:spacing w:after="0"/>
              <w:rPr>
                <w:sz w:val="1"/>
                <w:szCs w:val="1"/>
                <w:color w:val="auto"/>
              </w:rPr>
            </w:pPr>
          </w:p>
        </w:tc>
      </w:tr>
      <w:tr>
        <w:trPr>
          <w:trHeight w:val="237"/>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307,977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381,325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689,302</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515"/>
              <w:spacing w:after="0"/>
              <w:rPr>
                <w:sz w:val="20"/>
                <w:szCs w:val="20"/>
                <w:color w:val="auto"/>
              </w:rPr>
            </w:pPr>
            <w:r>
              <w:rPr>
                <w:rFonts w:ascii="Arial" w:cs="Arial" w:eastAsia="Arial" w:hAnsi="Arial"/>
                <w:sz w:val="14"/>
                <w:szCs w:val="14"/>
                <w:b w:val="1"/>
                <w:bCs w:val="1"/>
                <w:color w:val="auto"/>
              </w:rPr>
              <w:t>12 months or more</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3"/>
                <w:szCs w:val="13"/>
                <w:color w:val="auto"/>
              </w:rPr>
            </w:pPr>
          </w:p>
        </w:tc>
        <w:tc>
          <w:tcPr>
            <w:tcW w:w="9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3"/>
                <w:szCs w:val="13"/>
                <w:color w:val="auto"/>
              </w:rPr>
            </w:pPr>
          </w:p>
        </w:tc>
        <w:tc>
          <w:tcPr>
            <w:tcW w:w="820" w:type="dxa"/>
            <w:vAlign w:val="bottom"/>
            <w:vMerge w:val="restart"/>
          </w:tcPr>
          <w:p>
            <w:pPr>
              <w:jc w:val="center"/>
              <w:ind w:right="33"/>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75"/>
              <w:spacing w:after="0" w:line="15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3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2018 (In thousands)</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45,505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165,015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210,520</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(5,946)</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U.S. agency securities</w:t>
            </w:r>
          </w:p>
        </w:tc>
        <w:tc>
          <w:tcPr>
            <w:tcW w:w="26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32,997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32,997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7"/>
        </w:trPr>
        <w:tc>
          <w:tcPr>
            <w:tcW w:w="40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106,177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341,579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447,756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(14,570)</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Municipal debt securities</w:t>
            </w:r>
          </w:p>
        </w:tc>
        <w:tc>
          <w:tcPr>
            <w:tcW w:w="26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114,442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104,930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219,372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(3,019)</w:t>
            </w:r>
          </w:p>
        </w:tc>
        <w:tc>
          <w:tcPr>
            <w:tcW w:w="0" w:type="dxa"/>
            <w:vAlign w:val="bottom"/>
          </w:tcPr>
          <w:p>
            <w:pPr>
              <w:spacing w:after="0"/>
              <w:rPr>
                <w:sz w:val="1"/>
                <w:szCs w:val="1"/>
                <w:color w:val="auto"/>
              </w:rPr>
            </w:pPr>
          </w:p>
        </w:tc>
      </w:tr>
      <w:tr>
        <w:trPr>
          <w:trHeight w:val="27"/>
        </w:trPr>
        <w:tc>
          <w:tcPr>
            <w:tcW w:w="40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Non-U.S. government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13,497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13,497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Corporate debt securities</w:t>
            </w:r>
          </w:p>
        </w:tc>
        <w:tc>
          <w:tcPr>
            <w:tcW w:w="26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381,912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231,124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613,036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(14,768)</w:t>
            </w:r>
          </w:p>
        </w:tc>
        <w:tc>
          <w:tcPr>
            <w:tcW w:w="0" w:type="dxa"/>
            <w:vAlign w:val="bottom"/>
          </w:tcPr>
          <w:p>
            <w:pPr>
              <w:spacing w:after="0"/>
              <w:rPr>
                <w:sz w:val="1"/>
                <w:szCs w:val="1"/>
                <w:color w:val="auto"/>
              </w:rPr>
            </w:pPr>
          </w:p>
        </w:tc>
      </w:tr>
      <w:tr>
        <w:trPr>
          <w:trHeight w:val="27"/>
        </w:trPr>
        <w:tc>
          <w:tcPr>
            <w:tcW w:w="40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Residential and commercial mortgage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51,477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13,321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64,798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217,546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29,852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247,398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(3,679)</w:t>
            </w: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930,556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(14,097)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918,818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(30,033)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1,849,374</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(44,130)</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gross unrealized losses on these investment securities are principally associated with the changes in market interest rates as well as changes in credit spreads subsequent to their purchase. Each issuer is current on its scheduled interest and principal payments. We assess our intent to sell these securities and whether we will be required to sell these securities before the recovery of their amortized cost basis when determining whether an impairment is other-than-temporary. We recorded an other-than-temporary impairment of $0.1 million in the nine months ended September 30, 2019 on securities in an unrealized loss position. The impairment resulted from our intent to sell the security subsequent to the reporting date. There were no other-than-temporary impairments in each of the three and nine months ended September 30, 2018.</w:t>
      </w:r>
    </w:p>
    <w:p>
      <w:pPr>
        <w:spacing w:after="0" w:line="178"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The Company's other invested assets at September 30, 2019 and December 31, 2018 totaled $75.3 million and $31.0 million, respectively. Other invested assets are comprised of limited partnership interests which are accounted for under the equity method of accounting with changes in value reported in other income. Due to the timing of receiving financial information from these partnerships, the results are generally reported on a one month or quarter lag.</w:t>
      </w:r>
    </w:p>
    <w:p>
      <w:pPr>
        <w:spacing w:after="0" w:line="147"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fair value of investments deposited with insurance regulatory authorities to meet statutory requirements was $9.5 million at September 30, 2019 and $8.9 million at December 31, 2018. In connection with its insurance and reinsurance activities, Essent Re is required to maintain assets in trusts for the benefit of its contractual counterparties. The fair value of the investments on deposit in these trusts was $745.3 million at September 30, 2019 and $759.9 million at December 31, 2018. Essent Guaranty is required to maintain assets on deposit in connection with its fully collateralized reinsurance agreements (see Note 4). The fair value of the assets on deposit was $6.4 million at September 30, 2019 and $3.4 million at December 31, 2018. Essent Guaranty is also required to maintain assets on deposit for the benefit of the sponsor of a fixed income investment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commitment. The fair value of the assets on deposit was $6.4 million at September 30, 2019 and $6.3 million at December 31, 2018.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investment income consists of:</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maturities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20,710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60,633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44,615</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1,365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3,733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2,959</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investment income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22,075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64,366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47,574</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Investment expenses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(2,080)</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21,104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16,646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61,565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45,494</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Reinsurance</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the ordinary course of business, our insurance subsidiaries may use reinsurance to provide protection against adverse loss experience and to expand our capital sources. Reinsurance recoverables are recorded as assets, predicated on a reinsurer's ability to meet their obligations under the reinsurance agreements. If the reinsurers are unable to satisfy their obligations under the agreements, our insurance subsidiaries would be liable for such defaulted amounts.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effect of reinsurance on net premiums written and earned is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premiums written: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Direct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208,567</w:t>
            </w:r>
          </w:p>
        </w:tc>
        <w:tc>
          <w:tcPr>
            <w:tcW w:w="12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178,379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589,081</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515,887</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Ceded (1)</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(10,263)</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(24,729)</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(7,037)</w:t>
            </w:r>
          </w:p>
        </w:tc>
      </w:tr>
      <w:tr>
        <w:trPr>
          <w:trHeight w:val="297"/>
        </w:trPr>
        <w:tc>
          <w:tcPr>
            <w:tcW w:w="516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Net premiums written</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198,304</w:t>
            </w:r>
          </w:p>
        </w:tc>
        <w:tc>
          <w:tcPr>
            <w:tcW w:w="12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175,221</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564,352</w:t>
            </w:r>
          </w:p>
        </w:tc>
        <w:tc>
          <w:tcPr>
            <w:tcW w:w="10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508,850</w:t>
            </w:r>
          </w:p>
        </w:tc>
      </w:tr>
      <w:tr>
        <w:trPr>
          <w:trHeight w:val="311"/>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Net premiums earned:</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213,736</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169,833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594,483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483,228</w:t>
            </w: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Ceded (1)</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(10,263)</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(24,729)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(7,037)</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premiums earned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203,473</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166,675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569,754</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476,191</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Net of profit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4065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Quota Share Reinsurance</w:t>
      </w:r>
    </w:p>
    <w:p>
      <w:pPr>
        <w:spacing w:after="0" w:line="229"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Effective September 1, 2019, Essent Guaranty entered into a quota share reinsurance agreement with a panel of third-party reinsurers (the "QSR Agreement"). Each of the third-party reinsurers has an insurer financial strength rating of A or better by S&amp;P Global Ratings, A.M. Best or both. Under the QSR Agreement, Essent Guaranty will cede premiums earned related to 40% of risk on eligible single premium policies and 20% of risk on all other eligible policies written September 1, 2019 through December 31, 2020, in exchange for reimbursement of ceded claims and claims expenses on covered policies, a 20% ceding commission, and a profit commission of up to 60% that varies directly and inversely with ceded claims. The QSR Agreement is scheduled to terminate on December 31, 2030. Essent Guaranty has certain termination rights under the QSR Agreement, including the option to terminate the QSR Agreement with no termination fee on December 31, 2021, and the option, subject to a termination fee, to terminate the QSR Agreement on December 31, 2022, or annually thereafter. Should Essent Guaranty not exercise its option to terminate the QSR Agreement on December 31, 2021, the maximum profit commission that Essent Guaranty could earn would increase to 63% in 2022 and thereafter. RIF ceded under the QSR Agreement was $320 million as of September 30, 2019.</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Excess of Loss Reinsurance</w:t>
      </w:r>
    </w:p>
    <w:p>
      <w:pPr>
        <w:spacing w:after="0" w:line="229"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Essent Guaranty has entered into fully collateralized reinsurance agreements with unaffiliated special purpose insurers domiciled in Bermuda ("Radnor Re Transactions"). For the reinsurance coverage periods, Essent Guaranty and its affiliates retain the first layer of the respective aggregate losses, and a Radnor Re special purpose insurer will then provide second layer coverage up to the outstanding reinsurance coverage amount. Essent Guaranty and its affiliates retain losses in excess of the outstanding reinsurance coverage amount. The reinsurance premium due to each Radnor Re special purpose insurer is calculated by multiplying the outstanding reinsurance coverage amount at the beginning of a period by a coupon rate, which is the sum of one-month LIBOR plus a risk margin, and then subtracting actual investment income collected on the assets in the related reinsurance trust during that period. The aggregate excess of loss reinsurance coverage decreases over a ten-year period as the underlying covered mortgages amortize. Essent Guaranty has rights to terminate the Radnor Re Transactions. The Radnor Re entities collateralized the coverage by issuing mortgage insurance-linked notes ("ILNs") in an aggregate amount equal to the initial coverage to unaffiliated investors. The notes have ten-year legal maturities and are non-recourse to any assets of Essent Guaranty or its affiliates. The proceeds of the notes were deposited into reinsurance trusts for the benefit of Essent Guaranty and will be the source of reinsurance claim payments to Essent Guaranty and principal repayments on the ILNs.</w:t>
      </w:r>
    </w:p>
    <w:p>
      <w:pPr>
        <w:spacing w:after="0" w:line="183"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Essent Guaranty has also entered into reinsurance agreements with panels of reinsurers that provide aggregate excess of loss coverage immediately above or pari-passu to the coverage provided by the Radnor Re Transactions. The aggregate excess of loss reinsurance coverage decreases over a ten-year period as the underlying covered mortgages amortize. Essent Guaranty has rights to terminate these reinsurance agreements.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summarizes Essent Guaranty's excess of loss reinsurance agreements as of September 30, 2019:</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8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Vintage Year</w:t>
            </w:r>
          </w:p>
        </w:tc>
        <w:tc>
          <w:tcPr>
            <w:tcW w:w="120" w:type="dxa"/>
            <w:vAlign w:val="bottom"/>
            <w:tcBorders>
              <w:bottom w:val="single" w:sz="8" w:color="CCEEFF"/>
            </w:tcBorders>
          </w:tcPr>
          <w:p>
            <w:pPr>
              <w:spacing w:after="0"/>
              <w:rPr>
                <w:sz w:val="16"/>
                <w:szCs w:val="16"/>
                <w:color w:val="auto"/>
              </w:rPr>
            </w:pPr>
          </w:p>
        </w:tc>
        <w:tc>
          <w:tcPr>
            <w:tcW w:w="2860" w:type="dxa"/>
            <w:vAlign w:val="bottom"/>
            <w:tcBorders>
              <w:bottom w:val="single" w:sz="8" w:color="auto"/>
            </w:tcBorders>
          </w:tcPr>
          <w:p>
            <w:pPr>
              <w:ind w:left="1120"/>
              <w:spacing w:after="0"/>
              <w:rPr>
                <w:sz w:val="20"/>
                <w:szCs w:val="20"/>
                <w:color w:val="auto"/>
              </w:rPr>
            </w:pPr>
            <w:r>
              <w:rPr>
                <w:rFonts w:ascii="Arial" w:cs="Arial" w:eastAsia="Arial" w:hAnsi="Arial"/>
                <w:sz w:val="14"/>
                <w:szCs w:val="14"/>
                <w:b w:val="1"/>
                <w:bCs w:val="1"/>
                <w:color w:val="auto"/>
              </w:rPr>
              <w:t>Reinsurer</w:t>
            </w:r>
          </w:p>
        </w:tc>
        <w:tc>
          <w:tcPr>
            <w:tcW w:w="100" w:type="dxa"/>
            <w:vAlign w:val="bottom"/>
            <w:tcBorders>
              <w:bottom w:val="single" w:sz="8" w:color="CCEEFF"/>
            </w:tcBorders>
          </w:tcPr>
          <w:p>
            <w:pPr>
              <w:spacing w:after="0"/>
              <w:rPr>
                <w:sz w:val="16"/>
                <w:szCs w:val="16"/>
                <w:color w:val="auto"/>
              </w:rPr>
            </w:pP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Effective Date</w:t>
            </w:r>
          </w:p>
        </w:tc>
        <w:tc>
          <w:tcPr>
            <w:tcW w:w="100" w:type="dxa"/>
            <w:vAlign w:val="bottom"/>
            <w:tcBorders>
              <w:bottom w:val="single" w:sz="8" w:color="CCEEFF"/>
            </w:tcBorders>
          </w:tcPr>
          <w:p>
            <w:pPr>
              <w:spacing w:after="0"/>
              <w:rPr>
                <w:sz w:val="16"/>
                <w:szCs w:val="16"/>
                <w:color w:val="auto"/>
              </w:rPr>
            </w:pPr>
          </w:p>
        </w:tc>
        <w:tc>
          <w:tcPr>
            <w:tcW w:w="268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Optional Termination Date</w:t>
            </w:r>
          </w:p>
        </w:tc>
        <w:tc>
          <w:tcPr>
            <w:tcW w:w="620" w:type="dxa"/>
            <w:vAlign w:val="bottom"/>
            <w:tcBorders>
              <w:bottom w:val="single" w:sz="8" w:color="auto"/>
            </w:tcBorders>
          </w:tcPr>
          <w:p>
            <w:pPr>
              <w:spacing w:after="0"/>
              <w:rPr>
                <w:sz w:val="16"/>
                <w:szCs w:val="16"/>
                <w:color w:val="auto"/>
              </w:rPr>
            </w:pPr>
          </w:p>
        </w:tc>
      </w:tr>
      <w:tr>
        <w:trPr>
          <w:trHeight w:val="250"/>
        </w:trPr>
        <w:tc>
          <w:tcPr>
            <w:tcW w:w="2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2015 &amp; 2016</w:t>
            </w:r>
          </w:p>
        </w:tc>
        <w:tc>
          <w:tcPr>
            <w:tcW w:w="12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Radnor Re 2019-2 Ltd.</w:t>
            </w:r>
          </w:p>
        </w:tc>
        <w:tc>
          <w:tcPr>
            <w:tcW w:w="29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June 20, 2019</w:t>
            </w:r>
          </w:p>
        </w:tc>
        <w:tc>
          <w:tcPr>
            <w:tcW w:w="2680" w:type="dxa"/>
            <w:vAlign w:val="bottom"/>
            <w:tcBorders>
              <w:bottom w:val="single" w:sz="8" w:color="CCEEFF"/>
            </w:tcBorders>
            <w:shd w:val="clear" w:color="auto" w:fill="CCEEFF"/>
          </w:tcPr>
          <w:p>
            <w:pPr>
              <w:jc w:val="center"/>
              <w:ind w:left="93"/>
              <w:spacing w:after="0"/>
              <w:rPr>
                <w:sz w:val="20"/>
                <w:szCs w:val="20"/>
                <w:color w:val="auto"/>
              </w:rPr>
            </w:pPr>
            <w:r>
              <w:rPr>
                <w:rFonts w:ascii="Arial" w:cs="Arial" w:eastAsia="Arial" w:hAnsi="Arial"/>
                <w:sz w:val="18"/>
                <w:szCs w:val="18"/>
                <w:color w:val="auto"/>
                <w:w w:val="89"/>
              </w:rPr>
              <w:t>June 25, 2024</w:t>
            </w:r>
          </w:p>
        </w:tc>
        <w:tc>
          <w:tcPr>
            <w:tcW w:w="620" w:type="dxa"/>
            <w:vAlign w:val="bottom"/>
            <w:tcBorders>
              <w:bottom w:val="single" w:sz="8" w:color="CCEEFF"/>
            </w:tcBorders>
            <w:shd w:val="clear" w:color="auto" w:fill="CCEEFF"/>
          </w:tcPr>
          <w:p>
            <w:pPr>
              <w:spacing w:after="0"/>
              <w:rPr>
                <w:sz w:val="21"/>
                <w:szCs w:val="21"/>
                <w:color w:val="auto"/>
              </w:rPr>
            </w:pPr>
          </w:p>
        </w:tc>
      </w:tr>
      <w:tr>
        <w:trPr>
          <w:trHeight w:val="243"/>
        </w:trPr>
        <w:tc>
          <w:tcPr>
            <w:tcW w:w="208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21"/>
                <w:szCs w:val="21"/>
                <w:color w:val="auto"/>
              </w:rPr>
            </w:pP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Radnor Re 2018-1 Ltd.</w:t>
            </w:r>
          </w:p>
        </w:tc>
        <w:tc>
          <w:tcPr>
            <w:tcW w:w="29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March 22, 2018</w:t>
            </w:r>
          </w:p>
        </w:tc>
        <w:tc>
          <w:tcPr>
            <w:tcW w:w="2680" w:type="dxa"/>
            <w:vAlign w:val="bottom"/>
          </w:tcPr>
          <w:p>
            <w:pPr>
              <w:jc w:val="center"/>
              <w:ind w:left="93"/>
              <w:spacing w:after="0"/>
              <w:rPr>
                <w:sz w:val="20"/>
                <w:szCs w:val="20"/>
                <w:color w:val="auto"/>
              </w:rPr>
            </w:pPr>
            <w:r>
              <w:rPr>
                <w:rFonts w:ascii="Arial" w:cs="Arial" w:eastAsia="Arial" w:hAnsi="Arial"/>
                <w:sz w:val="18"/>
                <w:szCs w:val="18"/>
                <w:color w:val="auto"/>
                <w:w w:val="91"/>
              </w:rPr>
              <w:t>March 25, 2023</w:t>
            </w:r>
          </w:p>
        </w:tc>
        <w:tc>
          <w:tcPr>
            <w:tcW w:w="620" w:type="dxa"/>
            <w:vAlign w:val="bottom"/>
          </w:tcPr>
          <w:p>
            <w:pPr>
              <w:jc w:val="right"/>
              <w:ind w:right="110"/>
              <w:spacing w:after="0"/>
              <w:rPr>
                <w:sz w:val="20"/>
                <w:szCs w:val="20"/>
                <w:color w:val="auto"/>
              </w:rPr>
            </w:pPr>
            <w:r>
              <w:rPr>
                <w:rFonts w:ascii="Arial" w:cs="Arial" w:eastAsia="Arial" w:hAnsi="Arial"/>
                <w:sz w:val="18"/>
                <w:szCs w:val="18"/>
                <w:b w:val="1"/>
                <w:bCs w:val="1"/>
                <w:color w:val="auto"/>
              </w:rPr>
              <w:t>(1)</w:t>
            </w: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2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Panel of Reinsurers</w:t>
            </w:r>
          </w:p>
        </w:tc>
        <w:tc>
          <w:tcPr>
            <w:tcW w:w="29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November 1, 2018</w:t>
            </w:r>
          </w:p>
        </w:tc>
        <w:tc>
          <w:tcPr>
            <w:tcW w:w="2680" w:type="dxa"/>
            <w:vAlign w:val="bottom"/>
            <w:tcBorders>
              <w:bottom w:val="single" w:sz="8" w:color="CCEEFF"/>
            </w:tcBorders>
            <w:shd w:val="clear" w:color="auto" w:fill="CCEEFF"/>
          </w:tcPr>
          <w:p>
            <w:pPr>
              <w:jc w:val="center"/>
              <w:ind w:left="93"/>
              <w:spacing w:after="0"/>
              <w:rPr>
                <w:sz w:val="20"/>
                <w:szCs w:val="20"/>
                <w:color w:val="auto"/>
              </w:rPr>
            </w:pPr>
            <w:r>
              <w:rPr>
                <w:rFonts w:ascii="Arial" w:cs="Arial" w:eastAsia="Arial" w:hAnsi="Arial"/>
                <w:sz w:val="18"/>
                <w:szCs w:val="18"/>
                <w:color w:val="auto"/>
                <w:w w:val="91"/>
              </w:rPr>
              <w:t>October 1, 2023</w:t>
            </w:r>
          </w:p>
        </w:tc>
        <w:tc>
          <w:tcPr>
            <w:tcW w:w="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w:t>
            </w:r>
          </w:p>
        </w:tc>
      </w:tr>
      <w:tr>
        <w:trPr>
          <w:trHeight w:val="243"/>
        </w:trPr>
        <w:tc>
          <w:tcPr>
            <w:tcW w:w="208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1"/>
                <w:szCs w:val="21"/>
                <w:color w:val="auto"/>
              </w:rPr>
            </w:pP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Radnor Re 2019-1 Ltd.</w:t>
            </w:r>
          </w:p>
        </w:tc>
        <w:tc>
          <w:tcPr>
            <w:tcW w:w="29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February 28, 2019</w:t>
            </w:r>
          </w:p>
        </w:tc>
        <w:tc>
          <w:tcPr>
            <w:tcW w:w="2680" w:type="dxa"/>
            <w:vAlign w:val="bottom"/>
          </w:tcPr>
          <w:p>
            <w:pPr>
              <w:jc w:val="center"/>
              <w:ind w:left="93"/>
              <w:spacing w:after="0"/>
              <w:rPr>
                <w:sz w:val="20"/>
                <w:szCs w:val="20"/>
                <w:color w:val="auto"/>
              </w:rPr>
            </w:pPr>
            <w:r>
              <w:rPr>
                <w:rFonts w:ascii="Arial" w:cs="Arial" w:eastAsia="Arial" w:hAnsi="Arial"/>
                <w:sz w:val="18"/>
                <w:szCs w:val="18"/>
                <w:color w:val="auto"/>
                <w:w w:val="91"/>
              </w:rPr>
              <w:t>February 25, 2026</w:t>
            </w:r>
          </w:p>
        </w:tc>
        <w:tc>
          <w:tcPr>
            <w:tcW w:w="620" w:type="dxa"/>
            <w:vAlign w:val="bottom"/>
          </w:tcPr>
          <w:p>
            <w:pPr>
              <w:spacing w:after="0"/>
              <w:rPr>
                <w:sz w:val="21"/>
                <w:szCs w:val="21"/>
                <w:color w:val="auto"/>
              </w:rPr>
            </w:pP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43"/>
        </w:trPr>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shd w:val="clear" w:color="auto" w:fill="CCEEFF"/>
          </w:tcPr>
          <w:p>
            <w:pPr>
              <w:spacing w:after="0"/>
              <w:rPr>
                <w:sz w:val="21"/>
                <w:szCs w:val="21"/>
                <w:color w:val="auto"/>
              </w:rPr>
            </w:pP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Panel of Reinsurers</w:t>
            </w:r>
          </w:p>
        </w:tc>
        <w:tc>
          <w:tcPr>
            <w:tcW w:w="2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February 28, 2019</w:t>
            </w:r>
          </w:p>
        </w:tc>
        <w:tc>
          <w:tcPr>
            <w:tcW w:w="2680" w:type="dxa"/>
            <w:vAlign w:val="bottom"/>
            <w:shd w:val="clear" w:color="auto" w:fill="CCEEFF"/>
          </w:tcPr>
          <w:p>
            <w:pPr>
              <w:jc w:val="center"/>
              <w:ind w:left="93"/>
              <w:spacing w:after="0"/>
              <w:rPr>
                <w:sz w:val="20"/>
                <w:szCs w:val="20"/>
                <w:color w:val="auto"/>
              </w:rPr>
            </w:pPr>
            <w:r>
              <w:rPr>
                <w:rFonts w:ascii="Arial" w:cs="Arial" w:eastAsia="Arial" w:hAnsi="Arial"/>
                <w:sz w:val="18"/>
                <w:szCs w:val="18"/>
                <w:color w:val="auto"/>
                <w:w w:val="91"/>
              </w:rPr>
              <w:t>February 25, 2026</w:t>
            </w:r>
          </w:p>
        </w:tc>
        <w:tc>
          <w:tcPr>
            <w:tcW w:w="620" w:type="dxa"/>
            <w:vAlign w:val="bottom"/>
            <w:shd w:val="clear" w:color="auto" w:fill="CCEEFF"/>
          </w:tcPr>
          <w:p>
            <w:pPr>
              <w:spacing w:after="0"/>
              <w:rPr>
                <w:sz w:val="21"/>
                <w:szCs w:val="21"/>
                <w:color w:val="auto"/>
              </w:rPr>
            </w:pPr>
          </w:p>
        </w:tc>
      </w:tr>
      <w:tr>
        <w:trPr>
          <w:trHeight w:val="27"/>
        </w:trPr>
        <w:tc>
          <w:tcPr>
            <w:tcW w:w="2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left="660" w:right="18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reinsurance agreement is not terminated at the optional termination date, the risk margin component of the reinsurance premium increases by 50%.</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reinsurance agreement is not terminated at the optional termination date, the reinsurance premium increases by 50%.</w:t>
      </w:r>
    </w:p>
    <w:p>
      <w:pPr>
        <w:spacing w:after="0" w:line="21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following table summarizes Essent Guaranty's excess of loss reinsurance coverages and retentions as of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-678815</wp:posOffset>
            </wp:positionV>
            <wp:extent cx="14065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38"/>
              <w:spacing w:after="0"/>
              <w:rPr>
                <w:sz w:val="20"/>
                <w:szCs w:val="20"/>
                <w:color w:val="auto"/>
              </w:rPr>
            </w:pPr>
            <w:r>
              <w:rPr>
                <w:rFonts w:ascii="Arial" w:cs="Arial" w:eastAsia="Arial" w:hAnsi="Arial"/>
                <w:sz w:val="14"/>
                <w:szCs w:val="14"/>
                <w:b w:val="1"/>
                <w:bCs w:val="1"/>
                <w:color w:val="auto"/>
              </w:rPr>
              <w:t>Remaining</w:t>
            </w: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5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2"/>
          </w:tcPr>
          <w:p>
            <w:pPr>
              <w:jc w:val="right"/>
              <w:ind w:right="650"/>
              <w:spacing w:after="0"/>
              <w:rPr>
                <w:sz w:val="20"/>
                <w:szCs w:val="20"/>
                <w:color w:val="auto"/>
              </w:rPr>
            </w:pPr>
            <w:r>
              <w:rPr>
                <w:rFonts w:ascii="Arial" w:cs="Arial" w:eastAsia="Arial" w:hAnsi="Arial"/>
                <w:sz w:val="14"/>
                <w:szCs w:val="14"/>
                <w:b w:val="1"/>
                <w:bCs w:val="1"/>
                <w:color w:val="auto"/>
              </w:rPr>
              <w:t>Reinsurance in Force</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center"/>
              <w:ind w:right="400"/>
              <w:spacing w:after="0" w:line="139"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2"/>
                <w:szCs w:val="12"/>
                <w:color w:val="auto"/>
              </w:rPr>
            </w:pPr>
          </w:p>
        </w:tc>
        <w:tc>
          <w:tcPr>
            <w:tcW w:w="1340" w:type="dxa"/>
            <w:vAlign w:val="bottom"/>
            <w:gridSpan w:val="2"/>
          </w:tcPr>
          <w:p>
            <w:pPr>
              <w:jc w:val="center"/>
              <w:ind w:right="380"/>
              <w:spacing w:after="0" w:line="139" w:lineRule="exact"/>
              <w:rPr>
                <w:sz w:val="20"/>
                <w:szCs w:val="20"/>
                <w:color w:val="auto"/>
              </w:rPr>
            </w:pPr>
            <w:r>
              <w:rPr>
                <w:rFonts w:ascii="Arial" w:cs="Arial" w:eastAsia="Arial" w:hAnsi="Arial"/>
                <w:sz w:val="14"/>
                <w:szCs w:val="14"/>
                <w:b w:val="1"/>
                <w:bCs w:val="1"/>
                <w:color w:val="auto"/>
                <w:w w:val="94"/>
              </w:rPr>
              <w:t>Remaining</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78"/>
              <w:spacing w:after="0" w:line="13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15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Vintage Year</w:t>
            </w:r>
          </w:p>
        </w:tc>
        <w:tc>
          <w:tcPr>
            <w:tcW w:w="280" w:type="dxa"/>
            <w:vAlign w:val="bottom"/>
          </w:tcPr>
          <w:p>
            <w:pPr>
              <w:spacing w:after="0"/>
              <w:rPr>
                <w:sz w:val="12"/>
                <w:szCs w:val="12"/>
                <w:color w:val="auto"/>
              </w:rPr>
            </w:pPr>
          </w:p>
        </w:tc>
        <w:tc>
          <w:tcPr>
            <w:tcW w:w="13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Insurance</w:t>
            </w:r>
          </w:p>
        </w:tc>
        <w:tc>
          <w:tcPr>
            <w:tcW w:w="26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Risk</w:t>
            </w:r>
          </w:p>
        </w:tc>
        <w:tc>
          <w:tcPr>
            <w:tcW w:w="360" w:type="dxa"/>
            <w:vAlign w:val="bottom"/>
          </w:tcPr>
          <w:p>
            <w:pPr>
              <w:spacing w:after="0"/>
              <w:rPr>
                <w:sz w:val="12"/>
                <w:szCs w:val="12"/>
                <w:color w:val="auto"/>
              </w:rPr>
            </w:pPr>
          </w:p>
        </w:tc>
        <w:tc>
          <w:tcPr>
            <w:tcW w:w="112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ILN</w:t>
            </w:r>
          </w:p>
        </w:tc>
        <w:tc>
          <w:tcPr>
            <w:tcW w:w="220" w:type="dxa"/>
            <w:vAlign w:val="bottom"/>
          </w:tcPr>
          <w:p>
            <w:pPr>
              <w:spacing w:after="0"/>
              <w:rPr>
                <w:sz w:val="12"/>
                <w:szCs w:val="12"/>
                <w:color w:val="auto"/>
              </w:rPr>
            </w:pPr>
          </w:p>
        </w:tc>
        <w:tc>
          <w:tcPr>
            <w:tcW w:w="1300" w:type="dxa"/>
            <w:vAlign w:val="bottom"/>
            <w:vMerge w:val="restart"/>
          </w:tcPr>
          <w:p>
            <w:pPr>
              <w:jc w:val="right"/>
              <w:ind w:right="18"/>
              <w:spacing w:after="0"/>
              <w:rPr>
                <w:sz w:val="20"/>
                <w:szCs w:val="20"/>
                <w:color w:val="auto"/>
              </w:rPr>
            </w:pPr>
            <w:r>
              <w:rPr>
                <w:rFonts w:ascii="Arial" w:cs="Arial" w:eastAsia="Arial" w:hAnsi="Arial"/>
                <w:sz w:val="14"/>
                <w:szCs w:val="14"/>
                <w:b w:val="1"/>
                <w:bCs w:val="1"/>
                <w:color w:val="auto"/>
                <w:w w:val="94"/>
              </w:rPr>
              <w:t>Other Reinsurance</w:t>
            </w:r>
          </w:p>
        </w:tc>
        <w:tc>
          <w:tcPr>
            <w:tcW w:w="940" w:type="dxa"/>
            <w:vAlign w:val="bottom"/>
          </w:tcPr>
          <w:p>
            <w:pPr>
              <w:spacing w:after="0"/>
              <w:rPr>
                <w:sz w:val="12"/>
                <w:szCs w:val="12"/>
                <w:color w:val="auto"/>
              </w:rPr>
            </w:pPr>
          </w:p>
        </w:tc>
        <w:tc>
          <w:tcPr>
            <w:tcW w:w="12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2"/>
                <w:szCs w:val="12"/>
                <w:color w:val="auto"/>
              </w:rPr>
            </w:pPr>
          </w:p>
        </w:tc>
        <w:tc>
          <w:tcPr>
            <w:tcW w:w="122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7"/>
              </w:rPr>
              <w:t>First Layer</w:t>
            </w:r>
          </w:p>
        </w:tc>
        <w:tc>
          <w:tcPr>
            <w:tcW w:w="0" w:type="dxa"/>
            <w:vAlign w:val="bottom"/>
          </w:tcPr>
          <w:p>
            <w:pPr>
              <w:spacing w:after="0"/>
              <w:rPr>
                <w:sz w:val="1"/>
                <w:szCs w:val="1"/>
                <w:color w:val="auto"/>
              </w:rPr>
            </w:pPr>
          </w:p>
        </w:tc>
      </w:tr>
      <w:tr>
        <w:trPr>
          <w:trHeight w:val="192"/>
        </w:trPr>
        <w:tc>
          <w:tcPr>
            <w:tcW w:w="15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in Force</w:t>
            </w:r>
          </w:p>
        </w:tc>
        <w:tc>
          <w:tcPr>
            <w:tcW w:w="260" w:type="dxa"/>
            <w:vAlign w:val="bottom"/>
          </w:tcPr>
          <w:p>
            <w:pPr>
              <w:spacing w:after="0"/>
              <w:rPr>
                <w:sz w:val="16"/>
                <w:szCs w:val="16"/>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in Force</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8"/>
              <w:spacing w:after="0"/>
              <w:rPr>
                <w:sz w:val="20"/>
                <w:szCs w:val="20"/>
                <w:color w:val="auto"/>
              </w:rPr>
            </w:pPr>
            <w:r>
              <w:rPr>
                <w:rFonts w:ascii="Arial" w:cs="Arial" w:eastAsia="Arial" w:hAnsi="Arial"/>
                <w:sz w:val="14"/>
                <w:szCs w:val="14"/>
                <w:b w:val="1"/>
                <w:bCs w:val="1"/>
                <w:color w:val="auto"/>
                <w:w w:val="92"/>
              </w:rPr>
              <w:t>Retention</w:t>
            </w:r>
          </w:p>
        </w:tc>
        <w:tc>
          <w:tcPr>
            <w:tcW w:w="0" w:type="dxa"/>
            <w:vAlign w:val="bottom"/>
          </w:tcPr>
          <w:p>
            <w:pPr>
              <w:spacing w:after="0"/>
              <w:rPr>
                <w:sz w:val="1"/>
                <w:szCs w:val="1"/>
                <w:color w:val="auto"/>
              </w:rPr>
            </w:pPr>
          </w:p>
        </w:tc>
      </w:tr>
      <w:tr>
        <w:trPr>
          <w:trHeight w:val="250"/>
        </w:trPr>
        <w:tc>
          <w:tcPr>
            <w:tcW w:w="13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2015 &amp; 2016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28,837,920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7,792,455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310,282</w:t>
            </w:r>
          </w:p>
        </w:tc>
        <w:tc>
          <w:tcPr>
            <w:tcW w:w="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310,282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208,111</w:t>
            </w:r>
          </w:p>
        </w:tc>
        <w:tc>
          <w:tcPr>
            <w:tcW w:w="0" w:type="dxa"/>
            <w:vAlign w:val="bottom"/>
          </w:tcPr>
          <w:p>
            <w:pPr>
              <w:spacing w:after="0"/>
              <w:rPr>
                <w:sz w:val="1"/>
                <w:szCs w:val="1"/>
                <w:color w:val="auto"/>
              </w:rPr>
            </w:pPr>
          </w:p>
        </w:tc>
      </w:tr>
      <w:tr>
        <w:trPr>
          <w:trHeight w:val="243"/>
        </w:trPr>
        <w:tc>
          <w:tcPr>
            <w:tcW w:w="138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38"/>
              <w:spacing w:after="0"/>
              <w:rPr>
                <w:sz w:val="20"/>
                <w:szCs w:val="20"/>
                <w:color w:val="auto"/>
              </w:rPr>
            </w:pPr>
            <w:r>
              <w:rPr>
                <w:rFonts w:ascii="Arial" w:cs="Arial" w:eastAsia="Arial" w:hAnsi="Arial"/>
                <w:sz w:val="18"/>
                <w:szCs w:val="18"/>
                <w:color w:val="auto"/>
              </w:rPr>
              <w:t>31,405,043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7,900,590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368,705</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165,167</w:t>
            </w:r>
          </w:p>
        </w:tc>
        <w:tc>
          <w:tcPr>
            <w:tcW w:w="940" w:type="dxa"/>
            <w:vAlign w:val="bottom"/>
          </w:tcPr>
          <w:p>
            <w:pPr>
              <w:jc w:val="right"/>
              <w:ind w:right="570"/>
              <w:spacing w:after="0"/>
              <w:rPr>
                <w:sz w:val="20"/>
                <w:szCs w:val="20"/>
                <w:color w:val="auto"/>
              </w:rPr>
            </w:pPr>
            <w:r>
              <w:rPr>
                <w:rFonts w:ascii="Arial" w:cs="Arial" w:eastAsia="Arial" w:hAnsi="Arial"/>
                <w:sz w:val="18"/>
                <w:szCs w:val="18"/>
                <w:b w:val="1"/>
                <w:bCs w:val="1"/>
                <w:color w:val="auto"/>
              </w:rPr>
              <w:t>(3)</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533,872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223,323</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38,517,421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9,680,628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473,184</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118,650</w:t>
            </w:r>
          </w:p>
        </w:tc>
        <w:tc>
          <w:tcPr>
            <w:tcW w:w="9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(4)</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591,834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253,521</w:t>
            </w:r>
          </w:p>
        </w:tc>
        <w:tc>
          <w:tcPr>
            <w:tcW w:w="0" w:type="dxa"/>
            <w:vAlign w:val="bottom"/>
          </w:tcPr>
          <w:p>
            <w:pPr>
              <w:spacing w:after="0"/>
              <w:rPr>
                <w:sz w:val="1"/>
                <w:szCs w:val="1"/>
                <w:color w:val="auto"/>
              </w:rPr>
            </w:pPr>
          </w:p>
        </w:tc>
      </w:tr>
      <w:tr>
        <w:trPr>
          <w:trHeight w:val="257"/>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98,760,384</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25,373,673</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1,152,171</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283,817</w:t>
            </w:r>
          </w:p>
        </w:tc>
        <w:tc>
          <w:tcPr>
            <w:tcW w:w="9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1,435,988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684,955</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Coverage provided immediately above the coverage provided by Radnor Re 2018-1 Ltd.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Coverage provided pari-passu to the coverage provided by Radnor Re 2019-1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14065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The amount of monthly reinsurance premium ceded to the Radnor Re entities will fluctuate due to changes in one-month LIBOR and changes in money market rates that affect investment income collected on the assets in the reinsurance trusts. As the reinsurance premium will vary based on changes in these rates, we concluded that the Radnor Re Transactions contain embedded derivatives that will be accounted for separately like freestanding derivatives.</w:t>
      </w:r>
    </w:p>
    <w:p>
      <w:pPr>
        <w:spacing w:after="0" w:line="14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connection with the Radnor Re Transactions, we concluded that the risk transfer requirements for reinsurance accounting were met as each Radnor Re entity is assuming significant insurance risk and a reasonable possibility of a significant loss. In addition, we assessed whether each Radnor Re entity was a variable interest entity ("VIE") and the appropriate accounting for the Radnor Re entities if they were VIEs. A VIE is a legal entity that does not have sufficient equity at risk to finance its activities without additional subordinated financial support or is structured such that equity investors lack the ability to make significant decisions relating to the entity’s operations through voting rights or do not substantively participate in the gains and losses of the entity. A VIE is consolidated by its primary beneficiary. The primary beneficiary is the entity that has both (1) the power to direct the activities of the VIE that most significantly affect the entity’s economic performance and (2) the obligation to absorb losses or the right to receive benefits that could be potentially significant to the VIE. While also considering these factors, the consolidation conclusion depends on the breadth of the decision-making ability and ability to influence activities that significantly affect the economic performance of the VIE. We concluded that the Radnor Re entities are VIEs. However, given that Essent Guaranty (1) does not have the unilateral power to direct the activities that most significantly affect their economic performance and (2) does not have the obligation to absorb losses or the right to receive benefits that could be potentially significant to these entities, the Radnor Re entities are not consolidated in these financial statements.</w:t>
      </w:r>
    </w:p>
    <w:p>
      <w:pPr>
        <w:spacing w:after="0" w:line="180"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The following table presents total assets of each Radnor Re special purpose insurer as well as our maximum exposure to loss associated with each Radnor Re entity, representing the fair value of the embedded derivative included in other assets on our condensed consolidated balance sheet and the estimated net present value of investment earnings on the assets in the reinsurance trust, each as of September 30, 2019:</w:t>
      </w:r>
    </w:p>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5"/>
              </w:rPr>
              <w:t>Maximum Exposure to Loss</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Total VIE Assets</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5"/>
              </w:rPr>
              <w:t>On - Balance Sheet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6"/>
              </w:rPr>
              <w:t>Off - Balance Sheet</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Total</w:t>
            </w:r>
          </w:p>
        </w:tc>
      </w:tr>
      <w:tr>
        <w:trPr>
          <w:trHeight w:val="250"/>
        </w:trPr>
        <w:tc>
          <w:tcPr>
            <w:tcW w:w="4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Radnor Re 2018-1 Ltd.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368,705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10,387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12,030</w:t>
            </w:r>
          </w:p>
        </w:tc>
      </w:tr>
      <w:tr>
        <w:trPr>
          <w:trHeight w:val="243"/>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Radnor Re 2019-1 Ltd.</w:t>
            </w:r>
          </w:p>
        </w:tc>
        <w:tc>
          <w:tcPr>
            <w:tcW w:w="24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473,184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15,837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16,350</w:t>
            </w:r>
          </w:p>
        </w:tc>
      </w:tr>
      <w:tr>
        <w:trPr>
          <w:trHeight w:val="27"/>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Radnor Re 2019-2 Ltd.</w:t>
            </w:r>
          </w:p>
        </w:tc>
        <w:tc>
          <w:tcPr>
            <w:tcW w:w="2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310,282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10,026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9,694</w:t>
            </w:r>
          </w:p>
        </w:tc>
      </w:tr>
      <w:tr>
        <w:trPr>
          <w:trHeight w:val="257"/>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1,152,171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1,824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36,250</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38,074</w:t>
            </w:r>
          </w:p>
        </w:tc>
      </w:tr>
      <w:tr>
        <w:trPr>
          <w:trHeight w:val="20"/>
        </w:trPr>
        <w:tc>
          <w:tcPr>
            <w:tcW w:w="4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878"/>
        </w:trPr>
        <w:tc>
          <w:tcPr>
            <w:tcW w:w="4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jc w:val="right"/>
              <w:ind w:right="9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Reserve for Losses and Loss Adjustment Expenses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reserve balances for losses and loss adjustment expenses (“LAE”) for the nine months ended September 30:</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Reserve for losses and LAE at beginning of period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49,464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46,850</w:t>
            </w: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Less: Reinsurance recoverables</w:t>
            </w: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reserve for losses and LAE at beginning of period</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49,464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46,850</w:t>
            </w:r>
          </w:p>
        </w:tc>
      </w:tr>
      <w:tr>
        <w:trPr>
          <w:trHeight w:val="22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Add provision for losses and LAE, net of reinsurance, occurring in:</w:t>
            </w: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period</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37,904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25,199</w:t>
            </w: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(15,847)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(12,625)</w:t>
            </w:r>
          </w:p>
        </w:tc>
      </w:tr>
      <w:tr>
        <w:trPr>
          <w:trHeight w:val="27"/>
        </w:trPr>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incurred losses and LAE during the current period</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22,057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12,574</w:t>
            </w:r>
          </w:p>
        </w:tc>
      </w:tr>
      <w:tr>
        <w:trPr>
          <w:trHeight w:val="22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Deduct payments for losses and LAE, net of reinsurance, occurring in:</w:t>
            </w: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period</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620</w:t>
            </w: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9,428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5,449</w:t>
            </w:r>
          </w:p>
        </w:tc>
      </w:tr>
      <w:tr>
        <w:trPr>
          <w:trHeight w:val="27"/>
        </w:trPr>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and LAE payments during the current period</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10,085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6,069</w:t>
            </w:r>
          </w:p>
        </w:tc>
      </w:tr>
      <w:tr>
        <w:trPr>
          <w:trHeight w:val="237"/>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Net reserve for losses and LAE at end of period</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61,436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53,355</w:t>
            </w: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Plus: Reinsurance recoverables</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Reserve for losses and LAE at end of period</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61,436</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53,355</w:t>
            </w:r>
          </w:p>
        </w:tc>
      </w:tr>
      <w:tr>
        <w:trPr>
          <w:trHeight w:val="67"/>
        </w:trPr>
        <w:tc>
          <w:tcPr>
            <w:tcW w:w="79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78"/>
        </w:trPr>
        <w:tc>
          <w:tcPr>
            <w:tcW w:w="7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Loans in default at end of period</w:t>
            </w: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5,232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3,538</w:t>
            </w:r>
          </w:p>
        </w:tc>
      </w:tr>
    </w:tbl>
    <w:p>
      <w:pPr>
        <w:spacing w:after="0" w:line="200" w:lineRule="exact"/>
        <w:rPr>
          <w:sz w:val="20"/>
          <w:szCs w:val="20"/>
          <w:color w:val="auto"/>
        </w:rPr>
      </w:pPr>
    </w:p>
    <w:p>
      <w:pPr>
        <w:spacing w:after="0" w:line="24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For the nine months ended September 30, 2019, $9.4 million was paid for incurred claims and claim adjustment expenses attributable to insured events of prior years. There has been a $15.8 million favorable prior year development during the nine months ended September 30, 2019. Reserves remaining as of September 30, 2019 for prior years are $24.2 million as a result of re-estimation of unpaid losses and loss adjustment expenses. For the nine months ended September 30, 2018, $5.4 million was paid for incurred claims and claim adjustment expenses attributable to insured events of prior years. There was a $12.6 million favorable prior year development during the nine months ended September 30, 2018. Reserves remaining as of September 30, 2018 for prior years were $28.8 million as a result of re-estimation of unpaid losses and loss adjustment expenses. In both periods, the favorable prior years' loss development was the result of a re-estimation of amounts ultimately to be paid on prior year defaults in the default inventory, including the impact of previously identified defaults that cured. Original estimates are increased or decreased as additional information becomes known regarding individual claims.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Debt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229"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Essent Group and its subsidiaries, Essent Irish Intermediate Holdings Limited and Essent US Holdings, Inc. (collectively, the "Borrowers"), are parties to a secured credit facility (the “Credit Facility”) with committed capacity of $500 million. The Credit Facility provides for a $275 million revolving credit facility, $225 million of term loans and a $100 million uncommitted line that may be exercised at the Borrowers’ option so long as the Borrowers receive commitments from the lenders. Borrowings under the Credit Facility may be used for working capital and general corporate purposes, including, without limitation, capital contributions to Essent’s insurance and reinsurance subsidiaries. Borrowings accrue interest at a floating rate tied to a standard short-term borrowing index, selected at the Company’s option, plus an applicable margin. A commitment fee is due quarterly on the average daily amount of the undrawn revolving commitment. The applicable margin and the commitment fee are based on the senior unsecured debt rating or long-term issuer rating of Essent Group to the extent available, or the insurer financial strength rating of Essent Guaranty. The annual commitment fee rate at September 30, 2019 was 0.35%. The obligations under the Credit Facility are secured by certain assets of the Borrowers, excluding the stock and assets of its insurance and reinsurance subsidiaries. The Credit Facility contains several covenants, including financial covenants relating to minimum net worth, capital and liquidity levels, maximum debt to capitalization level and Essent Guaranty's compliance with the PMIERs (see Note 13). The borrowings under the Credit Facility contractually mature on May 17, 2021. This description is not intended to be complete in all respects and is qualified in its entirety by the terms of the Credit</w:t>
      </w:r>
    </w:p>
    <w:p>
      <w:pPr>
        <w:sectPr>
          <w:pgSz w:w="11900" w:h="16838" w:orient="portrait"/>
          <w:cols w:equalWidth="0" w:num="1">
            <w:col w:w="11400"/>
          </w:cols>
          <w:pgMar w:left="240" w:top="125" w:right="259" w:bottom="1440" w:gutter="0" w:footer="0" w:header="0"/>
        </w:sectPr>
      </w:pP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00"/>
          </w:cols>
          <w:pgMar w:left="240" w:top="125" w:right="25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Facility, including its covenants. As of September 30, 2019, the Company was in compliance with the covenants and $225 million had been borrowed under the Credit Facility with a weighted average interest rate of 4.05%. As of December 31, 2018, $225 million had been borrowed with a weighted average interest rate of 4.43%.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under Guarantees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Under the terms of CUW Solutions' contract underwriting agreements with lenders and subject to contractual limitations on liability, we agree to indemnify certain lenders against losses incurred in the event that we make an error in determining whether loans processed meet specified underwriting criteria, to the extent that such error materially restricts or impairs the salability of such loan, results in a material reduction in the value of such loan or results in the lender repurchasing the loan. The indemnification may be in the form of monetary or other remedies. We paid less than $0.1 million and $0.1 million related to remedies for the nine months ended September 30, 2019 and 2018, respectively. As of September 30, 2019, management believes any potential claims for indemnification related to contract underwriting services through September 30, 2019 are not material to our consolidated financial position or results of operations.</w:t>
      </w:r>
    </w:p>
    <w:p>
      <w:pPr>
        <w:spacing w:after="0" w:line="18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addition to the indemnifications discussed above, in the normal course of business, we enter into agreements or other relationships with third parties pursuant to which we may be obligated under specified circumstances to indemnify the counterparties with respect to certain matters. Our contractual indemnification obligations typically arise in the context of agreements entered into by us to, among other things, purchase or sell services, finance our business and business transactions, lease real property and license intellectual property. The agreements we enter into in the normal course of business generally require us to pay certain amounts to the other party associated with claims or losses if they result from our breach of the agreement, including the inaccuracy of representations or warranties. The agreements we enter into may also contain other indemnification provisions that obligate us to pay amounts upon the occurrence of certain events, such as the negligence or willful misconduct of our employees, infringement of third-party intellectual property rights or claims that performance of the agreement constitutes a violation of law. Generally, payment by us under an indemnification provision is conditioned upon the other party making a claim, and typically we can challenge the other party’s claims. Further, our indemnification obligations may be limited in time and/or amount, and in some instances, we may have recourse against third parties for certain payments made by us under an indemnification agreement or obligation. As of September 30, 2019, contingencies triggering material indemnification obligations or payments have not occurred historically and are not expected to occur. The nature of the indemnification provisions in the various types of agreements and relationships described above are believed to be low risk and pervasive, and we consider them to have a remote risk of loss or payment. We have not recorded any provisions on the condensed consolidated balance sheets related to indemnifications.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lease office space for use in our operations under leases accounted for as operating leases. These leases generally include options to extend them for periods of up to ten years. Our option to extend the term of our primary office locations at the greater of existing or prevailing market rates was not recognized in our right-of-use asset and lease liability. When establishing the value of our right-of-use asset and lease liability, we determine the discount rate for the underlying leases using the prevailing market interest rate for a borrowing of the same duration of the lease plus the risk premium inherent in the borrowings under our Credit Facility. Right-of-use assets and lease liabilities are reported on the condensed consolidated balance sheet as property and equipment and other accrued liabilities, respectively.</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00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89"/>
              </w:rPr>
              <w:t>Essent Group Ltd. and Subsidiaries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00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89"/>
              </w:rPr>
              <w:t>Notes to Condensed Consolidated Financial Statements (Unaudited)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40" w:type="dxa"/>
            <w:vAlign w:val="bottom"/>
          </w:tcPr>
          <w:p>
            <w:pPr>
              <w:spacing w:after="0"/>
              <w:rPr>
                <w:sz w:val="24"/>
                <w:szCs w:val="24"/>
                <w:color w:val="auto"/>
              </w:rPr>
            </w:pPr>
          </w:p>
        </w:tc>
        <w:tc>
          <w:tcPr>
            <w:tcW w:w="9480" w:type="dxa"/>
            <w:vAlign w:val="bottom"/>
            <w:gridSpan w:val="4"/>
          </w:tcPr>
          <w:p>
            <w:pPr>
              <w:ind w:left="620"/>
              <w:spacing w:after="0"/>
              <w:rPr>
                <w:sz w:val="20"/>
                <w:szCs w:val="20"/>
                <w:color w:val="auto"/>
              </w:rPr>
            </w:pPr>
            <w:r>
              <w:rPr>
                <w:rFonts w:ascii="Arial" w:cs="Arial" w:eastAsia="Arial" w:hAnsi="Arial"/>
                <w:sz w:val="18"/>
                <w:szCs w:val="18"/>
                <w:color w:val="auto"/>
              </w:rPr>
              <w:t>The following table presents lease cost and other lease information as of September 30, 2019: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50"/>
        </w:trPr>
        <w:tc>
          <w:tcPr>
            <w:tcW w:w="94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5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Lease cost:</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480" w:type="dxa"/>
            <w:vAlign w:val="bottom"/>
            <w:gridSpan w:val="4"/>
          </w:tcPr>
          <w:p>
            <w:pPr>
              <w:ind w:left="140"/>
              <w:spacing w:after="0"/>
              <w:rPr>
                <w:sz w:val="20"/>
                <w:szCs w:val="20"/>
                <w:color w:val="auto"/>
              </w:rPr>
            </w:pPr>
            <w:r>
              <w:rPr>
                <w:rFonts w:ascii="Arial" w:cs="Arial" w:eastAsia="Arial" w:hAnsi="Arial"/>
                <w:sz w:val="18"/>
                <w:szCs w:val="18"/>
                <w:color w:val="auto"/>
              </w:rPr>
              <w:t>Operating lease cost</w:t>
            </w:r>
          </w:p>
        </w:tc>
        <w:tc>
          <w:tcPr>
            <w:tcW w:w="260" w:type="dxa"/>
            <w:vAlign w:val="bottom"/>
            <w:gridSpan w:val="3"/>
          </w:tcPr>
          <w:p>
            <w:pPr>
              <w:jc w:val="right"/>
              <w:ind w:right="14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72"/>
              <w:spacing w:after="0"/>
              <w:rPr>
                <w:sz w:val="20"/>
                <w:szCs w:val="20"/>
                <w:color w:val="auto"/>
              </w:rPr>
            </w:pPr>
            <w:r>
              <w:rPr>
                <w:rFonts w:ascii="Arial" w:cs="Arial" w:eastAsia="Arial" w:hAnsi="Arial"/>
                <w:sz w:val="18"/>
                <w:szCs w:val="18"/>
                <w:color w:val="auto"/>
              </w:rPr>
              <w:t>1,808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48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Short-term lease cost</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480" w:type="dxa"/>
            <w:vAlign w:val="bottom"/>
            <w:gridSpan w:val="4"/>
          </w:tcPr>
          <w:p>
            <w:pPr>
              <w:ind w:left="140"/>
              <w:spacing w:after="0"/>
              <w:rPr>
                <w:sz w:val="20"/>
                <w:szCs w:val="20"/>
                <w:color w:val="auto"/>
              </w:rPr>
            </w:pPr>
            <w:r>
              <w:rPr>
                <w:rFonts w:ascii="Arial" w:cs="Arial" w:eastAsia="Arial" w:hAnsi="Arial"/>
                <w:sz w:val="18"/>
                <w:szCs w:val="18"/>
                <w:color w:val="auto"/>
              </w:rPr>
              <w:t>Sublease income</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6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48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Total lease cost</w:t>
            </w:r>
          </w:p>
        </w:tc>
        <w:tc>
          <w:tcPr>
            <w:tcW w:w="260" w:type="dxa"/>
            <w:vAlign w:val="bottom"/>
            <w:tcBorders>
              <w:bottom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1,808</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6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95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Other information:</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480" w:type="dxa"/>
            <w:vAlign w:val="bottom"/>
            <w:gridSpan w:val="4"/>
          </w:tcPr>
          <w:p>
            <w:pPr>
              <w:ind w:left="140"/>
              <w:spacing w:after="0"/>
              <w:rPr>
                <w:sz w:val="20"/>
                <w:szCs w:val="20"/>
                <w:color w:val="auto"/>
              </w:rPr>
            </w:pPr>
            <w:r>
              <w:rPr>
                <w:rFonts w:ascii="Arial" w:cs="Arial" w:eastAsia="Arial" w:hAnsi="Arial"/>
                <w:sz w:val="18"/>
                <w:szCs w:val="18"/>
                <w:color w:val="auto"/>
              </w:rPr>
              <w:t>Weighted average remaining lease term - operating leases</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2"/>
          </w:tcPr>
          <w:p>
            <w:pPr>
              <w:ind w:left="800"/>
              <w:spacing w:after="0"/>
              <w:rPr>
                <w:sz w:val="20"/>
                <w:szCs w:val="20"/>
                <w:color w:val="auto"/>
              </w:rPr>
            </w:pPr>
            <w:r>
              <w:rPr>
                <w:rFonts w:ascii="Arial" w:cs="Arial" w:eastAsia="Arial" w:hAnsi="Arial"/>
                <w:sz w:val="18"/>
                <w:szCs w:val="18"/>
                <w:color w:val="auto"/>
              </w:rPr>
              <w:t>4.9 years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48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Weighted average discount rate - operating leases</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648"/>
        </w:trPr>
        <w:tc>
          <w:tcPr>
            <w:tcW w:w="40" w:type="dxa"/>
            <w:vAlign w:val="bottom"/>
          </w:tcPr>
          <w:p>
            <w:pPr>
              <w:spacing w:after="0"/>
              <w:rPr>
                <w:sz w:val="24"/>
                <w:szCs w:val="24"/>
                <w:color w:val="auto"/>
              </w:rPr>
            </w:pPr>
          </w:p>
        </w:tc>
        <w:tc>
          <w:tcPr>
            <w:tcW w:w="9480" w:type="dxa"/>
            <w:vAlign w:val="bottom"/>
            <w:gridSpan w:val="4"/>
          </w:tcPr>
          <w:p>
            <w:pPr>
              <w:ind w:left="620"/>
              <w:spacing w:after="0"/>
              <w:rPr>
                <w:sz w:val="20"/>
                <w:szCs w:val="20"/>
                <w:color w:val="auto"/>
              </w:rPr>
            </w:pPr>
            <w:r>
              <w:rPr>
                <w:rFonts w:ascii="Arial" w:cs="Arial" w:eastAsia="Arial" w:hAnsi="Arial"/>
                <w:sz w:val="18"/>
                <w:szCs w:val="18"/>
                <w:color w:val="auto"/>
              </w:rPr>
              <w:t>The following table presents a maturity analysis of our lease liabilities as follows at September 30, 2019: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9520" w:type="dxa"/>
            <w:vAlign w:val="bottom"/>
            <w:gridSpan w:val="5"/>
          </w:tcPr>
          <w:p>
            <w:pPr>
              <w:ind w:left="40"/>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5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2019 (October 1 through December 31)</w:t>
            </w:r>
          </w:p>
        </w:tc>
        <w:tc>
          <w:tcPr>
            <w:tcW w:w="2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1600" w:type="dxa"/>
            <w:vAlign w:val="bottom"/>
          </w:tcPr>
          <w:p>
            <w:pPr>
              <w:spacing w:after="0"/>
              <w:rPr>
                <w:sz w:val="21"/>
                <w:szCs w:val="21"/>
                <w:color w:val="auto"/>
              </w:rPr>
            </w:pPr>
          </w:p>
        </w:tc>
        <w:tc>
          <w:tcPr>
            <w:tcW w:w="6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2,759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600" w:type="dxa"/>
            <w:vAlign w:val="bottom"/>
            <w:tcBorders>
              <w:bottom w:val="single" w:sz="8" w:color="CCEEFF"/>
            </w:tcBorders>
            <w:shd w:val="clear" w:color="auto" w:fill="CCEEFF"/>
          </w:tcPr>
          <w:p>
            <w:pPr>
              <w:spacing w:after="0"/>
              <w:rPr>
                <w:sz w:val="21"/>
                <w:szCs w:val="21"/>
                <w:color w:val="auto"/>
              </w:rPr>
            </w:pPr>
          </w:p>
        </w:tc>
        <w:tc>
          <w:tcPr>
            <w:tcW w:w="6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1600" w:type="dxa"/>
            <w:vAlign w:val="bottom"/>
          </w:tcPr>
          <w:p>
            <w:pPr>
              <w:spacing w:after="0"/>
              <w:rPr>
                <w:sz w:val="21"/>
                <w:szCs w:val="21"/>
                <w:color w:val="auto"/>
              </w:rPr>
            </w:pPr>
          </w:p>
        </w:tc>
        <w:tc>
          <w:tcPr>
            <w:tcW w:w="6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2,801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600" w:type="dxa"/>
            <w:vAlign w:val="bottom"/>
            <w:tcBorders>
              <w:bottom w:val="single" w:sz="8" w:color="CCEEFF"/>
            </w:tcBorders>
            <w:shd w:val="clear" w:color="auto" w:fill="CCEEFF"/>
          </w:tcPr>
          <w:p>
            <w:pPr>
              <w:spacing w:after="0"/>
              <w:rPr>
                <w:sz w:val="21"/>
                <w:szCs w:val="21"/>
                <w:color w:val="auto"/>
              </w:rPr>
            </w:pPr>
          </w:p>
        </w:tc>
        <w:tc>
          <w:tcPr>
            <w:tcW w:w="6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2,553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520" w:type="dxa"/>
            <w:vAlign w:val="bottom"/>
            <w:gridSpan w:val="5"/>
          </w:tcPr>
          <w:p>
            <w:pPr>
              <w:ind w:left="40"/>
              <w:spacing w:after="0"/>
              <w:rPr>
                <w:sz w:val="20"/>
                <w:szCs w:val="20"/>
                <w:color w:val="auto"/>
              </w:rPr>
            </w:pPr>
            <w:r>
              <w:rPr>
                <w:rFonts w:ascii="Arial" w:cs="Arial" w:eastAsia="Arial" w:hAnsi="Arial"/>
                <w:sz w:val="18"/>
                <w:szCs w:val="18"/>
                <w:color w:val="auto"/>
              </w:rPr>
              <w:t>2024 and thereafter</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1,963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700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5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Total lease payments to be paid</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520" w:type="dxa"/>
            <w:vAlign w:val="bottom"/>
            <w:gridSpan w:val="5"/>
          </w:tcPr>
          <w:p>
            <w:pPr>
              <w:ind w:left="40"/>
              <w:spacing w:after="0"/>
              <w:rPr>
                <w:sz w:val="20"/>
                <w:szCs w:val="20"/>
                <w:color w:val="auto"/>
              </w:rPr>
            </w:pPr>
            <w:r>
              <w:rPr>
                <w:rFonts w:ascii="Arial" w:cs="Arial" w:eastAsia="Arial" w:hAnsi="Arial"/>
                <w:sz w:val="18"/>
                <w:szCs w:val="18"/>
                <w:color w:val="auto"/>
              </w:rPr>
              <w:t>Less: Future interest expense</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700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52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Present value of lease liabilities</w:t>
            </w:r>
          </w:p>
        </w:tc>
        <w:tc>
          <w:tcPr>
            <w:tcW w:w="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12,201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9480" w:type="dxa"/>
            <w:vAlign w:val="bottom"/>
            <w:tcBorders>
              <w:top w:val="single" w:sz="8" w:color="CCEEFF"/>
              <w:bottom w:val="single" w:sz="8" w:color="CCEEFF"/>
            </w:tcBorders>
            <w:gridSpan w:val="4"/>
            <w:vMerge w:val="restart"/>
          </w:tcPr>
          <w:p>
            <w:pPr>
              <w:ind w:left="620"/>
              <w:spacing w:after="0"/>
              <w:rPr>
                <w:sz w:val="20"/>
                <w:szCs w:val="20"/>
                <w:color w:val="auto"/>
              </w:rPr>
            </w:pPr>
            <w:r>
              <w:rPr>
                <w:rFonts w:ascii="Arial" w:cs="Arial" w:eastAsia="Arial" w:hAnsi="Arial"/>
                <w:sz w:val="18"/>
                <w:szCs w:val="18"/>
                <w:color w:val="auto"/>
              </w:rPr>
              <w:t>The future minimum lease payments of non-cancelable operating leases are as follows at December 31, 2018:</w:t>
            </w: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0" w:type="dxa"/>
            <w:vAlign w:val="bottom"/>
          </w:tcPr>
          <w:p>
            <w:pPr>
              <w:spacing w:after="0"/>
              <w:rPr>
                <w:sz w:val="24"/>
                <w:szCs w:val="24"/>
                <w:color w:val="auto"/>
              </w:rPr>
            </w:pPr>
          </w:p>
        </w:tc>
        <w:tc>
          <w:tcPr>
            <w:tcW w:w="9480" w:type="dxa"/>
            <w:vAlign w:val="bottom"/>
            <w:gridSpan w:val="4"/>
            <w:vMerge w:val="continue"/>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9520" w:type="dxa"/>
            <w:vAlign w:val="bottom"/>
            <w:gridSpan w:val="5"/>
          </w:tcPr>
          <w:p>
            <w:pPr>
              <w:ind w:left="40"/>
              <w:spacing w:after="0"/>
              <w:rPr>
                <w:sz w:val="20"/>
                <w:szCs w:val="20"/>
                <w:color w:val="auto"/>
              </w:rPr>
            </w:pPr>
            <w:r>
              <w:rPr>
                <w:rFonts w:ascii="Arial" w:cs="Arial" w:eastAsia="Arial" w:hAnsi="Arial"/>
                <w:sz w:val="14"/>
                <w:szCs w:val="14"/>
                <w:b w:val="1"/>
                <w:bCs w:val="1"/>
                <w:color w:val="auto"/>
              </w:rPr>
              <w:t>Year Ended December 31 (In thousands)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600" w:type="dxa"/>
            <w:vAlign w:val="bottom"/>
            <w:tcBorders>
              <w:top w:val="single" w:sz="8" w:color="auto"/>
            </w:tcBorders>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600" w:type="dxa"/>
            <w:vAlign w:val="bottom"/>
            <w:tcBorders>
              <w:bottom w:val="single" w:sz="8" w:color="CCEEFF"/>
            </w:tcBorders>
            <w:shd w:val="clear" w:color="auto" w:fill="CCEEFF"/>
          </w:tcPr>
          <w:p>
            <w:pPr>
              <w:spacing w:after="0"/>
              <w:rPr>
                <w:sz w:val="21"/>
                <w:szCs w:val="21"/>
                <w:color w:val="auto"/>
              </w:rPr>
            </w:pPr>
          </w:p>
        </w:tc>
        <w:tc>
          <w:tcPr>
            <w:tcW w:w="6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1600" w:type="dxa"/>
            <w:vAlign w:val="bottom"/>
          </w:tcPr>
          <w:p>
            <w:pPr>
              <w:spacing w:after="0"/>
              <w:rPr>
                <w:sz w:val="21"/>
                <w:szCs w:val="21"/>
                <w:color w:val="auto"/>
              </w:rPr>
            </w:pPr>
          </w:p>
        </w:tc>
        <w:tc>
          <w:tcPr>
            <w:tcW w:w="6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2,628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600" w:type="dxa"/>
            <w:vAlign w:val="bottom"/>
            <w:tcBorders>
              <w:bottom w:val="single" w:sz="8" w:color="CCEEFF"/>
            </w:tcBorders>
            <w:shd w:val="clear" w:color="auto" w:fill="CCEEFF"/>
          </w:tcPr>
          <w:p>
            <w:pPr>
              <w:spacing w:after="0"/>
              <w:rPr>
                <w:sz w:val="21"/>
                <w:szCs w:val="21"/>
                <w:color w:val="auto"/>
              </w:rPr>
            </w:pPr>
          </w:p>
        </w:tc>
        <w:tc>
          <w:tcPr>
            <w:tcW w:w="6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1600" w:type="dxa"/>
            <w:vAlign w:val="bottom"/>
          </w:tcPr>
          <w:p>
            <w:pPr>
              <w:spacing w:after="0"/>
              <w:rPr>
                <w:sz w:val="21"/>
                <w:szCs w:val="21"/>
                <w:color w:val="auto"/>
              </w:rPr>
            </w:pPr>
          </w:p>
        </w:tc>
        <w:tc>
          <w:tcPr>
            <w:tcW w:w="6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2,711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600" w:type="dxa"/>
            <w:vAlign w:val="bottom"/>
            <w:tcBorders>
              <w:bottom w:val="single" w:sz="8" w:color="CCEEFF"/>
            </w:tcBorders>
            <w:shd w:val="clear" w:color="auto" w:fill="CCEEFF"/>
          </w:tcPr>
          <w:p>
            <w:pPr>
              <w:spacing w:after="0"/>
              <w:rPr>
                <w:sz w:val="21"/>
                <w:szCs w:val="21"/>
                <w:color w:val="auto"/>
              </w:rPr>
            </w:pPr>
          </w:p>
        </w:tc>
        <w:tc>
          <w:tcPr>
            <w:tcW w:w="6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520" w:type="dxa"/>
            <w:vAlign w:val="bottom"/>
            <w:gridSpan w:val="5"/>
          </w:tcPr>
          <w:p>
            <w:pPr>
              <w:ind w:left="40"/>
              <w:spacing w:after="0"/>
              <w:rPr>
                <w:sz w:val="20"/>
                <w:szCs w:val="20"/>
                <w:color w:val="auto"/>
              </w:rPr>
            </w:pPr>
            <w:r>
              <w:rPr>
                <w:rFonts w:ascii="Arial" w:cs="Arial" w:eastAsia="Arial" w:hAnsi="Arial"/>
                <w:sz w:val="18"/>
                <w:szCs w:val="18"/>
                <w:color w:val="auto"/>
              </w:rPr>
              <w:t>2024 and thereafter</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1,963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7000" w:type="dxa"/>
            <w:vAlign w:val="bottom"/>
            <w:tcBorders>
              <w:bottom w:val="single" w:sz="8" w:color="CCEEFF"/>
            </w:tcBorders>
            <w:gridSpan w:val="2"/>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52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Total minimum payments required</w:t>
            </w: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15,186</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6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700" w:firstLine="432"/>
        <w:spacing w:after="0" w:line="277" w:lineRule="auto"/>
        <w:rPr>
          <w:sz w:val="20"/>
          <w:szCs w:val="20"/>
          <w:color w:val="auto"/>
        </w:rPr>
      </w:pPr>
      <w:r>
        <w:rPr>
          <w:rFonts w:ascii="Arial" w:cs="Arial" w:eastAsia="Arial" w:hAnsi="Arial"/>
          <w:sz w:val="18"/>
          <w:szCs w:val="18"/>
          <w:color w:val="auto"/>
        </w:rPr>
        <w:t>Minimum lease payments shown above have not been reduced by minimum sublease rental income of $0.1 million due in 2019 under the non-cancelable sublease.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During the third quarter of 2019, the Board of Directors declared Essent's inaugural quarterly cash dividend of $0.15 per common share which was paid in September 2019. In November 2019, the Board of Directors declared a quarterly cash dividend of $0.15 per common share payable on December 16, 2019, to shareholders of record on December 4, 2019.</w:t>
      </w:r>
    </w:p>
    <w:p>
      <w:pPr>
        <w:sectPr>
          <w:pgSz w:w="11900" w:h="16838" w:orient="portrait"/>
          <w:cols w:equalWidth="0" w:num="1">
            <w:col w:w="11420"/>
          </w:cols>
          <w:pgMar w:left="240" w:top="125" w:right="239" w:bottom="1068"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068"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Stock-Based Compensation</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In connection with the IPO in 2013, Essent Group's Board of Directors adopted, and Essent Group's shareholders </w:t>
      </w:r>
      <w:r>
        <w:rPr>
          <w:rFonts w:ascii="Arial" w:cs="Arial" w:eastAsia="Arial" w:hAnsi="Arial"/>
          <w:sz w:val="17"/>
          <w:szCs w:val="17"/>
          <w:color w:val="242021"/>
        </w:rPr>
        <w:t>approved, the Essent Group Ltd.</w:t>
      </w:r>
      <w:r>
        <w:rPr>
          <w:rFonts w:ascii="Arial" w:cs="Arial" w:eastAsia="Arial" w:hAnsi="Arial"/>
          <w:sz w:val="17"/>
          <w:szCs w:val="17"/>
          <w:color w:val="auto"/>
        </w:rPr>
        <w:t xml:space="preserve"> </w:t>
      </w:r>
      <w:r>
        <w:rPr>
          <w:rFonts w:ascii="Arial" w:cs="Arial" w:eastAsia="Arial" w:hAnsi="Arial"/>
          <w:sz w:val="17"/>
          <w:szCs w:val="17"/>
          <w:color w:val="242021"/>
        </w:rPr>
        <w:t>2013 Long-Term Incentive Plan (the "2013 Plan"), which was effective upon completion of the initial public offering. The types of awards available under the 2013 Plan include nonvested shares, nonvested share units, non-</w:t>
      </w:r>
      <w:r>
        <w:rPr>
          <w:rFonts w:ascii="Arial" w:cs="Arial" w:eastAsia="Arial" w:hAnsi="Arial"/>
          <w:sz w:val="17"/>
          <w:szCs w:val="17"/>
          <w:color w:val="000000"/>
        </w:rPr>
        <w:t>qualified share options, incentive stock options, share appreciation rights, and other share-based or cash-based awards. Nonvested shares and nonvested share units granted under the 2013 Plan have rights to dividends, which entitle holders to the same dividend value per share as holders of common shares in the form of dividend equivalent units ("DEUs"). DEUs are subject to the same vesting and other terms and conditions as the corresponding nonvested shares and nonvested share units. DEUs vest when the underlying shares or share units vest and are forfeited if the underlying share or share units forfeit prior to vesting.</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nonvested common share and nonvested common share unit activity for the nine months ended September 30, 2019:</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5"/>
          </w:tcPr>
          <w:p>
            <w:pPr>
              <w:ind w:left="440"/>
              <w:spacing w:after="0"/>
              <w:rPr>
                <w:sz w:val="20"/>
                <w:szCs w:val="20"/>
                <w:color w:val="auto"/>
              </w:rPr>
            </w:pPr>
            <w:r>
              <w:rPr>
                <w:rFonts w:ascii="Arial" w:cs="Arial" w:eastAsia="Arial" w:hAnsi="Arial"/>
                <w:sz w:val="14"/>
                <w:szCs w:val="14"/>
                <w:b w:val="1"/>
                <w:bCs w:val="1"/>
                <w:color w:val="auto"/>
              </w:rPr>
              <w:t>Time and Performance-</w:t>
            </w:r>
          </w:p>
        </w:tc>
        <w:tc>
          <w:tcPr>
            <w:tcW w:w="2360" w:type="dxa"/>
            <w:vAlign w:val="bottom"/>
            <w:gridSpan w:val="5"/>
          </w:tcPr>
          <w:p>
            <w:pPr>
              <w:ind w:left="780"/>
              <w:spacing w:after="0"/>
              <w:rPr>
                <w:sz w:val="20"/>
                <w:szCs w:val="20"/>
                <w:color w:val="auto"/>
              </w:rPr>
            </w:pPr>
            <w:r>
              <w:rPr>
                <w:rFonts w:ascii="Arial" w:cs="Arial" w:eastAsia="Arial" w:hAnsi="Arial"/>
                <w:sz w:val="14"/>
                <w:szCs w:val="14"/>
                <w:b w:val="1"/>
                <w:bCs w:val="1"/>
                <w:color w:val="auto"/>
              </w:rPr>
              <w:t>Time-Based</w:t>
            </w:r>
          </w:p>
        </w:tc>
        <w:tc>
          <w:tcPr>
            <w:tcW w:w="2260" w:type="dxa"/>
            <w:vAlign w:val="bottom"/>
            <w:gridSpan w:val="4"/>
            <w:vMerge w:val="restart"/>
          </w:tcPr>
          <w:p>
            <w:pPr>
              <w:jc w:val="right"/>
              <w:ind w:right="678"/>
              <w:spacing w:after="0"/>
              <w:rPr>
                <w:sz w:val="20"/>
                <w:szCs w:val="20"/>
                <w:color w:val="auto"/>
              </w:rPr>
            </w:pPr>
            <w:r>
              <w:rPr>
                <w:rFonts w:ascii="Arial" w:cs="Arial" w:eastAsia="Arial" w:hAnsi="Arial"/>
                <w:sz w:val="14"/>
                <w:szCs w:val="14"/>
                <w:b w:val="1"/>
                <w:bCs w:val="1"/>
                <w:color w:val="auto"/>
              </w:rPr>
              <w:t>Share Units</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tcBorders>
              <w:bottom w:val="single" w:sz="8" w:color="auto"/>
            </w:tcBorders>
            <w:gridSpan w:val="4"/>
          </w:tcPr>
          <w:p>
            <w:pPr>
              <w:jc w:val="right"/>
              <w:ind w:right="458"/>
              <w:spacing w:after="0"/>
              <w:rPr>
                <w:sz w:val="20"/>
                <w:szCs w:val="20"/>
                <w:color w:val="auto"/>
              </w:rPr>
            </w:pPr>
            <w:r>
              <w:rPr>
                <w:rFonts w:ascii="Arial" w:cs="Arial" w:eastAsia="Arial" w:hAnsi="Arial"/>
                <w:sz w:val="14"/>
                <w:szCs w:val="14"/>
                <w:b w:val="1"/>
                <w:bCs w:val="1"/>
                <w:color w:val="auto"/>
              </w:rPr>
              <w:t>Based Share Awards</w:t>
            </w:r>
          </w:p>
        </w:tc>
        <w:tc>
          <w:tcPr>
            <w:tcW w:w="100" w:type="dxa"/>
            <w:vAlign w:val="bottom"/>
          </w:tcPr>
          <w:p>
            <w:pPr>
              <w:spacing w:after="0"/>
              <w:rPr>
                <w:sz w:val="16"/>
                <w:szCs w:val="16"/>
                <w:color w:val="auto"/>
              </w:rPr>
            </w:pPr>
          </w:p>
        </w:tc>
        <w:tc>
          <w:tcPr>
            <w:tcW w:w="2260" w:type="dxa"/>
            <w:vAlign w:val="bottom"/>
            <w:tcBorders>
              <w:bottom w:val="single" w:sz="8" w:color="auto"/>
            </w:tcBorders>
            <w:gridSpan w:val="4"/>
          </w:tcPr>
          <w:p>
            <w:pPr>
              <w:jc w:val="right"/>
              <w:ind w:right="598"/>
              <w:spacing w:after="0"/>
              <w:rPr>
                <w:sz w:val="20"/>
                <w:szCs w:val="20"/>
                <w:color w:val="auto"/>
              </w:rPr>
            </w:pPr>
            <w:r>
              <w:rPr>
                <w:rFonts w:ascii="Arial" w:cs="Arial" w:eastAsia="Arial" w:hAnsi="Arial"/>
                <w:sz w:val="14"/>
                <w:szCs w:val="14"/>
                <w:b w:val="1"/>
                <w:bCs w:val="1"/>
                <w:color w:val="auto"/>
              </w:rPr>
              <w:t>Share Awards</w:t>
            </w:r>
          </w:p>
        </w:tc>
        <w:tc>
          <w:tcPr>
            <w:tcW w:w="100" w:type="dxa"/>
            <w:vAlign w:val="bottom"/>
          </w:tcPr>
          <w:p>
            <w:pPr>
              <w:spacing w:after="0"/>
              <w:rPr>
                <w:sz w:val="16"/>
                <w:szCs w:val="16"/>
                <w:color w:val="auto"/>
              </w:rPr>
            </w:pPr>
          </w:p>
        </w:tc>
        <w:tc>
          <w:tcPr>
            <w:tcW w:w="226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98"/>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right"/>
              <w:ind w:right="11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vMerge w:val="restart"/>
          </w:tcPr>
          <w:p>
            <w:pPr>
              <w:jc w:val="right"/>
              <w:ind w:right="9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(Shares in thousands)</w:t>
            </w:r>
          </w:p>
        </w:tc>
        <w:tc>
          <w:tcPr>
            <w:tcW w:w="120" w:type="dxa"/>
            <w:vAlign w:val="bottom"/>
            <w:vMerge w:val="restart"/>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Share Units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beginning of year</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482</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29.49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207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32.82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449</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34.35</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38"/>
              <w:spacing w:after="0"/>
              <w:rPr>
                <w:sz w:val="20"/>
                <w:szCs w:val="20"/>
                <w:color w:val="auto"/>
              </w:rPr>
            </w:pPr>
            <w:r>
              <w:rPr>
                <w:rFonts w:ascii="Arial" w:cs="Arial" w:eastAsia="Arial" w:hAnsi="Arial"/>
                <w:sz w:val="18"/>
                <w:szCs w:val="18"/>
                <w:color w:val="auto"/>
              </w:rPr>
              <w:t>45.32</w:t>
            </w:r>
          </w:p>
        </w:tc>
        <w:tc>
          <w:tcPr>
            <w:tcW w:w="100" w:type="dxa"/>
            <w:vAlign w:val="bottom"/>
          </w:tcPr>
          <w:p>
            <w:pPr>
              <w:spacing w:after="0"/>
              <w:rPr>
                <w:sz w:val="21"/>
                <w:szCs w:val="21"/>
                <w:color w:val="auto"/>
              </w:rPr>
            </w:pP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40.98</w:t>
            </w:r>
          </w:p>
        </w:tc>
        <w:tc>
          <w:tcPr>
            <w:tcW w:w="10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42.20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17.69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27.37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31.19</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35.36</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September 30, 2019</w:t>
            </w:r>
          </w:p>
        </w:tc>
        <w:tc>
          <w:tcPr>
            <w:tcW w:w="10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394</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42.02</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169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41.31</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366</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39.34</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February 2019, certain members of senior management were granted nonvested common shares under the Essent Group Ltd. 2013 Long-Term Incentive Plan ("2013 Plan") that were subject to time-based vesting. These awards vest in three equal installments on March 1, 2020, 2021 and 2022. In March 2019, certain members of senior management were granted nonvested common shares under the 2013 Plan that were subject to performance-based vesting. The performance-based share awards vest based upon our compounded annual book value per share growth percentage during a three-year performance period that commenced on January 1, 2019 and vest on March 1, 2022. The portion of these nonvested performance-based share awards that will be earned based upon the achievement of compounded annual book value per share growth is as follows: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Performance level</w:t>
            </w:r>
          </w:p>
        </w:tc>
        <w:tc>
          <w:tcPr>
            <w:tcW w:w="2380" w:type="dxa"/>
            <w:vAlign w:val="bottom"/>
          </w:tcPr>
          <w:p>
            <w:pPr>
              <w:jc w:val="right"/>
              <w:ind w:right="194"/>
              <w:spacing w:after="0"/>
              <w:rPr>
                <w:sz w:val="20"/>
                <w:szCs w:val="20"/>
                <w:color w:val="auto"/>
              </w:rPr>
            </w:pPr>
            <w:r>
              <w:rPr>
                <w:rFonts w:ascii="Arial" w:cs="Arial" w:eastAsia="Arial" w:hAnsi="Arial"/>
                <w:sz w:val="14"/>
                <w:szCs w:val="14"/>
                <w:b w:val="1"/>
                <w:bCs w:val="1"/>
                <w:color w:val="auto"/>
                <w:w w:val="93"/>
              </w:rPr>
              <w:t>Compounded Annual Book Value</w:t>
            </w:r>
          </w:p>
        </w:tc>
        <w:tc>
          <w:tcPr>
            <w:tcW w:w="1880" w:type="dxa"/>
            <w:vAlign w:val="bottom"/>
          </w:tcPr>
          <w:p>
            <w:pPr>
              <w:jc w:val="right"/>
              <w:ind w:right="294"/>
              <w:spacing w:after="0"/>
              <w:rPr>
                <w:sz w:val="20"/>
                <w:szCs w:val="20"/>
                <w:color w:val="auto"/>
              </w:rPr>
            </w:pPr>
            <w:r>
              <w:rPr>
                <w:rFonts w:ascii="Arial" w:cs="Arial" w:eastAsia="Arial" w:hAnsi="Arial"/>
                <w:sz w:val="14"/>
                <w:szCs w:val="14"/>
                <w:b w:val="1"/>
                <w:bCs w:val="1"/>
                <w:color w:val="auto"/>
              </w:rPr>
              <w:t>Nonvested Common</w:t>
            </w:r>
          </w:p>
        </w:tc>
        <w:tc>
          <w:tcPr>
            <w:tcW w:w="0" w:type="dxa"/>
            <w:vAlign w:val="bottom"/>
          </w:tcPr>
          <w:p>
            <w:pPr>
              <w:spacing w:after="0"/>
              <w:rPr>
                <w:sz w:val="1"/>
                <w:szCs w:val="1"/>
                <w:color w:val="auto"/>
              </w:rPr>
            </w:pPr>
          </w:p>
        </w:tc>
      </w:tr>
      <w:tr>
        <w:trPr>
          <w:trHeight w:val="192"/>
        </w:trPr>
        <w:tc>
          <w:tcPr>
            <w:tcW w:w="7160" w:type="dxa"/>
            <w:vAlign w:val="bottom"/>
            <w:gridSpan w:val="2"/>
            <w:vMerge w:val="continue"/>
          </w:tcPr>
          <w:p>
            <w:pPr>
              <w:spacing w:after="0"/>
              <w:rPr>
                <w:sz w:val="16"/>
                <w:szCs w:val="16"/>
                <w:color w:val="auto"/>
              </w:rPr>
            </w:pPr>
          </w:p>
        </w:tc>
        <w:tc>
          <w:tcPr>
            <w:tcW w:w="2380" w:type="dxa"/>
            <w:vAlign w:val="bottom"/>
          </w:tcPr>
          <w:p>
            <w:pPr>
              <w:jc w:val="right"/>
              <w:ind w:right="654"/>
              <w:spacing w:after="0"/>
              <w:rPr>
                <w:sz w:val="20"/>
                <w:szCs w:val="20"/>
                <w:color w:val="auto"/>
              </w:rPr>
            </w:pPr>
            <w:r>
              <w:rPr>
                <w:rFonts w:ascii="Arial" w:cs="Arial" w:eastAsia="Arial" w:hAnsi="Arial"/>
                <w:sz w:val="14"/>
                <w:szCs w:val="14"/>
                <w:b w:val="1"/>
                <w:bCs w:val="1"/>
                <w:color w:val="auto"/>
              </w:rPr>
              <w:t>Per Share Growth</w:t>
            </w:r>
          </w:p>
        </w:tc>
        <w:tc>
          <w:tcPr>
            <w:tcW w:w="1880" w:type="dxa"/>
            <w:vAlign w:val="bottom"/>
          </w:tcPr>
          <w:p>
            <w:pPr>
              <w:jc w:val="right"/>
              <w:ind w:right="454"/>
              <w:spacing w:after="0"/>
              <w:rPr>
                <w:sz w:val="20"/>
                <w:szCs w:val="20"/>
                <w:color w:val="auto"/>
              </w:rPr>
            </w:pPr>
            <w:r>
              <w:rPr>
                <w:rFonts w:ascii="Arial" w:cs="Arial" w:eastAsia="Arial" w:hAnsi="Arial"/>
                <w:sz w:val="14"/>
                <w:szCs w:val="14"/>
                <w:b w:val="1"/>
                <w:bCs w:val="1"/>
                <w:color w:val="auto"/>
              </w:rPr>
              <w:t>Shares Earned</w:t>
            </w:r>
          </w:p>
        </w:tc>
        <w:tc>
          <w:tcPr>
            <w:tcW w:w="0" w:type="dxa"/>
            <w:vAlign w:val="bottom"/>
          </w:tcPr>
          <w:p>
            <w:pPr>
              <w:spacing w:after="0"/>
              <w:rPr>
                <w:sz w:val="1"/>
                <w:szCs w:val="1"/>
                <w:color w:val="auto"/>
              </w:rPr>
            </w:pPr>
          </w:p>
        </w:tc>
      </w:tr>
      <w:tr>
        <w:trPr>
          <w:trHeight w:val="250"/>
        </w:trPr>
        <w:tc>
          <w:tcPr>
            <w:tcW w:w="694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380" w:type="dxa"/>
            <w:vAlign w:val="bottom"/>
            <w:tcBorders>
              <w:top w:val="single" w:sz="8" w:color="auto"/>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&lt;14%</w:t>
            </w:r>
          </w:p>
        </w:tc>
        <w:tc>
          <w:tcPr>
            <w:tcW w:w="1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3"/>
        </w:trPr>
        <w:tc>
          <w:tcPr>
            <w:tcW w:w="7160" w:type="dxa"/>
            <w:vAlign w:val="bottom"/>
            <w:gridSpan w:val="2"/>
          </w:tcPr>
          <w:p>
            <w:pPr>
              <w:ind w:left="40"/>
              <w:spacing w:after="0"/>
              <w:rPr>
                <w:sz w:val="20"/>
                <w:szCs w:val="20"/>
                <w:color w:val="auto"/>
              </w:rPr>
            </w:pPr>
            <w:r>
              <w:rPr>
                <w:rFonts w:ascii="Arial" w:cs="Arial" w:eastAsia="Arial" w:hAnsi="Arial"/>
                <w:sz w:val="18"/>
                <w:szCs w:val="18"/>
                <w:b w:val="1"/>
                <w:bCs w:val="1"/>
                <w:color w:val="auto"/>
              </w:rPr>
              <w:t>Threshold</w:t>
            </w:r>
          </w:p>
        </w:tc>
        <w:tc>
          <w:tcPr>
            <w:tcW w:w="2380" w:type="dxa"/>
            <w:vAlign w:val="bottom"/>
          </w:tcPr>
          <w:p>
            <w:pPr>
              <w:jc w:val="right"/>
              <w:ind w:right="174"/>
              <w:spacing w:after="0"/>
              <w:rPr>
                <w:sz w:val="20"/>
                <w:szCs w:val="20"/>
                <w:color w:val="auto"/>
              </w:rPr>
            </w:pPr>
            <w:r>
              <w:rPr>
                <w:rFonts w:ascii="Arial" w:cs="Arial" w:eastAsia="Arial" w:hAnsi="Arial"/>
                <w:sz w:val="18"/>
                <w:szCs w:val="18"/>
                <w:color w:val="auto"/>
              </w:rPr>
              <w:t>14%</w:t>
            </w:r>
          </w:p>
        </w:tc>
        <w:tc>
          <w:tcPr>
            <w:tcW w:w="18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15%</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6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80" w:type="dxa"/>
            <w:vAlign w:val="bottom"/>
          </w:tcPr>
          <w:p>
            <w:pPr>
              <w:jc w:val="right"/>
              <w:ind w:right="174"/>
              <w:spacing w:after="0"/>
              <w:rPr>
                <w:sz w:val="20"/>
                <w:szCs w:val="20"/>
                <w:color w:val="auto"/>
              </w:rPr>
            </w:pPr>
            <w:r>
              <w:rPr>
                <w:rFonts w:ascii="Arial" w:cs="Arial" w:eastAsia="Arial" w:hAnsi="Arial"/>
                <w:sz w:val="18"/>
                <w:szCs w:val="18"/>
                <w:color w:val="auto"/>
              </w:rPr>
              <w:t>16%</w:t>
            </w:r>
          </w:p>
        </w:tc>
        <w:tc>
          <w:tcPr>
            <w:tcW w:w="18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17%</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7160" w:type="dxa"/>
            <w:vAlign w:val="bottom"/>
            <w:gridSpan w:val="2"/>
          </w:tcPr>
          <w:p>
            <w:pPr>
              <w:ind w:left="40"/>
              <w:spacing w:after="0"/>
              <w:rPr>
                <w:sz w:val="20"/>
                <w:szCs w:val="20"/>
                <w:color w:val="auto"/>
              </w:rPr>
            </w:pPr>
            <w:r>
              <w:rPr>
                <w:rFonts w:ascii="Arial" w:cs="Arial" w:eastAsia="Arial" w:hAnsi="Arial"/>
                <w:sz w:val="18"/>
                <w:szCs w:val="18"/>
                <w:b w:val="1"/>
                <w:bCs w:val="1"/>
                <w:color w:val="auto"/>
              </w:rPr>
              <w:t>Maximum</w:t>
            </w:r>
          </w:p>
        </w:tc>
        <w:tc>
          <w:tcPr>
            <w:tcW w:w="2380" w:type="dxa"/>
            <w:vAlign w:val="bottom"/>
          </w:tcPr>
          <w:p>
            <w:pPr>
              <w:jc w:val="right"/>
              <w:ind w:right="174"/>
              <w:spacing w:after="0"/>
              <w:rPr>
                <w:sz w:val="20"/>
                <w:szCs w:val="20"/>
                <w:color w:val="auto"/>
              </w:rPr>
            </w:pPr>
            <w:r>
              <w:rPr>
                <w:rFonts w:ascii="Arial" w:cs="Arial" w:eastAsia="Arial" w:hAnsi="Arial"/>
                <w:sz w:val="18"/>
                <w:szCs w:val="18"/>
                <w:color w:val="auto"/>
              </w:rPr>
              <w:t>≥18%</w:t>
            </w:r>
          </w:p>
        </w:tc>
        <w:tc>
          <w:tcPr>
            <w:tcW w:w="18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94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2380" w:type="dxa"/>
            <w:vAlign w:val="bottom"/>
            <w:tcBorders>
              <w:bottom w:val="single" w:sz="8" w:color="auto"/>
            </w:tcBorders>
            <w:shd w:val="clear" w:color="auto" w:fill="CCEEFF"/>
          </w:tcPr>
          <w:p>
            <w:pPr>
              <w:spacing w:after="0"/>
              <w:rPr>
                <w:sz w:val="24"/>
                <w:szCs w:val="24"/>
                <w:color w:val="auto"/>
              </w:rPr>
            </w:pPr>
          </w:p>
        </w:tc>
        <w:tc>
          <w:tcPr>
            <w:tcW w:w="188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In the event that the compounded annual book value per share growth falls between the performance levels shown above, the nonvested common shares earned will be determined on a straight-line basis between the respective levels shown.</w:t>
      </w:r>
    </w:p>
    <w:p>
      <w:pPr>
        <w:spacing w:after="0" w:line="17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In connection with our incentive program covering bonus awards for performance year 2018, in February 2019, time-based share units were issued to certain employees that vest in three equal installments on March 1, 2020, 2021 and 2022. In May 2019, time-based share units were granted to non-employee directors that vest one year from the date of grant.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The total fair value on the vesting date of nonvested shares or share units that vested was $24.9 million and $75.2 million for the nine months ended September 30, 2019 and 2018, respectively. As of September 30, 2019, there was $21.5 million of total unrecognized compensation expense related to nonvested shares or share units outstanding at September 30, 2019 and we expect to recognize the expense over a weighted average period of 2.0 years.</w:t>
      </w:r>
    </w:p>
    <w:p>
      <w:pPr>
        <w:spacing w:after="0" w:line="147"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Employees have the option to tender shares to Essent Group to pay the minimum employee statutory withholding taxes associated with shares upon vesting. Common shares tendered by employees to pay employee withholding taxes totaled 205,500 in the nine months ended September 30, 2019. The tendered shares were recorded at cost and included in treasury stock. All treasury stock has been cancelled as of September 30, 2019.</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Compensation expense, net of forfeitures, and related tax effects recognized in connection with nonvested shares was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6"/>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expense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4,170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12,492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11,269</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Income tax benefit</w:t>
            </w:r>
          </w:p>
        </w:tc>
        <w:tc>
          <w:tcPr>
            <w:tcW w:w="280" w:type="dxa"/>
            <w:vAlign w:val="bottom"/>
          </w:tcPr>
          <w:p>
            <w:pPr>
              <w:spacing w:after="0"/>
              <w:rPr>
                <w:sz w:val="21"/>
                <w:szCs w:val="21"/>
                <w:color w:val="auto"/>
              </w:rPr>
            </w:pP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792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2,347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2,098</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Earnings per Share (EPS)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table reconciles the net income and the weighted average common shares outstanding used in the computations of basic and diluted earnings per common share: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3"/>
                <w:szCs w:val="13"/>
                <w:color w:val="auto"/>
              </w:rPr>
            </w:pPr>
          </w:p>
        </w:tc>
      </w:t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144,630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116,011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408,755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338,835</w:t>
            </w:r>
          </w:p>
        </w:tc>
      </w:tr>
      <w:tr>
        <w:trPr>
          <w:trHeight w:val="122"/>
        </w:trPr>
        <w:tc>
          <w:tcPr>
            <w:tcW w:w="5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97,822</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97,438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97,739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97,388</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Dilutive effect of nonvested shares</w:t>
            </w:r>
          </w:p>
        </w:tc>
        <w:tc>
          <w:tcPr>
            <w:tcW w:w="3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556</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98,257</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98,013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98,178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97,944</w:t>
            </w:r>
          </w:p>
        </w:tc>
      </w:tr>
      <w:tr>
        <w:trPr>
          <w:trHeight w:val="122"/>
        </w:trPr>
        <w:tc>
          <w:tcPr>
            <w:tcW w:w="5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3.48</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Diluted earnings per share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3.46</w:t>
            </w:r>
          </w:p>
        </w:tc>
      </w:tr>
    </w:tbl>
    <w:p>
      <w:pPr>
        <w:spacing w:after="0" w:line="200" w:lineRule="exact"/>
        <w:rPr>
          <w:sz w:val="20"/>
          <w:szCs w:val="20"/>
          <w:color w:val="auto"/>
        </w:rPr>
      </w:pPr>
    </w:p>
    <w:p>
      <w:pPr>
        <w:spacing w:after="0" w:line="24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There were 203 and 11,445 antidilutive shares for the three months ended September 30, 2019 and 2018, respectively and 52,766 and 164,874 antidilutive shares for the nine months ended September 30, 2019 and 2018, respectively.</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nonvested performance-based share awards are considered contingently issuable for purposes of the EPS calculation. Based on the compounded annual book value per share growth as of September 30, 2019 and 2018, 100% of the dilutive performance-based share awards would be issuable under the terms of the arrangements at each date if September 30 was the end of the contingency period.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Accumulated Other Comprehensive Income (Loss)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presents the rollforward of accumulated other comprehensive income (loss) for the three and nine months ended September 30, 2019 and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3"/>
              </w:rPr>
              <w:t>Three Months Ended September 30,</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76"/>
        </w:trPr>
        <w:tc>
          <w:tcPr>
            <w:tcW w:w="3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4"/>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9"/>
              </w:rPr>
              <w:t>Before Tax</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5"/>
              </w:rPr>
              <w:t>Tax Effect</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Net of Tax</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6"/>
              </w:rPr>
              <w:t>Before Tax</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2"/>
              </w:rPr>
              <w:t>Tax Effect</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Net of Tax</w:t>
            </w: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Balance at beginning of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56,122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(10,762)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45,360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(44,456)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5,208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(39,248)</w:t>
            </w: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4020" w:type="dxa"/>
            <w:vAlign w:val="bottom"/>
            <w:gridSpan w:val="2"/>
          </w:tcPr>
          <w:p>
            <w:pPr>
              <w:ind w:left="280"/>
              <w:spacing w:after="0"/>
              <w:rPr>
                <w:sz w:val="20"/>
                <w:szCs w:val="20"/>
                <w:color w:val="auto"/>
              </w:rPr>
            </w:pPr>
            <w:r>
              <w:rPr>
                <w:rFonts w:ascii="Arial" w:cs="Arial" w:eastAsia="Arial" w:hAnsi="Arial"/>
                <w:sz w:val="18"/>
                <w:szCs w:val="18"/>
                <w:color w:val="auto"/>
                <w:w w:val="93"/>
              </w:rPr>
              <w:t>Unrealized holding gains (losses) on investments:</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40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5"/>
              </w:rPr>
              <w:t>Unrealized holding gains (losses) arising during</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402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the period</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22,160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18,277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1,241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(7,788)</w:t>
            </w:r>
          </w:p>
        </w:tc>
      </w:tr>
      <w:tr>
        <w:trPr>
          <w:trHeight w:val="229"/>
        </w:trPr>
        <w:tc>
          <w:tcPr>
            <w:tcW w:w="4020" w:type="dxa"/>
            <w:vAlign w:val="bottom"/>
            <w:gridSpan w:val="2"/>
          </w:tcPr>
          <w:p>
            <w:pPr>
              <w:ind w:left="380"/>
              <w:spacing w:after="0"/>
              <w:rPr>
                <w:sz w:val="20"/>
                <w:szCs w:val="20"/>
                <w:color w:val="auto"/>
              </w:rPr>
            </w:pPr>
            <w:r>
              <w:rPr>
                <w:rFonts w:ascii="Arial" w:cs="Arial" w:eastAsia="Arial" w:hAnsi="Arial"/>
                <w:sz w:val="18"/>
                <w:szCs w:val="18"/>
                <w:color w:val="auto"/>
              </w:rPr>
              <w:t>Less: Reclassification adjustment for gains</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020" w:type="dxa"/>
            <w:vAlign w:val="bottom"/>
            <w:gridSpan w:val="2"/>
          </w:tcPr>
          <w:p>
            <w:pPr>
              <w:ind w:left="540"/>
              <w:spacing w:after="0"/>
              <w:rPr>
                <w:sz w:val="20"/>
                <w:szCs w:val="20"/>
                <w:color w:val="auto"/>
              </w:rPr>
            </w:pPr>
            <w:r>
              <w:rPr>
                <w:rFonts w:ascii="Arial" w:cs="Arial" w:eastAsia="Arial" w:hAnsi="Arial"/>
                <w:sz w:val="18"/>
                <w:szCs w:val="18"/>
                <w:color w:val="auto"/>
              </w:rPr>
              <w:t>included in net income (1)</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(413)</w:t>
            </w: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4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unrealized gains (losses) on investments</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21,007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17,367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1,352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(8,201)</w:t>
            </w:r>
          </w:p>
        </w:tc>
      </w:tr>
      <w:tr>
        <w:trPr>
          <w:trHeight w:val="237"/>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21,007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17,367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(9,553)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1,352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(8,201)</w:t>
            </w: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77,129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62,727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(47,449)</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563"/>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2"/>
              </w:rPr>
              <w:t>Nine Months Ended September 30,</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6"/>
        </w:trPr>
        <w:tc>
          <w:tcPr>
            <w:tcW w:w="3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4"/>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9"/>
              </w:rPr>
              <w:t>Before Tax</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5"/>
              </w:rPr>
              <w:t>Tax Effect</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Net of Tax</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6"/>
              </w:rPr>
              <w:t>Before Tax</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2"/>
              </w:rPr>
              <w:t>Tax Effect</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Net of Tax</w:t>
            </w: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Balance at beginning of year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(33,276)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4,283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(28,993)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(1,849)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(3,252)</w:t>
            </w: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4020" w:type="dxa"/>
            <w:vAlign w:val="bottom"/>
            <w:gridSpan w:val="2"/>
          </w:tcPr>
          <w:p>
            <w:pPr>
              <w:ind w:left="280"/>
              <w:spacing w:after="0"/>
              <w:rPr>
                <w:sz w:val="20"/>
                <w:szCs w:val="20"/>
                <w:color w:val="auto"/>
              </w:rPr>
            </w:pPr>
            <w:r>
              <w:rPr>
                <w:rFonts w:ascii="Arial" w:cs="Arial" w:eastAsia="Arial" w:hAnsi="Arial"/>
                <w:sz w:val="18"/>
                <w:szCs w:val="18"/>
                <w:color w:val="auto"/>
                <w:w w:val="93"/>
              </w:rPr>
              <w:t>Unrealized holding gains (losses) on investments:</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40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5"/>
              </w:rPr>
              <w:t>Unrealized holding gains (losses) arising during</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402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the period</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112,801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(19,165)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93,636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7,686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(43,314)</w:t>
            </w:r>
          </w:p>
        </w:tc>
      </w:tr>
      <w:tr>
        <w:trPr>
          <w:trHeight w:val="229"/>
        </w:trPr>
        <w:tc>
          <w:tcPr>
            <w:tcW w:w="4020" w:type="dxa"/>
            <w:vAlign w:val="bottom"/>
            <w:gridSpan w:val="2"/>
          </w:tcPr>
          <w:p>
            <w:pPr>
              <w:ind w:left="380"/>
              <w:spacing w:after="0"/>
              <w:rPr>
                <w:sz w:val="20"/>
                <w:szCs w:val="20"/>
                <w:color w:val="auto"/>
              </w:rPr>
            </w:pPr>
            <w:r>
              <w:rPr>
                <w:rFonts w:ascii="Arial" w:cs="Arial" w:eastAsia="Arial" w:hAnsi="Arial"/>
                <w:sz w:val="18"/>
                <w:szCs w:val="18"/>
                <w:color w:val="auto"/>
              </w:rPr>
              <w:t>Less: Reclassification adjustment for gains</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020" w:type="dxa"/>
            <w:vAlign w:val="bottom"/>
            <w:gridSpan w:val="2"/>
          </w:tcPr>
          <w:p>
            <w:pPr>
              <w:ind w:left="540"/>
              <w:spacing w:after="0"/>
              <w:rPr>
                <w:sz w:val="20"/>
                <w:szCs w:val="20"/>
                <w:color w:val="auto"/>
              </w:rPr>
            </w:pPr>
            <w:r>
              <w:rPr>
                <w:rFonts w:ascii="Arial" w:cs="Arial" w:eastAsia="Arial" w:hAnsi="Arial"/>
                <w:sz w:val="18"/>
                <w:szCs w:val="18"/>
                <w:color w:val="auto"/>
              </w:rPr>
              <w:t>included in net income (1)</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(883)</w:t>
            </w: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4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unrealized gains (losses) on investments</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110,405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91,720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(44,197)</w:t>
            </w:r>
          </w:p>
        </w:tc>
      </w:tr>
      <w:tr>
        <w:trPr>
          <w:trHeight w:val="237"/>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110,405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(18,685)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91,720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(52,160)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7,963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(44,197)</w:t>
            </w: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77,129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62,727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(47,449)</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Included in net realized investment gains on our condensed consolidated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4065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Fair Value of Financial Instruments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We carry certain of our financial instruments at fair value. We define fair value as the current amount that would be exchanged to sell an asset or transfer a liability, other than in a forced liquidation.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Hierarchy</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ASC No. 820 specifies a hierarchy of valuation techniques based on whether the inputs to those valuation techniques are observable or unobservable. Observable inputs reflect market data obtained from independent sources, while unobservable inputs reflect our market assumptions. The level within the fair value hierarchy to measure the financial instrument shall be determined based on the lowest level input that is significant to the fair value measurement. The three levels of the fair value hierarchy are as follows:</w:t>
      </w:r>
    </w:p>
    <w:p>
      <w:pPr>
        <w:spacing w:after="0" w:line="18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 Quoted prices for identical instruments in active markets accessible at the measurement date.</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660" w:right="14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valuations in which all significant inputs are observable in active markets. Inputs are observable for substantially the full term of the financial instrument.</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 — Valuations derived from one or more significant inputs that are unobservable.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Fair Value</w:t>
      </w:r>
    </w:p>
    <w:p>
      <w:pPr>
        <w:spacing w:after="0" w:line="22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When available, we generally use quoted market prices to determine fair value and classify the financial instrument in Level 1. In cases where quoted market prices for similar financial instruments are available, we utilize these inputs for valuation techniques and classify the financial instrument in Level 2. In cases where quoted market prices are not available, fair values are based on estimates using discounted cash flows, present value or other valuation techniques. Those techniques are significantly affected by the assumptions used, including the discount rates and estimates of future cash flows and we classify the financial instrument in Level 3. Accordingly, the fair value estimates may not be realized in an immediate settlement of the instrument.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used the following methods and assumptions in estimating fair values of financial instruments:</w:t>
      </w:r>
    </w:p>
    <w:p>
      <w:pPr>
        <w:spacing w:after="0" w:line="225" w:lineRule="exact"/>
        <w:rPr>
          <w:sz w:val="20"/>
          <w:szCs w:val="20"/>
          <w:color w:val="auto"/>
        </w:rPr>
      </w:pPr>
    </w:p>
    <w:p>
      <w:pPr>
        <w:ind w:left="660" w:right="20" w:hanging="328"/>
        <w:spacing w:after="0" w:line="273"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Investments available for sale — Investments available for sale are valued using quoted market prices in active markets, when available, and those investments are classified as Level 1 of the fair value hierarchy. Level 1 investments available for sale include investments such as U.S. Treasury securities and money market funds. Investments available for sale are classified as Level 2 of the fair value hierarchy if quoted market prices are not available and fair values are estimated using quoted prices of similar securities or recently executed transactions for the securities. U.S. agency securities, U.S. agency mortgage-backed securities, municipal debt securities, non-U.S. government securities, corporate debt securities, residential and commercial mortgage securities and asset-backed securities are classified as Level 2 investments.</w:t>
      </w:r>
    </w:p>
    <w:p>
      <w:pPr>
        <w:spacing w:after="0" w:line="178" w:lineRule="exact"/>
        <w:rPr>
          <w:rFonts w:ascii="Arial" w:cs="Arial" w:eastAsia="Arial" w:hAnsi="Arial"/>
          <w:sz w:val="17"/>
          <w:szCs w:val="17"/>
          <w:color w:val="auto"/>
        </w:rPr>
      </w:pPr>
    </w:p>
    <w:p>
      <w:pPr>
        <w:ind w:left="660"/>
        <w:spacing w:after="0" w:line="287" w:lineRule="auto"/>
        <w:rPr>
          <w:rFonts w:ascii="Arial" w:cs="Arial" w:eastAsia="Arial" w:hAnsi="Arial"/>
          <w:sz w:val="17"/>
          <w:szCs w:val="17"/>
          <w:color w:val="auto"/>
        </w:rPr>
      </w:pPr>
      <w:r>
        <w:rPr>
          <w:rFonts w:ascii="Arial" w:cs="Arial" w:eastAsia="Arial" w:hAnsi="Arial"/>
          <w:sz w:val="16"/>
          <w:szCs w:val="16"/>
          <w:color w:val="auto"/>
        </w:rPr>
        <w:t>We use independent pricing sources to determine the fair value of securities available for sale in Level 1 and Level 2 of the fair value hierarchy. We use one primary pricing service to provide individual security pricing based on observable market data and receive one quote per security. To ensure securities are appropriately classified in the fair value hierarchy, we review the pricing techniques and methodologies of the independent pricing service and believe that their policies adequately consider market activity, either based on specific transactions for the issue valued or based on modeling of securities with similar credit quality, duration, yield and structure that were recently traded. U.S. agency securities, U.S. agency mortgage-backed securities, municipal debt securities, non-U.S. government securities and corporate debt securities are valued by our primary vendor using recently executed transactions and proprietary models based on observable inputs, such as interest rate spreads, yield curves and credit risk. Residential and commercial mortgage securities and asset-backed securities are valued by our primary vendor using proprietary models based on observable inputs, such as interest rate spreads, prepayment speeds and credit risk. As part of our evaluation of investment prices provided by our primary pricing service, we obtained and reviewed their pricing methodologies which include a description of how each security type is evaluated and priced. We review the reasonableness of prices received from our primary pricing service by comparison to prices obtained from additional pricing sources. We have not made any adjustments to the prices obtained from our primary pricing service.</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125" w:right="2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All assets measured at fair value are categorized in the table below based upon the lowest level of significant input to the valuations. All fair value measurements at the reporting date were on a recurring basis.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Quoted Prices</w:t>
            </w:r>
          </w:p>
        </w:tc>
        <w:tc>
          <w:tcPr>
            <w:tcW w:w="280" w:type="dxa"/>
            <w:vAlign w:val="bottom"/>
          </w:tcPr>
          <w:p>
            <w:pPr>
              <w:spacing w:after="0"/>
              <w:rPr>
                <w:sz w:val="14"/>
                <w:szCs w:val="14"/>
                <w:color w:val="auto"/>
              </w:rPr>
            </w:pPr>
          </w:p>
        </w:tc>
        <w:tc>
          <w:tcPr>
            <w:tcW w:w="14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Significant</w:t>
            </w: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in Active</w:t>
            </w:r>
          </w:p>
        </w:tc>
        <w:tc>
          <w:tcPr>
            <w:tcW w:w="2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Significant</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Identical</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Observable</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September 30, 2019 (In thousands)</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Instruments</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Financial Assets:</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271,359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271,359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U.S. agency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33,544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33,544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agency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829,748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829,748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Municipal debt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364,140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364,140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Non-U.S. government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49,935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49,935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Corporate debt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824,632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824,632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Residential and commercial mortgage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283,790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283,790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324,861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324,861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Money market funds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252,604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252,604</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assets at fair value (1)</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523,963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2,710,650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3,234,613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right="2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Does not include the fair value of embedded derivatives, which we have accounted for separately as freestanding derivatives and included in other assets in our condensed consolidated balance sheet. See Note 4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14065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Quoted Prices</w:t>
            </w:r>
          </w:p>
        </w:tc>
        <w:tc>
          <w:tcPr>
            <w:tcW w:w="280" w:type="dxa"/>
            <w:vAlign w:val="bottom"/>
          </w:tcPr>
          <w:p>
            <w:pPr>
              <w:spacing w:after="0"/>
              <w:rPr>
                <w:sz w:val="14"/>
                <w:szCs w:val="14"/>
                <w:color w:val="auto"/>
              </w:rPr>
            </w:pPr>
          </w:p>
        </w:tc>
        <w:tc>
          <w:tcPr>
            <w:tcW w:w="14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Significant</w:t>
            </w: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in Active</w:t>
            </w:r>
          </w:p>
        </w:tc>
        <w:tc>
          <w:tcPr>
            <w:tcW w:w="2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Significant</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Identical</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Observable</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2018 (In thousands)</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Instruments</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Financial Assets:</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289,892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289,892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U.S. agency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32,997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32,997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agency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637,178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637,178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Municipal debt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483,879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483,879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Non-U.S. government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45,001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45,001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Corporate debt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725,201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725,201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Residential and commercial mortgage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121,838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121,838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284,997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284,997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Money market funds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139,083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139,083</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assets at fair value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428,975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2,331,091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2,760,066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Statutory Accounting</w:t>
      </w:r>
    </w:p>
    <w:p>
      <w:pPr>
        <w:spacing w:after="0" w:line="22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Our U.S. insurance subsidiaries prepare statutory-basis financial statements in accordance with the accounting practices prescribed or permitted by their respective state’s department of insurance, which is a comprehensive basis of accounting other than GAAP. We did not use any prescribed or permitted statutory accounting practices (individually or in the aggregate) that resulted in reported statutory surplus or capital that was significantly different from the statutory surplus or capital that would have been reported had National Association of Insurance Commissioners’ statutory accounting practices been followed. The following table presents Essent Guaranty’s and Essent PA’s statutory net income, statutory surplus and contingency reserve liability as of and for the nine months ended September 30:</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8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853"/>
              <w:spacing w:after="0"/>
              <w:rPr>
                <w:sz w:val="20"/>
                <w:szCs w:val="20"/>
                <w:color w:val="auto"/>
              </w:rPr>
            </w:pPr>
            <w:r>
              <w:rPr>
                <w:rFonts w:ascii="Arial" w:cs="Arial" w:eastAsia="Arial" w:hAnsi="Arial"/>
                <w:sz w:val="14"/>
                <w:szCs w:val="14"/>
                <w:b w:val="1"/>
                <w:bCs w:val="1"/>
                <w:color w:val="auto"/>
              </w:rPr>
              <w:t>2018</w:t>
            </w:r>
          </w:p>
        </w:tc>
      </w:tr>
      <w:tr>
        <w:trPr>
          <w:trHeight w:val="250"/>
        </w:trPr>
        <w:tc>
          <w:tcPr>
            <w:tcW w:w="6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Essent Guaranty</w:t>
            </w: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6900" w:type="dxa"/>
            <w:vAlign w:val="bottom"/>
            <w:gridSpan w:val="2"/>
          </w:tcPr>
          <w:p>
            <w:pPr>
              <w:ind w:left="280"/>
              <w:spacing w:after="0"/>
              <w:rPr>
                <w:sz w:val="20"/>
                <w:szCs w:val="20"/>
                <w:color w:val="auto"/>
              </w:rPr>
            </w:pPr>
            <w:r>
              <w:rPr>
                <w:rFonts w:ascii="Arial" w:cs="Arial" w:eastAsia="Arial" w:hAnsi="Arial"/>
                <w:sz w:val="18"/>
                <w:szCs w:val="18"/>
                <w:color w:val="auto"/>
              </w:rPr>
              <w:t>Statutory net income</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323,300</w:t>
            </w:r>
          </w:p>
        </w:tc>
        <w:tc>
          <w:tcPr>
            <w:tcW w:w="12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275,130</w:t>
            </w: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Statutory surplus</w:t>
            </w: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985,266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832,403</w:t>
            </w:r>
          </w:p>
        </w:tc>
      </w:tr>
      <w:tr>
        <w:trPr>
          <w:trHeight w:val="243"/>
        </w:trPr>
        <w:tc>
          <w:tcPr>
            <w:tcW w:w="6900" w:type="dxa"/>
            <w:vAlign w:val="bottom"/>
            <w:gridSpan w:val="2"/>
          </w:tcPr>
          <w:p>
            <w:pPr>
              <w:ind w:left="280"/>
              <w:spacing w:after="0"/>
              <w:rPr>
                <w:sz w:val="20"/>
                <w:szCs w:val="20"/>
                <w:color w:val="auto"/>
              </w:rPr>
            </w:pPr>
            <w:r>
              <w:rPr>
                <w:rFonts w:ascii="Arial" w:cs="Arial" w:eastAsia="Arial" w:hAnsi="Arial"/>
                <w:sz w:val="18"/>
                <w:szCs w:val="18"/>
                <w:color w:val="auto"/>
              </w:rPr>
              <w:t>Contingency reserve liability</w:t>
            </w:r>
          </w:p>
        </w:tc>
        <w:tc>
          <w:tcPr>
            <w:tcW w:w="5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1,122,694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853,422</w:t>
            </w: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97"/>
        </w:trPr>
        <w:tc>
          <w:tcPr>
            <w:tcW w:w="6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43"/>
        </w:trPr>
        <w:tc>
          <w:tcPr>
            <w:tcW w:w="6900" w:type="dxa"/>
            <w:vAlign w:val="bottom"/>
            <w:gridSpan w:val="2"/>
          </w:tcPr>
          <w:p>
            <w:pPr>
              <w:ind w:left="40"/>
              <w:spacing w:after="0"/>
              <w:rPr>
                <w:sz w:val="20"/>
                <w:szCs w:val="20"/>
                <w:color w:val="auto"/>
              </w:rPr>
            </w:pPr>
            <w:r>
              <w:rPr>
                <w:rFonts w:ascii="Arial" w:cs="Arial" w:eastAsia="Arial" w:hAnsi="Arial"/>
                <w:sz w:val="18"/>
                <w:szCs w:val="18"/>
                <w:color w:val="auto"/>
              </w:rPr>
              <w:t>Essent PA</w:t>
            </w:r>
          </w:p>
        </w:tc>
        <w:tc>
          <w:tcPr>
            <w:tcW w:w="5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Statutory net income</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6,285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7,087</w:t>
            </w:r>
          </w:p>
        </w:tc>
      </w:tr>
      <w:tr>
        <w:trPr>
          <w:trHeight w:val="243"/>
        </w:trPr>
        <w:tc>
          <w:tcPr>
            <w:tcW w:w="6900" w:type="dxa"/>
            <w:vAlign w:val="bottom"/>
            <w:gridSpan w:val="2"/>
          </w:tcPr>
          <w:p>
            <w:pPr>
              <w:ind w:left="280"/>
              <w:spacing w:after="0"/>
              <w:rPr>
                <w:sz w:val="20"/>
                <w:szCs w:val="20"/>
                <w:color w:val="auto"/>
              </w:rPr>
            </w:pPr>
            <w:r>
              <w:rPr>
                <w:rFonts w:ascii="Arial" w:cs="Arial" w:eastAsia="Arial" w:hAnsi="Arial"/>
                <w:sz w:val="18"/>
                <w:szCs w:val="18"/>
                <w:color w:val="auto"/>
              </w:rPr>
              <w:t>Statutory surplus</w:t>
            </w:r>
          </w:p>
        </w:tc>
        <w:tc>
          <w:tcPr>
            <w:tcW w:w="5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52,133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48,390</w:t>
            </w: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6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Contingency reserve liability</w:t>
            </w:r>
          </w:p>
        </w:tc>
        <w:tc>
          <w:tcPr>
            <w:tcW w:w="52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51,975</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47,294</w:t>
            </w:r>
          </w:p>
        </w:tc>
      </w:tr>
      <w:tr>
        <w:trPr>
          <w:trHeight w:val="27"/>
        </w:trPr>
        <w:tc>
          <w:tcPr>
            <w:tcW w:w="6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300" w:firstLine="648"/>
        <w:spacing w:after="0" w:line="254" w:lineRule="auto"/>
        <w:rPr>
          <w:sz w:val="20"/>
          <w:szCs w:val="20"/>
          <w:color w:val="auto"/>
        </w:rPr>
      </w:pPr>
      <w:r>
        <w:rPr>
          <w:rFonts w:ascii="Arial" w:cs="Arial" w:eastAsia="Arial" w:hAnsi="Arial"/>
          <w:sz w:val="18"/>
          <w:szCs w:val="18"/>
          <w:color w:val="auto"/>
        </w:rPr>
        <w:t>Net income determined in accordance with statutory accounting practices differs from GAAP. In 2019 and 2018, the more significant differences between net income determined under statutory accounting practices and GAAP for Essent Guaranty and Essent PA relate to policy acquisition costs and income taxes. Under statutory accounting practices, policy acquisition costs are expensed as incurred while such costs are capitalized and amortized to expense over the life of the policy under GAAP. We are eligible for a tax deduction, subject to certain limitations for amounts required by state law or regulation to be set aside in statutory contingency reserves when we purchase non-interest-bearing United States Mortgage Guaranty Tax and Loss Bonds (“T&amp;L Bonds”) issued by the Treasury Department. Under statutory accounting practices, this deduction reduces the tax provision recorded by Essent Guaranty and Essent PA and, as a result, increases statutory net income and surplus as compared to net income and equity determined in accordance with GAAP.</w:t>
      </w:r>
    </w:p>
    <w:p>
      <w:pPr>
        <w:spacing w:after="0" w:line="192"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At September 30, 2019 and 2018, the statutory capital of our U.S. insurance subsidiaries, which is defined as the total of statutory surplus and contingency reserves, was in excess of the statutory capital necessary to satisfy their regulatory requirements.</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Effective December 31, 2015, Fannie Mae and Freddie Mac, at the direction of the Federal Housing Finance Agency,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In 2018, the GSEs released revised PMIERs framework ("PMIERs 2.0") which became effective on March 31, 2019. As of September 30, 2019, Essent Guaranty, our GSE-approved mortgage insurance company, was in compliance with PMIERs 2.0.</w:t>
      </w:r>
    </w:p>
    <w:p>
      <w:pPr>
        <w:spacing w:after="0" w:line="167"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 xml:space="preserve">Statement of Statutory Accounting Principles No. 58, </w:t>
      </w:r>
      <w:r>
        <w:rPr>
          <w:rFonts w:ascii="Arial" w:cs="Arial" w:eastAsia="Arial" w:hAnsi="Arial"/>
          <w:sz w:val="17"/>
          <w:szCs w:val="17"/>
          <w:i w:val="1"/>
          <w:iCs w:val="1"/>
          <w:color w:val="auto"/>
        </w:rPr>
        <w:t>Mortgage Guaranty Insurance,</w:t>
      </w:r>
      <w:r>
        <w:rPr>
          <w:rFonts w:ascii="Arial" w:cs="Arial" w:eastAsia="Arial" w:hAnsi="Arial"/>
          <w:sz w:val="17"/>
          <w:szCs w:val="17"/>
          <w:color w:val="auto"/>
        </w:rPr>
        <w:t xml:space="preserve"> requires mortgage insurers to establish a special contingency reserve for statutory accounting purposes included in total liabilities equal to 50% of earned premium for that year. During the nine months ended September 30, 2019, Essent Guaranty increased its contingency reserve by $206.1 million and Essent PA increased its contingency reserve by $3.4 million. This reserve is required to be maintained for a period of 120 months to protect against the effects of adverse economic cycles. After 120 months, the reserve is released to unassigned funds. In the event an insurer’s loss ratio in any calendar year exceeds 35%, however, the insurer may, after regulatory approval, release from its contingency reserves an amount equal to the excess portion of such losses. Essent Guaranty and Essent PA did not release any amounts from their contingency reserves in the nine months ended September 30, 2019 or 2018.</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Under The Insurance Act 1978, as amended, and related regulations of Bermuda (the "Insurance Act"), Essent Re is required to annually prepare statutory financial statements and a statutory financial return in accordance with the financial reporting provisions of the Insurance Act, which is a basis other than GAAP. The Insurance Act also requires that Essent Re maintain minimum share capital of $1 million and must ensure that the value of its general business assets exceeds the amount of its general business liabilities by an amount greater than the prescribed minimum solvency margins and enhanced capital requirement pertaining to its general business. At December 31, 2018, all such requirements were met.</w:t>
      </w:r>
    </w:p>
    <w:p>
      <w:pPr>
        <w:spacing w:after="0" w:line="173" w:lineRule="exact"/>
        <w:rPr>
          <w:sz w:val="20"/>
          <w:szCs w:val="20"/>
          <w:color w:val="auto"/>
        </w:rPr>
      </w:pPr>
    </w:p>
    <w:p>
      <w:pPr>
        <w:ind w:right="280" w:firstLine="648"/>
        <w:spacing w:after="0" w:line="302" w:lineRule="auto"/>
        <w:rPr>
          <w:sz w:val="20"/>
          <w:szCs w:val="20"/>
          <w:color w:val="auto"/>
        </w:rPr>
      </w:pPr>
      <w:r>
        <w:rPr>
          <w:rFonts w:ascii="Arial" w:cs="Arial" w:eastAsia="Arial" w:hAnsi="Arial"/>
          <w:sz w:val="16"/>
          <w:szCs w:val="16"/>
          <w:color w:val="auto"/>
        </w:rPr>
        <w:t>Essent Re's statutory capital and surplus was $908.1 million as of September 30, 2019 and $798.5 million as of December 31, 2018. Essent Re's statutory net income was $128.2 million and $100.6 million for the nine months ended September 30, 2019 and 2018, respectively. Statutory capital and surplus as of September 30, 2019 and December 31, 2018 and statutory net income in the nine months ended September 30, 2019 and 2018 determined in accordance with statutory accounting practices were not significantly different than the amounts determined under GAAP.</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125" w:right="2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i w:val="1"/>
          <w:iCs w:val="1"/>
          <w:color w:val="auto"/>
        </w:rPr>
        <w:t>The following discussion should be read together with the “Selected Financial Data” and our audited consolidated financial statements and related notes included in our Annual Report on Form 10-K as of and for the year ended December 31, 2018 as filed with the Securities and Exchange Commission and referred to herein as the “Annual Report,” and our condensed consolidated financial statements and related notes as of and for the three and nine months ended September 30, 2019 included in Part I, Item 1 of this Quarterly Report on Form 10-Q, which we refer to as the “Quarterly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entitled “Special Note Regarding Forward-Looking Statements” in this Quarterly Report and Part I, Item 1A “Risk Factors” in our Annual Report.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are an established and growing private mortgage insurance company. Essent Guaranty, Inc., our wholly-owned insurance subsidiary which we refer to as "Essent Guaranty," is licensed to write coverage in all 50 states and the District of Columbia. The financial strength of Essent Guaranty is rated BBB+ with a stable outlook by S&amp;P Global Ratings (“S&amp;P”) and A (Excellent) with a stable outlook by A.M. Best. On October 17, 2019, Moody’s Investors Service (“Moody's”) upgraded its rating of Essent Guaranty to A3 with a stable outlook.</w:t>
      </w:r>
    </w:p>
    <w:p>
      <w:pPr>
        <w:spacing w:after="0" w:line="187"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Our holding company is domiciled in Bermuda and our U.S. insurance business is headquartered in Radnor, Pennsylvania. We operate additional underwriting and service centers in Winston-Salem, North Carolina and Irvine, California. We have a highly experienced, talented team with 386 employees as of September 30, 2019. We generated new insurance written, or NIW, of approximately $18.7 billion and $47.7 billion for the three and nine months ended September 30, 2019, respectively, compared to approximately $13.9 billion and $36.1 billion for the three and nine months ended September 30, 2018, respectively. As of September 30, 2019, we had approximately $161.0 billion of insurance in force.</w:t>
      </w:r>
    </w:p>
    <w:p>
      <w:pPr>
        <w:spacing w:after="0" w:line="173"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We also offer mortgage-related insurance and reinsurance through our wholly-owned Bermuda-based subsidiary, Essent Reinsurance Ltd., which we refer to as "Essent Re." As of September 30, 2019, Essent Re provided insurance or reinsurance relating to GSE risk share and other reinsurance transactions covering approximately $849.2 million of risk. Essent Re also reinsures 25% of Essent Guaranty’s NIW under a quota share reinsurance agreement. The insurer financial strength rating of Essent Re is BBB+ with a stable outlook by S&amp;P and A (Excellent) with a stable outlook by A.M. Best.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Legislative and Regulatory Developments</w:t>
      </w:r>
    </w:p>
    <w:p>
      <w:pPr>
        <w:spacing w:after="0" w:line="229"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Our results are significantly impacted by, and our future success may be affected by, legislative and regulatory developments affecting the housing finance industry. See Part I, Item 1 “Business—Regulation” and Part II, Item 7 “Management’s Discussion and Analysis of Financial Condition and Results of Operations—Legislative and Regulatory Developments” in our Annual Report for a discussion of the laws and regulations to which we are subject as well as legislative and regulatory developments affecting the housing finance industry.</w:t>
      </w:r>
    </w:p>
    <w:p>
      <w:pPr>
        <w:spacing w:after="0" w:line="187"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Effective December 31, 2015, Fannie Mae and Freddie Mac, at the direction of the Federal Housing Finance Agency ("FHFA"),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In 2018, the GSEs released revised PMIERs framework ("PMIERs 2.0") which became effective on March 31, 2019. As of September 30, 2019, Essent Guaranty, our GSE-approved mortgage insurance company, was in compliance with PMIERs 2.0. See additional discussion in “— Liquidity and Capital Resources —Private Mortgage Insurer Eligibility Requirements.”</w:t>
      </w:r>
    </w:p>
    <w:p>
      <w:pPr>
        <w:spacing w:after="0" w:line="179" w:lineRule="exact"/>
        <w:rPr>
          <w:sz w:val="20"/>
          <w:szCs w:val="20"/>
          <w:color w:val="auto"/>
        </w:rPr>
      </w:pPr>
    </w:p>
    <w:p>
      <w:pPr>
        <w:jc w:val="both"/>
        <w:ind w:right="320" w:firstLine="648"/>
        <w:spacing w:after="0" w:line="312" w:lineRule="auto"/>
        <w:rPr>
          <w:sz w:val="20"/>
          <w:szCs w:val="20"/>
          <w:color w:val="auto"/>
        </w:rPr>
      </w:pPr>
      <w:r>
        <w:rPr>
          <w:rFonts w:ascii="Arial" w:cs="Arial" w:eastAsia="Arial" w:hAnsi="Arial"/>
          <w:sz w:val="16"/>
          <w:szCs w:val="16"/>
          <w:color w:val="auto"/>
        </w:rPr>
        <w:t>The U.S. Internal Revenue Service and Department of the Treasury issued proposed regulations on July 10, 2019 relating to the tax treatment of passive foreign investment companies ("PFICs"). The proposed regulations provide guidance on various PFIC rules, including changes resulting from the 2017 Tax Cuts and Jobs Act. The Company is evaluating the potential impact of these proposed regulations to its shareholders and business operations.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Premiums associated with our U.S. mortgage insurance business are based on insurance in force ("IIF") during all or a portion of a period. A change in the average IIF during a period causes premiums to increase or decrease as compared to prior periods. Average net premium rates in effect during a given period will also cause premiums to differ when compared to earlier periods. IIF at the end of a reporting period is a function of the IIF at the beginning of such reporting period plus NIW less policy cancellations (including claims paid) during the period. As a result, premiums are generally influenced by:</w:t>
      </w:r>
    </w:p>
    <w:p>
      <w:pPr>
        <w:spacing w:after="0" w:line="154" w:lineRule="exact"/>
        <w:rPr>
          <w:sz w:val="20"/>
          <w:szCs w:val="20"/>
          <w:color w:val="auto"/>
        </w:rPr>
      </w:pPr>
    </w:p>
    <w:p>
      <w:pPr>
        <w:ind w:left="660" w:right="260" w:hanging="328"/>
        <w:spacing w:after="0" w:line="31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NIW, which is the aggregate principal amount of the new mortgages that are insured during a period. Many factors affect NIW, including, among others, the volume of low down payment home mortgage originations, the competition to provide credit enhancement on those mortgages, the number of customers who have approved us to provide mortgage insurance and changes in our NIW from certain customers;</w:t>
      </w:r>
    </w:p>
    <w:p>
      <w:pPr>
        <w:spacing w:after="0" w:line="146" w:lineRule="exact"/>
        <w:rPr>
          <w:rFonts w:ascii="Arial" w:cs="Arial" w:eastAsia="Arial" w:hAnsi="Arial"/>
          <w:sz w:val="16"/>
          <w:szCs w:val="16"/>
          <w:color w:val="auto"/>
        </w:rPr>
      </w:pPr>
    </w:p>
    <w:p>
      <w:pPr>
        <w:ind w:left="660" w:right="10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Cancellations of our insurance policies, which are impacted by payments on mortgages, home price appreciation, or refinancings, which in turn are affected by mortgage interest rates. Cancellations are also impacted by the levels of claim payments and rescissions;</w:t>
      </w:r>
    </w:p>
    <w:p>
      <w:pPr>
        <w:spacing w:after="0" w:line="146" w:lineRule="exact"/>
        <w:rPr>
          <w:rFonts w:ascii="Arial" w:cs="Arial" w:eastAsia="Arial" w:hAnsi="Arial"/>
          <w:sz w:val="17"/>
          <w:szCs w:val="17"/>
          <w:color w:val="auto"/>
        </w:rPr>
      </w:pPr>
    </w:p>
    <w:p>
      <w:pPr>
        <w:ind w:left="660" w:right="340" w:hanging="328"/>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Premium rates, which represent the amount of the premium due as a percentage of IIF. Premium rates are based on the risk characteristics of the loans insured, the percentage of coverage on the loans, competition from other mortgage insurers and general industry conditions; and</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Premiums ceded or assumed under reinsurance arrangements. See Note 4 to our condensed consolidated financial statements.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Premiums are paid either on a monthly installment basis (“monthly premiums”), in a single payment at origination (“single premiums”), or in some cases as an annual premium. For monthly premiums, we receive a monthly premium payment which is recorded as net premiums earned in the month the coverage is provided. Monthly premium payments are based on the original mortgage amount rather than the amortized loan balance. Net premiums written may be in excess of net premiums earned due to single premium policies. For single premiums, we receive a single premium payment at origination, which is recorded as “unearned premium” and earned over the estimated life of the policy, which ranges from 36 to 156 months depending on the term of the underlying mortgage and loan-to-value ratio at date of origination. If single premium policies are cancelled due to repayment of the underlying loan and the premium is non-refundable, the remaining unearned premium balance is immediately recognized as earned premium revenue. Substantially all of our single premium policies in force as of September 30, 2019 were non-refundable. Premiums collected on annual policies are recognized as net premiums earned on a straight-line basis over the year of coverage. For the nine months ended September 30, 2019, monthly and single premium policies comprised 88.6% and 11.4% of our NIW, respectively.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Premiums associated with our GSE and other risk share transactions are based on the level of risk in force and premium rates on the transactions.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Persistency and Business Mix</w:t>
      </w:r>
    </w:p>
    <w:p>
      <w:pPr>
        <w:spacing w:after="0" w:line="225"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The percentage of IIF that remains on our books after any 12-month period is defined as our persistency rate. Because our insurance premiums are earned over the life of a policy, higher persistency rates can have a significant impact on our profitability. The persistency rate on our portfolio was 82.1% at September 30, 2019. Generally, higher prepayment speeds lead to lower persistency.</w:t>
      </w:r>
    </w:p>
    <w:p>
      <w:pPr>
        <w:spacing w:after="0" w:line="181" w:lineRule="exact"/>
        <w:rPr>
          <w:sz w:val="20"/>
          <w:szCs w:val="20"/>
          <w:color w:val="auto"/>
        </w:rPr>
      </w:pPr>
    </w:p>
    <w:p>
      <w:pPr>
        <w:ind w:right="100" w:firstLine="693"/>
        <w:spacing w:after="0" w:line="273" w:lineRule="auto"/>
        <w:rPr>
          <w:sz w:val="20"/>
          <w:szCs w:val="20"/>
          <w:color w:val="auto"/>
        </w:rPr>
      </w:pPr>
      <w:r>
        <w:rPr>
          <w:rFonts w:ascii="Arial" w:cs="Arial" w:eastAsia="Arial" w:hAnsi="Arial"/>
          <w:sz w:val="17"/>
          <w:szCs w:val="17"/>
          <w:color w:val="auto"/>
        </w:rPr>
        <w:t>Prepayment speeds and the relative mix of business between single premium policies and monthly premium policies also impact our profitability. Our premium rates include certain assumptions regarding repayment or prepayment speeds of the mortgages. Because premiums are paid at origination on single premium policies, assuming all other factors remain constant, if loans are prepaid earlier than expected, our profitability on these loans is likely to increase and, if loans are repaid slower than expected, our profitability on these loans is likely to decrease. By contrast, if monthly premium loans are repaid earlier than anticipated, our premium earned with respect to those loans and therefore our profitability declines. Currently, the expected return on single premium policies is less than the expected return on monthly policies.</w:t>
      </w: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125" w:right="2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Our investment portfolio was predominantly comprised of investment-grade fixed income securities and money market funds as of September 30, 2019. The principal factors that influence investment income are the size of the investment portfolio and the yield on individual securities. As measured by amortized cost (which excludes changes in fair market value, such as from changes in interest rates), the size of our investment portfolio is mainly a function of increases in capital and cash generated from or used in operations which is impacted by net premiums received, investment earnings, net claim payments and expenses. Realized gains and losses are a function of the difference between the amount received on the sale of a security and the security’s amortized cost, as well as any “other-than-temporary” impairments recognized in earnings. The amount received on the sale of fixed income securities is affected by the coupon rate of the security compared to the yield of comparable securities at the time of sale.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Other income includes revenues associated with contract underwriting services and underwriting consulting services to third-party reinsurers. The level of contract underwriting revenue is dependent upon the number of customers who have engaged us for this service and the number of loans underwritten for these customers. Revenue from underwriting consulting services to third-party reinsurers is dependent upon the number of customers who have engaged us for this service and the level of premiums associated with the transactions underwritten for these customers.</w:t>
      </w:r>
    </w:p>
    <w:p>
      <w:pPr>
        <w:spacing w:after="0" w:line="17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connection with the acquisition of our mortgage insurance platform, we entered into a services agreement with Triad Guaranty Inc. and its wholly-owned subsidiary, Triad Guaranty Insurance Corporation, which we refer to collectively as “Triad,” to provide certain information technology maintenance and development and customer support-related services. In return for these services, we receive a fee which is recorded in other income. This fee is adjusted monthly based on the number of Triad’s mortgage insurance policies in force and, accordingly, will decrease over time as Triad’s existing policies are cancelled.</w:t>
      </w:r>
    </w:p>
    <w:p>
      <w:pPr>
        <w:spacing w:after="0" w:line="188" w:lineRule="exact"/>
        <w:rPr>
          <w:sz w:val="20"/>
          <w:szCs w:val="20"/>
          <w:color w:val="auto"/>
        </w:rPr>
      </w:pPr>
    </w:p>
    <w:p>
      <w:pPr>
        <w:jc w:val="both"/>
        <w:ind w:right="180" w:firstLine="648"/>
        <w:spacing w:after="0" w:line="312" w:lineRule="auto"/>
        <w:rPr>
          <w:sz w:val="20"/>
          <w:szCs w:val="20"/>
          <w:color w:val="auto"/>
        </w:rPr>
      </w:pPr>
      <w:r>
        <w:rPr>
          <w:rFonts w:ascii="Arial" w:cs="Arial" w:eastAsia="Arial" w:hAnsi="Arial"/>
          <w:sz w:val="16"/>
          <w:szCs w:val="16"/>
          <w:color w:val="auto"/>
        </w:rPr>
        <w:t>As more fully described in Note 4 to our condensed consolidated financial statements, the premium ceded under certain reinsurance contracts with unaffiliated third parties varies based on changes in market interest rates. Under GAAP, these contracts contain embedded derivatives that are accounted for separately as freestanding derivatives. The change in the fair value of the embedded derivatives is reported in earnings and included in other income.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provision for losses and loss adjustment expenses reflects the current expense that is recorded within a particular period to reflect actual and estimated loss payments that we believe will ultimately be made as a result of insured loans that are in default.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Losses incurred are generally affected by:</w:t>
      </w:r>
    </w:p>
    <w:p>
      <w:pPr>
        <w:spacing w:after="0" w:line="225" w:lineRule="exact"/>
        <w:rPr>
          <w:sz w:val="20"/>
          <w:szCs w:val="20"/>
          <w:color w:val="auto"/>
        </w:rPr>
      </w:pPr>
    </w:p>
    <w:p>
      <w:pPr>
        <w:ind w:left="660" w:right="38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overall state of the economy, which broadly affects the likelihood that borrowers may default on their loans and have the ability to cure such defaults;</w:t>
      </w:r>
    </w:p>
    <w:p>
      <w:pPr>
        <w:spacing w:after="0" w:line="170" w:lineRule="exact"/>
        <w:rPr>
          <w:rFonts w:ascii="Arial" w:cs="Arial" w:eastAsia="Arial" w:hAnsi="Arial"/>
          <w:sz w:val="18"/>
          <w:szCs w:val="18"/>
          <w:color w:val="auto"/>
        </w:rPr>
      </w:pPr>
    </w:p>
    <w:p>
      <w:pPr>
        <w:ind w:left="660" w:right="380" w:hanging="328"/>
        <w:spacing w:after="0" w:line="34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changes in housing values, which affect our ability to mitigate our losses through the sale of properties with loans in default as well as borrower willingness to continue to make mortgage payments when the value of the home is below or perceived to be below the mortgage balance;</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product mix of IIF, with loans having higher risk characteristics generally resulting in higher defaults and claims;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size of loans insured, with higher average loan amounts tending to increase losses incurred;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loan-to-value ratio, with higher average loan-to-value ratios tending to increase losses incurred;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percentage of coverage on insured loans, with deeper average coverage tending to increase losses incurred;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credit quality of borrowers, including higher debt-to-income ratios and lower FICO scores, which tend to increase incurred losses;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and amount of reinsurance coverage maintained with third parties;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right="8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rate at which we rescind policies. Because of tighter underwriting standards generally in the mortgage lending industry and terms set forth in our master policy, we expect that our level of rescission activity will be lower than rescission activity seen in the mortgage insurance industry for vintages originated prior to the financial crisis; and</w:t>
      </w:r>
    </w:p>
    <w:p>
      <w:pPr>
        <w:spacing w:after="0" w:line="181" w:lineRule="exact"/>
        <w:rPr>
          <w:rFonts w:ascii="Arial" w:cs="Arial" w:eastAsia="Arial" w:hAnsi="Arial"/>
          <w:sz w:val="18"/>
          <w:szCs w:val="18"/>
          <w:color w:val="auto"/>
        </w:rPr>
      </w:pPr>
    </w:p>
    <w:p>
      <w:pPr>
        <w:ind w:left="660" w:right="40" w:hanging="328"/>
        <w:spacing w:after="0" w:line="25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distribution of claims over the life of a book. As of September 30, 2019, 73% of our IIF relates to business written since January 1, 2017 and was less than three years old. As a result, based on historical industry performance, we expect the number of defaults and claims we experience, as well as our provision for losses and loss adjustment expenses, to increase as our portfolio seasons. See “— Mortgage Insurance Earnings and Cash Flow Cycle” below.</w:t>
      </w:r>
    </w:p>
    <w:p>
      <w:pPr>
        <w:spacing w:after="0" w:line="187" w:lineRule="exact"/>
        <w:rPr>
          <w:sz w:val="20"/>
          <w:szCs w:val="20"/>
          <w:color w:val="auto"/>
        </w:rPr>
      </w:pPr>
    </w:p>
    <w:p>
      <w:pPr>
        <w:jc w:val="both"/>
        <w:ind w:right="200" w:firstLine="648"/>
        <w:spacing w:after="0" w:line="288" w:lineRule="auto"/>
        <w:rPr>
          <w:sz w:val="20"/>
          <w:szCs w:val="20"/>
          <w:color w:val="auto"/>
        </w:rPr>
      </w:pPr>
      <w:r>
        <w:rPr>
          <w:rFonts w:ascii="Arial" w:cs="Arial" w:eastAsia="Arial" w:hAnsi="Arial"/>
          <w:sz w:val="16"/>
          <w:szCs w:val="16"/>
          <w:color w:val="auto"/>
        </w:rPr>
        <w:t>We establish loss reserves for delinquent loans when we are notified that a borrower has missed at least two consecutive monthly payments (“Case Reserves”), as well as estimated reserves for defaults that may have occurred but not yet been reported to us (“IBNR Reserves”). We also establish reserves for the associated loss adjustment expenses (“LAE”), consisting of the estimated cost of the claims administration process, including legal and other fees.</w:t>
      </w:r>
    </w:p>
    <w:p>
      <w:pPr>
        <w:jc w:val="both"/>
        <w:ind w:right="460"/>
        <w:spacing w:after="0" w:line="255" w:lineRule="auto"/>
        <w:rPr>
          <w:sz w:val="20"/>
          <w:szCs w:val="20"/>
          <w:color w:val="auto"/>
        </w:rPr>
      </w:pPr>
      <w:r>
        <w:rPr>
          <w:rFonts w:ascii="Arial" w:cs="Arial" w:eastAsia="Arial" w:hAnsi="Arial"/>
          <w:sz w:val="18"/>
          <w:szCs w:val="18"/>
          <w:color w:val="auto"/>
        </w:rPr>
        <w:t>Using both internal and external information, we establish our reserves based on the likelihood that a default will reach claim status and estimated claim severity. See Part II, Item 7 “Management’s Discussion and Analysis of Financial Condition and Results of Operations — Critical Accounting Policies” included in our Annual Report for further information.</w:t>
      </w:r>
    </w:p>
    <w:p>
      <w:pPr>
        <w:spacing w:after="0" w:line="19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believe, based upon our experience and industry data, that claims incidence for mortgage insurance is generally highest in the third through sixth years after loan origination. As of September 30, 2019, 73% of our IIF relates to business written since January 1, 2017 and was less than three years old. Although the claims experience on new insurance written by us to date has been favorable, we expect incurred losses and claims to increase as a greater amount of this book of insurance reaches its anticipated period of highest claim frequency. The actual default rate and the average reserve per default that we experience as our portfolio matures is difficult to predict and is dependent on the specific characteristics of our current in-force book (including the credit score of the borrower, the loan-to-value ratio of the mortgage, geographic concentrations, etc.), as well as the profile of new business we write in the future. In addition, the default rate and the average reserve per default will be affected by future macroeconomic factors such as housing prices, interest rates and employment.</w:t>
      </w:r>
    </w:p>
    <w:p>
      <w:pPr>
        <w:spacing w:after="0" w:line="19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During the third quarter of 2017, certain regions of the U.S. experienced hurricanes which have impacted our insured portfolio’s performance. Loans in default identified as hurricane-related defaults totaled 2,288 as of December 31, 2017. In the year ended December 31, 2018, 2,150 of the 2,288 defaults previously identified as hurricane-related cured. Based on our experience to date and prior industry experience, we expect the ultimate number of hurricane-related defaults that result in claims will be less than the default-to-claim experience of non-hurricane-related defaults. In addition, under our master policy, our exposure may be limited on hurricane-related claims. For example, we are permitted to exclude a claim entirely where damage to the property underlying a mortgage was the proximate cause of the default and adjust a claim where the property underlying a mortgage in default is subject to unrestored physical damage.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Third-Party Reinsurance</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use third-party reinsurance to provide protection against adverse loss experience and to expand our capital sources. When we enter into a reinsurance agreement, the reinsurer receives a premium and, in exchange, agrees to insure an agreed upon portion of incurred losses. These arrangements have the impact of reducing our earned premiums, but also reduce our risk in force ("RIF"), which provides capital relief, and may include capital relief under the PMIERs financial strength requirements. Our incurred losses are reduced by any incurred losses ceded in accordance with the reinsurance agreement. For additional information regarding reinsurance, see Note 4 to our condensed consolidated financial statements.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Our other underwriting and operating expenses include components that are substantially fixed, as well as expenses that generally increase or decrease in line with the level of NIW.</w:t>
      </w:r>
    </w:p>
    <w:p>
      <w:pPr>
        <w:spacing w:after="0" w:line="170"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Our most significant expense is compensation and benefits for our employees, which represented 58% and 57% of other underwriting and operating expenses for the three and nine months ended September 30, 2019, respectively, compared to 59% and 61% of other underwriting and operating expenses for the three and nine months ended September 30, 2018, respectively. Compensation and benefits expense includes base and incentive cash compensation, stock compensation expense, benefits and payroll taxes.</w:t>
      </w:r>
    </w:p>
    <w:p>
      <w:pPr>
        <w:spacing w:after="0" w:line="187"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Underwriting and other expenses include legal, consulting, other professional fees, premium taxes, travel, entertainment, marketing, licensing, supplies, hardware, software, rent, utilities, depreciation and amortization and other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expenses. We anticipate that as we continue to add new customers and increase our IIF, our expenses will also continue to increase. In addition, as a result of the increase in our IIF, we expect that our net premiums earned will grow faster than our underwriting and other expenses resulting in a decline in our expense ratio for the full year 2019 as compared to 2018.</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Interest expense is incurred as a result of borrowings under our secured credit facility (the “Credit Facility”). Borrowings under the Credit Facility may be used for working capital and general corporate purposes, including, without limitation, capital contributions to Essent’s insurance and reinsurance subsidiaries. Borrowings accrue interest at a floating rate tied to a standard short-term borrowing index, selected at the Company’s option, plus an applicable margin.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Income taxes are incurred based on the amount of earnings or losses generated in the jurisdictions in which we operate and the applicable tax rates and regulations in those jurisdictions. Our U.S. insurance subsidiaries are generally not subject to income taxes in the states in which we operate; however, our non-insurance subsidiaries are subject to state income taxes. In lieu of state income taxes, our insurance subsidiaries pay premium taxes that are recorded in other underwriting and operating expenses.</w:t>
      </w:r>
    </w:p>
    <w:p>
      <w:pPr>
        <w:spacing w:after="0" w:line="187"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Essent Group Ltd. and its wholly-owned subsidiary, Essent Re, are domiciled in Bermuda, which does not have a corporate income tax. Essent Re reinsures 25% of Essent Guaranty's NIW under a quota share reinsurance agreement. Essent Re also provides insurance and reinsurance to Freddie Mac and Fannie Mae.</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amount of income tax expense or benefit recorded in future periods will be dependent on the jurisdictions in which we operate and the tax laws and regulations in effect.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Mortgage Insurance Earnings and Cash Flow Cycle</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general, the majority of any underwriting profit (premium revenue minus losses) that a book generates occurs in the early years of the book, with the largest portion of any underwriting profit realized in the first year. Subsequent years of a book generally result in modest underwriting profit or underwriting losses. This pattern generally occurs because relatively few of the claims that a book will ultimately experience typically occur in the first few years of the book, when premium revenue is highest, while subsequent years are affected by declining premium revenues, as the number of insured loans decreases (primarily due to loan prepayments), and by increasing losses.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In Force</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As discussed above, premiums we collect and earn are generated based on our IIF, which is a function of our NIW and cancellations. The following table includes a summary of the change in our IIF for the three and nine months ended September 30, 2019 and 2018 for our U.S. mortgage insurance portfolio. In addition, this table includes RIF at the end of each period.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294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IIF, beginning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153,317,157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122,501,246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137,720,786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110,461,950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NIW - Flow</w:t>
            </w:r>
          </w:p>
        </w:tc>
        <w:tc>
          <w:tcPr>
            <w:tcW w:w="34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18,719,876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13,913,191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47,638,688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36,099,983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NIW - Bulk</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90,659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Cancellations</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(11,080,974)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(5,164,480)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(24,487,941)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(15,311,976)</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IIF, end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160,962,192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131,249,957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160,962,192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131,249,957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Average IIF during the period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gridSpan w:val="2"/>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157,515,524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127,052,216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148,686,498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119,685,365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RIF, end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38,784,584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32,361,782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38,784,584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32,361,782</w:t>
            </w:r>
          </w:p>
        </w:tc>
        <w:tc>
          <w:tcPr>
            <w:tcW w:w="0" w:type="dxa"/>
            <w:vAlign w:val="bottom"/>
          </w:tcPr>
          <w:p>
            <w:pPr>
              <w:spacing w:after="0"/>
              <w:rPr>
                <w:sz w:val="1"/>
                <w:szCs w:val="1"/>
                <w:color w:val="auto"/>
              </w:rPr>
            </w:pPr>
          </w:p>
        </w:tc>
      </w:tr>
      <w:tr>
        <w:trPr>
          <w:trHeight w:val="675"/>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jc w:val="right"/>
              <w:ind w:right="434"/>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our IIF at September 30, 2019 by vintage: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w:t>
            </w:r>
          </w:p>
        </w:tc>
      </w:tr>
      <w:tr>
        <w:trPr>
          <w:trHeight w:val="250"/>
        </w:trPr>
        <w:tc>
          <w:tcPr>
            <w:tcW w:w="8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 (through September 30)</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45,921,796</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39,296,715</w:t>
            </w:r>
          </w:p>
        </w:tc>
        <w:tc>
          <w:tcPr>
            <w:tcW w:w="100" w:type="dxa"/>
            <w:vAlign w:val="bottom"/>
          </w:tcPr>
          <w:p>
            <w:pPr>
              <w:spacing w:after="0"/>
              <w:rPr>
                <w:sz w:val="21"/>
                <w:szCs w:val="21"/>
                <w:color w:val="auto"/>
              </w:rPr>
            </w:pPr>
          </w:p>
        </w:tc>
        <w:tc>
          <w:tcPr>
            <w:tcW w:w="1660" w:type="dxa"/>
            <w:vAlign w:val="bottom"/>
          </w:tcPr>
          <w:p>
            <w:pPr>
              <w:jc w:val="right"/>
              <w:ind w:right="92"/>
              <w:spacing w:after="0"/>
              <w:rPr>
                <w:sz w:val="20"/>
                <w:szCs w:val="20"/>
                <w:color w:val="auto"/>
              </w:rPr>
            </w:pPr>
            <w:r>
              <w:rPr>
                <w:rFonts w:ascii="Arial" w:cs="Arial" w:eastAsia="Arial" w:hAnsi="Arial"/>
                <w:sz w:val="18"/>
                <w:szCs w:val="18"/>
                <w:color w:val="auto"/>
              </w:rPr>
              <w:t>24.4</w:t>
            </w:r>
          </w:p>
        </w:tc>
      </w:tr>
      <w:tr>
        <w:trPr>
          <w:trHeight w:val="27"/>
        </w:trPr>
        <w:tc>
          <w:tcPr>
            <w:tcW w:w="7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32,393,422</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20.1</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20,690,611</w:t>
            </w:r>
          </w:p>
        </w:tc>
        <w:tc>
          <w:tcPr>
            <w:tcW w:w="100" w:type="dxa"/>
            <w:vAlign w:val="bottom"/>
          </w:tcPr>
          <w:p>
            <w:pPr>
              <w:spacing w:after="0"/>
              <w:rPr>
                <w:sz w:val="21"/>
                <w:szCs w:val="21"/>
                <w:color w:val="auto"/>
              </w:rPr>
            </w:pPr>
          </w:p>
        </w:tc>
        <w:tc>
          <w:tcPr>
            <w:tcW w:w="1660" w:type="dxa"/>
            <w:vAlign w:val="bottom"/>
          </w:tcPr>
          <w:p>
            <w:pPr>
              <w:jc w:val="right"/>
              <w:ind w:right="92"/>
              <w:spacing w:after="0"/>
              <w:rPr>
                <w:sz w:val="20"/>
                <w:szCs w:val="20"/>
                <w:color w:val="auto"/>
              </w:rPr>
            </w:pPr>
            <w:r>
              <w:rPr>
                <w:rFonts w:ascii="Arial" w:cs="Arial" w:eastAsia="Arial" w:hAnsi="Arial"/>
                <w:sz w:val="18"/>
                <w:szCs w:val="18"/>
                <w:color w:val="auto"/>
              </w:rPr>
              <w:t>12.9</w:t>
            </w:r>
          </w:p>
        </w:tc>
      </w:tr>
      <w:tr>
        <w:trPr>
          <w:trHeight w:val="27"/>
        </w:trPr>
        <w:tc>
          <w:tcPr>
            <w:tcW w:w="7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10,836,143</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6.7</w:t>
            </w:r>
          </w:p>
        </w:tc>
      </w:tr>
      <w:tr>
        <w:trPr>
          <w:trHeight w:val="243"/>
        </w:trPr>
        <w:tc>
          <w:tcPr>
            <w:tcW w:w="8060" w:type="dxa"/>
            <w:vAlign w:val="bottom"/>
            <w:gridSpan w:val="2"/>
          </w:tcPr>
          <w:p>
            <w:pPr>
              <w:ind w:left="40"/>
              <w:spacing w:after="0"/>
              <w:rPr>
                <w:sz w:val="20"/>
                <w:szCs w:val="20"/>
                <w:color w:val="auto"/>
              </w:rPr>
            </w:pPr>
            <w:r>
              <w:rPr>
                <w:rFonts w:ascii="Arial" w:cs="Arial" w:eastAsia="Arial" w:hAnsi="Arial"/>
                <w:sz w:val="18"/>
                <w:szCs w:val="18"/>
                <w:color w:val="auto"/>
              </w:rPr>
              <w:t>2014 and prior</w:t>
            </w: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11,823,505</w:t>
            </w:r>
          </w:p>
        </w:tc>
        <w:tc>
          <w:tcPr>
            <w:tcW w:w="100" w:type="dxa"/>
            <w:vAlign w:val="bottom"/>
          </w:tcPr>
          <w:p>
            <w:pPr>
              <w:spacing w:after="0"/>
              <w:rPr>
                <w:sz w:val="21"/>
                <w:szCs w:val="21"/>
                <w:color w:val="auto"/>
              </w:rPr>
            </w:pPr>
          </w:p>
        </w:tc>
        <w:tc>
          <w:tcPr>
            <w:tcW w:w="1660" w:type="dxa"/>
            <w:vAlign w:val="bottom"/>
          </w:tcPr>
          <w:p>
            <w:pPr>
              <w:jc w:val="right"/>
              <w:ind w:right="92"/>
              <w:spacing w:after="0"/>
              <w:rPr>
                <w:sz w:val="20"/>
                <w:szCs w:val="20"/>
                <w:color w:val="auto"/>
              </w:rPr>
            </w:pPr>
            <w:r>
              <w:rPr>
                <w:rFonts w:ascii="Arial" w:cs="Arial" w:eastAsia="Arial" w:hAnsi="Arial"/>
                <w:sz w:val="18"/>
                <w:szCs w:val="18"/>
                <w:color w:val="auto"/>
              </w:rPr>
              <w:t>7.4</w:t>
            </w:r>
          </w:p>
        </w:tc>
      </w:tr>
      <w:tr>
        <w:trPr>
          <w:trHeight w:val="27"/>
        </w:trPr>
        <w:tc>
          <w:tcPr>
            <w:tcW w:w="7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9"/>
        </w:trPr>
        <w:tc>
          <w:tcPr>
            <w:tcW w:w="7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160,962,192</w:t>
            </w:r>
          </w:p>
        </w:tc>
        <w:tc>
          <w:tcPr>
            <w:tcW w:w="1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Average Net Premium Rate</w:t>
      </w:r>
    </w:p>
    <w:p>
      <w:pPr>
        <w:spacing w:after="0" w:line="225"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Our average net premium rate is dependent on a number of factors, including: (1) the risk characteristics and average coverage on the mortgages we insure; (2) the mix of monthly premiums compared to single premiums in our portfolio; (3) cancellations of non-refundable single premiums during the period; (4) changes to our pricing for NIW; and (5) premiums ceded under third-party reinsurance agreements. For each of the three and nine months ended September 30, 2019, our average net premium rate was 0.49% as compared to 0.50% and 0.51% for the three and nine months ended September 30, 2018, respectively. In 2018 and 2019, Essent Guaranty entered into third-party reinsurance agreements, and in June 2018, we announced a reduction in pricing on our published rates effective for future NIW. We anticipate that the continued use of third-party reinsurance and the announced pricing reductions on future NIW will reduce our average net premium rate in future periods.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Persistency Rate</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measure for assessing the impact of policy cancellations on IIF is our persistency rate, defined as the percentage of IIF that remains on our books after any twelve-month period. See additional discussion regarding the impact of the persistency rate on our performance in “— Factors Affecting Our Results of Operations — Persistency and Business Mix.”</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Risk-to-Capital</w:t>
      </w:r>
    </w:p>
    <w:p>
      <w:pPr>
        <w:spacing w:after="0" w:line="22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risk-to-capital ratio has historically been used as a measure of capital adequacy in the U.S. mortgage insurance industry and is calculated as a ratio of net risk in force to statutory capital. Net risk in force represents total risk in force net of reinsurance ceded and net of exposures on policies for which loss reserves have been established. Statutory capital for our U.S. insurance companies is computed based on accounting practices prescribed or permitted by the Pennsylvania Insurance Department. See additional discussion in “— Liquidity and Capital Resources — Insurance Company Capital.”</w:t>
      </w:r>
    </w:p>
    <w:p>
      <w:pPr>
        <w:spacing w:after="0" w:line="15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As of September 30, 2019, our combined net risk in force for our U.S. insurance companies was $29.6 billion and our combined statutory capital was $2.2 billion, resulting in a risk-to-capital ratio of 13.4 to 1. The amount of capital required varies in each jurisdiction in which we operate; however, generally, the maximum permitted risk-to-capital ratio is 25.0 to 1. State insurance regulators are currently examining their respective capital rules to determine whether, in light of the financial crisis, changes are needed to more accurately assess mortgage insurers’ ability to withstand stressful economic conditions. As a result, the capital metrics under which they assess and measure capital adequacy may change in the future. Independent of the state regulator and GSE capital requirements, management continually assesses the risk of our insurance portfolio and current market and economic conditions to determine the appropriate levels of capital to support our business.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gridSpan w:val="2"/>
          </w:tcPr>
          <w:p>
            <w:pPr>
              <w:ind w:left="40"/>
              <w:spacing w:after="0"/>
              <w:rPr>
                <w:sz w:val="20"/>
                <w:szCs w:val="20"/>
                <w:color w:val="auto"/>
              </w:rPr>
            </w:pPr>
            <w:r>
              <w:rPr>
                <w:rFonts w:ascii="Arial" w:cs="Arial" w:eastAsia="Arial" w:hAnsi="Arial"/>
                <w:sz w:val="14"/>
                <w:szCs w:val="14"/>
                <w:b w:val="1"/>
                <w:bCs w:val="1"/>
                <w:color w:val="auto"/>
              </w:rPr>
              <w:t>Summary of Operations</w:t>
            </w:r>
          </w:p>
        </w:tc>
        <w:tc>
          <w:tcPr>
            <w:tcW w:w="340" w:type="dxa"/>
            <w:vAlign w:val="bottom"/>
          </w:tcPr>
          <w:p>
            <w:pPr>
              <w:spacing w:after="0"/>
              <w:rPr>
                <w:sz w:val="16"/>
                <w:szCs w:val="16"/>
                <w:color w:val="auto"/>
              </w:rPr>
            </w:pPr>
          </w:p>
        </w:tc>
        <w:tc>
          <w:tcPr>
            <w:tcW w:w="30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294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Net premiums written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198,304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175,221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564,352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508,850</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Decrease (increase) in unearned premiums</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5,169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5,402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(32,659)</w:t>
            </w: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Net premiums earned</w:t>
            </w: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203,473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166,675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569,754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476,191</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21,104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61,565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45,494</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Realized investment gains, net</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1,153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2,396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1,160</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5,090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3,384</w:t>
            </w:r>
          </w:p>
        </w:tc>
      </w:tr>
      <w:tr>
        <w:trPr>
          <w:trHeight w:val="237"/>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Total revenues</w:t>
            </w: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226,387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184,998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638,805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526,229</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77"/>
        </w:trPr>
        <w:tc>
          <w:tcPr>
            <w:tcW w:w="4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Losses and expenses:</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losses and LAE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22,057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12,574</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Other underwriting and operating expenses</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41,588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36,899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124,138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111,451</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2,584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7,933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7,568</w:t>
            </w:r>
          </w:p>
        </w:tc>
      </w:tr>
      <w:tr>
        <w:trPr>
          <w:trHeight w:val="237"/>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Total losses and expenses</w:t>
            </w: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54,162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44,851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154,128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131,593</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172,225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140,147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484,677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394,636</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27,595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24,136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75,922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55,801</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144,630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116,011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408,755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338,835</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Months Ended September 30, 2019 Compared to the Three and Nine Months Ended September 30, 2018</w:t>
      </w:r>
    </w:p>
    <w:p>
      <w:pPr>
        <w:spacing w:after="0" w:line="229"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For the three months ended September 30, 2019, we reported net income of $144.6 million, compared to net income of $116.0 million for the three months ended September 30, 2018. For the nine months ended September 30, 2019, we reported net income of $408.8 million, compared to net income of $338.8 million for the nine months ended September 30, 2018. The increases in our operating results in 2019 over the same periods in 2018 were primarily due to increases in net premiums earned associated with the growth of our IIF and increases in net investment income, partially offset by increases in the provision for losses and LAE, other underwriting and operating expenses and income tax expense.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25" w:lineRule="exact"/>
        <w:rPr>
          <w:sz w:val="20"/>
          <w:szCs w:val="20"/>
          <w:color w:val="auto"/>
        </w:rPr>
      </w:pPr>
    </w:p>
    <w:p>
      <w:pPr>
        <w:ind w:right="300" w:firstLine="648"/>
        <w:spacing w:after="0" w:line="288" w:lineRule="auto"/>
        <w:rPr>
          <w:sz w:val="20"/>
          <w:szCs w:val="20"/>
          <w:color w:val="auto"/>
        </w:rPr>
      </w:pPr>
      <w:r>
        <w:rPr>
          <w:rFonts w:ascii="Arial" w:cs="Arial" w:eastAsia="Arial" w:hAnsi="Arial"/>
          <w:sz w:val="16"/>
          <w:szCs w:val="16"/>
          <w:color w:val="auto"/>
        </w:rPr>
        <w:t>Net premiums earned increased in the three months ended September 30, 2019 by 22%, compared to the three months ended September 30, 2018 primarily due to the increase in our average IIF from $127.1 billion at September 30, 2018 to $157.5 billion at September 30, 2019, partially offset by a decrease in average net premium rate from 0.50% for the three months ended September 30, 2018 to 0.49% for the three months ended September 30,</w:t>
      </w:r>
    </w:p>
    <w:p>
      <w:pPr>
        <w:ind w:right="20"/>
        <w:spacing w:after="0" w:line="270" w:lineRule="auto"/>
        <w:rPr>
          <w:sz w:val="20"/>
          <w:szCs w:val="20"/>
          <w:color w:val="auto"/>
        </w:rPr>
      </w:pPr>
      <w:r>
        <w:rPr>
          <w:rFonts w:ascii="Arial" w:cs="Arial" w:eastAsia="Arial" w:hAnsi="Arial"/>
          <w:sz w:val="17"/>
          <w:szCs w:val="17"/>
          <w:color w:val="auto"/>
        </w:rPr>
        <w:t>2019. Net premiums earned increased in the nine months ended September 30, 2019 by 20% compared to the nine months ended September 30, 2018 due to the increase in our average IIF from $119.7 billion at September 30, 2018 to $148.7 billion at September 30, 2019, partially offset by a decrease in the average net premium rate from 0.51% in the nine months ended September 30, 2018 to 0.49% in the nine months ended September 30, 2019. The decrease in the average net premium rate during the three and nine months ended September 30, 2019 is primarily due to an increase in premiums ceded under third-party reinsurance agreements along with changes in the mix of the mortgages we insure and changes in our pricing, partially offset by an increase in premiums earned on the cancellation of non-refundable single premium policies in the respective periods.</w:t>
      </w:r>
    </w:p>
    <w:p>
      <w:pPr>
        <w:spacing w:after="0" w:line="17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Net premiums written increased by 13% in the three months ended September 30, 2019 compared to the three months ended September 30, 2018, and increased by 11% in the nine months ended September 30, 2019 compared to the nine months ended September 30, 2018. The increase in net written premiums in the three and nine months ended September 30, 2019 was primarily due to an increase in average IIF in the respective periods, partially offset by a decrease in new single premium policies written, an increase in premiums ceded under third-party reinsurance agreements, changes in the mix of mortgages we insure and changes in our pricing.</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In the three months ended September 30, 2019 and 2018, unearned premiums decreased by $5.2 million and increased by $8.5 million, respectively. The change in unearned premiums was a result of net premiums written on single premium policies of $26.5 million and $28.8 million, respectively, which was partially offset by $31.7 million and $20.3 million, respectively, of unearned premium that was recognized in earnings during the periods. In the nine months ended September 30, 2019 and 2018, unearned premiums decreased by $5.4 million and increased by $32.7 million, respectively. This was a result of net premiums written on single premium policies of $73.0 million and $91.8 million, respectively, which was partially offset by $78.4 million and $59.1 million, respectively, of unearned premium that was recognized in earnings during the periods.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net investment income was derived from the following sources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294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maturities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20,710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16,476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60,633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44,615</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Short-term investments</w:t>
            </w:r>
          </w:p>
        </w:tc>
        <w:tc>
          <w:tcPr>
            <w:tcW w:w="340" w:type="dxa"/>
            <w:vAlign w:val="bottom"/>
          </w:tcPr>
          <w:p>
            <w:pPr>
              <w:spacing w:after="0"/>
              <w:rPr>
                <w:sz w:val="21"/>
                <w:szCs w:val="21"/>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1,365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3,733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2,959</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investment income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22,075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17,386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64,366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47,574</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Investment expenses</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(2,080)</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21,104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16,646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61,565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45,494</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increase in net investment income for the three and nine months ended September 30, 2019 as compared to the same periods in 2018 was due to the increase in the weighted average balance of our investment portfolio and the increase in the pre-tax investment income yield. The average cash and investment portfolio balance increased to $3.1 billion for the three months ended September 30, 2019 from $2.7 billion for the three months ended September 30, 2018. The average cash and investment portfolio balance was $3.0 billion for the nine months ended September 30, 2019 compared to $2.5 billion for the nine months ended September 30, 2018. The increase in the average cash and investment portfolio in both periods was primarily due to investing cash flows from operations. The pre-tax investment income yield increased from 2.6% and 2.5% in the three and nine months ended September 30, 2018, respectively, to 2.8% in each of the three and nine months ended September 30, 2019 primarily due to an increase in the portion of our investment portfolio invested in spread and duration assets. The pre-tax investment income yields are calculated based on amortized cost and exclude investment expenses. See “— Liquidity and Capital Resources” for further details of our investment portfolio.</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right="380" w:firstLine="648"/>
        <w:spacing w:after="0" w:line="279" w:lineRule="auto"/>
        <w:rPr>
          <w:sz w:val="20"/>
          <w:szCs w:val="20"/>
          <w:color w:val="auto"/>
        </w:rPr>
      </w:pPr>
      <w:r>
        <w:rPr>
          <w:rFonts w:ascii="Arial" w:cs="Arial" w:eastAsia="Arial" w:hAnsi="Arial"/>
          <w:sz w:val="17"/>
          <w:szCs w:val="17"/>
          <w:color w:val="auto"/>
        </w:rPr>
        <w:t>Other income includes fees earned for information technology and customer support services provided to Triad, contract underwriting revenues, underwriting consulting services to third-party reinsurers and changes in the fair value of embedded derivatives contained in certain of our reinsurance agreements. The decrease in other income for the three months ended September 30, 2019 and increase for the nine months ended September 30, 2019 as compared to the same periods in 2018 were primarily due to the changes in fair value of the embedded derivatives.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provision for losses and LAE was $10.0 million and $5.5 million in the three months ended September 30, 2019 and 2018, respectively, and $22.1 million and $12.6 million in the nine months ended September 30, 2019 and 2018, respectively. The increases in the provision for losses and LAE in the three and nine months ended September 30, 2019 as compared to the same periods in 2018 were primarily due to increases in the number of insured loans in default in the current period and were also impacted by changes in the age and composition of the insured loans in default. The following table presents a rollforward of insured loans in default for the periods indicated: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34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3260" w:type="dxa"/>
            <w:vAlign w:val="bottom"/>
            <w:tcBorders>
              <w:bottom w:val="single" w:sz="8" w:color="auto"/>
            </w:tcBorders>
            <w:gridSpan w:val="3"/>
          </w:tcPr>
          <w:p>
            <w:pPr>
              <w:jc w:val="right"/>
              <w:ind w:right="453"/>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700" w:type="dxa"/>
            <w:vAlign w:val="bottom"/>
            <w:gridSpan w:val="2"/>
          </w:tcPr>
          <w:p>
            <w:pPr>
              <w:ind w:left="5360"/>
              <w:spacing w:after="0"/>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jc w:val="right"/>
              <w:ind w:right="57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580" w:type="dxa"/>
            <w:vAlign w:val="bottom"/>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1580" w:type="dxa"/>
            <w:vAlign w:val="bottom"/>
          </w:tcPr>
          <w:p>
            <w:pPr>
              <w:jc w:val="right"/>
              <w:ind w:right="553"/>
              <w:spacing w:after="0"/>
              <w:rPr>
                <w:sz w:val="20"/>
                <w:szCs w:val="20"/>
                <w:color w:val="auto"/>
              </w:rPr>
            </w:pPr>
            <w:r>
              <w:rPr>
                <w:rFonts w:ascii="Arial" w:cs="Arial" w:eastAsia="Arial" w:hAnsi="Arial"/>
                <w:sz w:val="14"/>
                <w:szCs w:val="14"/>
                <w:b w:val="1"/>
                <w:bCs w:val="1"/>
                <w:color w:val="auto"/>
              </w:rPr>
              <w:t>2018</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default inventory</w:t>
            </w: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4,783</w:t>
            </w:r>
          </w:p>
        </w:tc>
      </w:tr>
      <w:tr>
        <w:trPr>
          <w:trHeight w:val="243"/>
        </w:trPr>
        <w:tc>
          <w:tcPr>
            <w:tcW w:w="5700" w:type="dxa"/>
            <w:vAlign w:val="bottom"/>
            <w:gridSpan w:val="2"/>
          </w:tcPr>
          <w:p>
            <w:pPr>
              <w:ind w:left="40"/>
              <w:spacing w:after="0"/>
              <w:rPr>
                <w:sz w:val="20"/>
                <w:szCs w:val="20"/>
                <w:color w:val="auto"/>
              </w:rPr>
            </w:pPr>
            <w:r>
              <w:rPr>
                <w:rFonts w:ascii="Arial" w:cs="Arial" w:eastAsia="Arial" w:hAnsi="Arial"/>
                <w:sz w:val="18"/>
                <w:szCs w:val="18"/>
                <w:color w:val="auto"/>
              </w:rPr>
              <w:t>Plus: new defaults</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3,711</w:t>
            </w:r>
          </w:p>
        </w:tc>
        <w:tc>
          <w:tcPr>
            <w:tcW w:w="120" w:type="dxa"/>
            <w:vAlign w:val="bottom"/>
          </w:tcPr>
          <w:p>
            <w:pPr>
              <w:spacing w:after="0"/>
              <w:rPr>
                <w:sz w:val="21"/>
                <w:szCs w:val="21"/>
                <w:color w:val="auto"/>
              </w:rPr>
            </w:pP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2,285</w:t>
            </w:r>
          </w:p>
        </w:tc>
        <w:tc>
          <w:tcPr>
            <w:tcW w:w="12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9,478</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5,980</w:t>
            </w:r>
          </w:p>
        </w:tc>
      </w:tr>
      <w:tr>
        <w:trPr>
          <w:trHeight w:val="27"/>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cures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(2,776)</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(7,043)</w:t>
            </w:r>
          </w:p>
        </w:tc>
      </w:tr>
      <w:tr>
        <w:trPr>
          <w:trHeight w:val="243"/>
        </w:trPr>
        <w:tc>
          <w:tcPr>
            <w:tcW w:w="5700" w:type="dxa"/>
            <w:vAlign w:val="bottom"/>
            <w:gridSpan w:val="2"/>
          </w:tcPr>
          <w:p>
            <w:pPr>
              <w:ind w:left="40"/>
              <w:spacing w:after="0"/>
              <w:rPr>
                <w:sz w:val="20"/>
                <w:szCs w:val="20"/>
                <w:color w:val="auto"/>
              </w:rPr>
            </w:pPr>
            <w:r>
              <w:rPr>
                <w:rFonts w:ascii="Arial" w:cs="Arial" w:eastAsia="Arial" w:hAnsi="Arial"/>
                <w:sz w:val="18"/>
                <w:szCs w:val="18"/>
                <w:color w:val="auto"/>
              </w:rPr>
              <w:t>Less: claims paid</w:t>
            </w:r>
          </w:p>
        </w:tc>
        <w:tc>
          <w:tcPr>
            <w:tcW w:w="62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7"/>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5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rescissions and denials, net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Ending default inventory</w:t>
            </w:r>
          </w:p>
        </w:tc>
        <w:tc>
          <w:tcPr>
            <w:tcW w:w="10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5,232</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3,538</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5,232</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3,538</w:t>
            </w:r>
          </w:p>
        </w:tc>
      </w:tr>
      <w:tr>
        <w:trPr>
          <w:trHeight w:val="27"/>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firstLine="648"/>
        <w:spacing w:after="0" w:line="312" w:lineRule="auto"/>
        <w:rPr>
          <w:sz w:val="20"/>
          <w:szCs w:val="20"/>
          <w:color w:val="auto"/>
        </w:rPr>
      </w:pPr>
      <w:r>
        <w:rPr>
          <w:rFonts w:ascii="Arial" w:cs="Arial" w:eastAsia="Arial" w:hAnsi="Arial"/>
          <w:sz w:val="16"/>
          <w:szCs w:val="16"/>
          <w:color w:val="auto"/>
        </w:rPr>
        <w:t>The increase in the number of defaults at September 30, 2019 compared to September 30, 2018 was primarily due to the increase in our IIF and policies in force and further seasoning of our insurance portfolio, partially offset by the previously identified hurricane-related defaults that have cured subsequent to September 30, 2018. A total of 163 previously identified hurricane-related defaults cured between October 1, 2018 and December 31, 2018.</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includes additional information about our loans in default as of the dates indicated for our U.S. mortgage insurance portfolio:</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9"/>
              </w:rPr>
              <w:t>As of September 30,</w:t>
            </w:r>
          </w:p>
        </w:tc>
        <w:tc>
          <w:tcPr>
            <w:tcW w:w="1040" w:type="dxa"/>
            <w:vAlign w:val="bottom"/>
            <w:tcBorders>
              <w:bottom w:val="single" w:sz="8" w:color="auto"/>
            </w:tcBorders>
          </w:tcPr>
          <w:p>
            <w:pPr>
              <w:spacing w:after="0"/>
              <w:rPr>
                <w:sz w:val="16"/>
                <w:szCs w:val="16"/>
                <w:color w:val="auto"/>
              </w:rPr>
            </w:pPr>
          </w:p>
        </w:tc>
      </w:tr>
      <w:tr>
        <w:trPr>
          <w:trHeight w:val="264"/>
        </w:trPr>
        <w:tc>
          <w:tcPr>
            <w:tcW w:w="798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2018</w:t>
            </w: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Case reserves (in thousands) </w:t>
            </w:r>
            <w:r>
              <w:rPr>
                <w:rFonts w:ascii="Arial" w:cs="Arial" w:eastAsia="Arial" w:hAnsi="Arial"/>
                <w:sz w:val="18"/>
                <w:szCs w:val="18"/>
                <w:b w:val="1"/>
                <w:bCs w:val="1"/>
                <w:color w:val="auto"/>
              </w:rPr>
              <w:t>(1)</w:t>
            </w: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83"/>
              </w:rPr>
              <w:t>56,123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48,765</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 xml:space="preserve">Total reserves (in thousands) </w:t>
            </w:r>
            <w:r>
              <w:rPr>
                <w:rFonts w:ascii="Arial" w:cs="Arial" w:eastAsia="Arial" w:hAnsi="Arial"/>
                <w:sz w:val="18"/>
                <w:szCs w:val="18"/>
                <w:b w:val="1"/>
                <w:bCs w:val="1"/>
                <w:color w:val="auto"/>
              </w:rPr>
              <w:t>(1)</w:t>
            </w:r>
          </w:p>
        </w:tc>
        <w:tc>
          <w:tcPr>
            <w:tcW w:w="980" w:type="dxa"/>
            <w:vAlign w:val="bottom"/>
          </w:tcPr>
          <w:p>
            <w:pPr>
              <w:jc w:val="right"/>
              <w:ind w:right="774"/>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2"/>
              <w:spacing w:after="0"/>
              <w:rPr>
                <w:sz w:val="20"/>
                <w:szCs w:val="20"/>
                <w:color w:val="auto"/>
              </w:rPr>
            </w:pPr>
            <w:r>
              <w:rPr>
                <w:rFonts w:ascii="Arial" w:cs="Arial" w:eastAsia="Arial" w:hAnsi="Arial"/>
                <w:sz w:val="18"/>
                <w:szCs w:val="18"/>
                <w:color w:val="auto"/>
                <w:w w:val="83"/>
              </w:rPr>
              <w:t>61,346</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53,355</w:t>
            </w: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default inventory</w:t>
            </w:r>
          </w:p>
        </w:tc>
        <w:tc>
          <w:tcPr>
            <w:tcW w:w="9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5,232</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3,538</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Average case reserve per default (in thousands)</w:t>
            </w:r>
          </w:p>
        </w:tc>
        <w:tc>
          <w:tcPr>
            <w:tcW w:w="980" w:type="dxa"/>
            <w:vAlign w:val="bottom"/>
          </w:tcPr>
          <w:p>
            <w:pPr>
              <w:jc w:val="right"/>
              <w:ind w:right="774"/>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13.8</w:t>
            </w: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total reserve per default (in thousands)</w:t>
            </w: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15.1</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Default rate</w:t>
            </w:r>
          </w:p>
        </w:tc>
        <w:tc>
          <w:tcPr>
            <w:tcW w:w="9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0.61%</w:t>
            </w: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Claims received included in ending default inventory</w:t>
            </w:r>
          </w:p>
        </w:tc>
        <w:tc>
          <w:tcPr>
            <w:tcW w:w="98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49</w:t>
            </w:r>
          </w:p>
        </w:tc>
      </w:tr>
      <w:tr>
        <w:trPr>
          <w:trHeight w:val="27"/>
        </w:trPr>
        <w:tc>
          <w:tcPr>
            <w:tcW w:w="79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(1) The U.S. mortgage insurance portfolio reserves exclude reserves on GSE and other risk share risk in force at Essent Re of $90 thousand.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4147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17"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The decrease in the average case reserve per default was primarily due to changes in the composition (such as mark-to-market loan-to-value ratios, risk in force, and number of months past due) of the underlying loans in default and improvements in economic fundamentals.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provide a reconciliation of the beginning and ending reserve balances for losses and LAE and a detail of reserves and defaulted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RIF by the number of missed payments and pending claims for our U.S. mortgage insurance portfolio:</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294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Reserve for losses and LAE at beginning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55,138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50,016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49,464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46,850</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Add provision for losses and LAE occurring in:</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period</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14,722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37,904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25,199</w:t>
            </w: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(15,847)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(12,625)</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Incurred losses and LAE during the current period</w:t>
            </w: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9,990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5,452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22,057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12,574</w:t>
            </w: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Deduct payments for losses and LAE occurring in:</w:t>
            </w: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period</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620</w:t>
            </w: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3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3,280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9,428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5,449</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and LAE payments during the current period</w:t>
            </w: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3,692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2,113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10,085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6,069</w:t>
            </w:r>
          </w:p>
        </w:tc>
      </w:tr>
      <w:tr>
        <w:trPr>
          <w:trHeight w:val="25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Reserve for losses and LAE at end of period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61,436</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53,355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61,436</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53,355</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662"/>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jc w:val="right"/>
              <w:ind w:right="433"/>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As of September 30, 2019</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Number of</w:t>
            </w:r>
          </w:p>
        </w:tc>
        <w:tc>
          <w:tcPr>
            <w:tcW w:w="1580" w:type="dxa"/>
            <w:vAlign w:val="bottom"/>
            <w:gridSpan w:val="3"/>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88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7"/>
              </w:rPr>
              <w:t>Amount of</w:t>
            </w:r>
          </w:p>
        </w:tc>
        <w:tc>
          <w:tcPr>
            <w:tcW w:w="100" w:type="dxa"/>
            <w:vAlign w:val="bottom"/>
          </w:tcPr>
          <w:p>
            <w:pPr>
              <w:spacing w:after="0"/>
              <w:rPr>
                <w:sz w:val="13"/>
                <w:szCs w:val="13"/>
                <w:color w:val="auto"/>
              </w:rPr>
            </w:pPr>
          </w:p>
        </w:tc>
        <w:tc>
          <w:tcPr>
            <w:tcW w:w="14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Percentage of</w:t>
            </w:r>
          </w:p>
        </w:tc>
        <w:tc>
          <w:tcPr>
            <w:tcW w:w="180" w:type="dxa"/>
            <w:vAlign w:val="bottom"/>
          </w:tcPr>
          <w:p>
            <w:pPr>
              <w:spacing w:after="0"/>
              <w:rPr>
                <w:sz w:val="13"/>
                <w:szCs w:val="13"/>
                <w:color w:val="auto"/>
              </w:rPr>
            </w:pPr>
          </w:p>
        </w:tc>
        <w:tc>
          <w:tcPr>
            <w:tcW w:w="94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Defaulted</w:t>
            </w:r>
          </w:p>
        </w:tc>
        <w:tc>
          <w:tcPr>
            <w:tcW w:w="120" w:type="dxa"/>
            <w:vAlign w:val="bottom"/>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5"/>
              </w:rPr>
              <w:t>Reserves as a</w:t>
            </w:r>
          </w:p>
        </w:tc>
        <w:tc>
          <w:tcPr>
            <w:tcW w:w="0" w:type="dxa"/>
            <w:vAlign w:val="bottom"/>
          </w:tcPr>
          <w:p>
            <w:pPr>
              <w:spacing w:after="0"/>
              <w:rPr>
                <w:sz w:val="1"/>
                <w:szCs w:val="1"/>
                <w:color w:val="auto"/>
              </w:rPr>
            </w:pPr>
          </w:p>
        </w:tc>
      </w:tr>
      <w:tr>
        <w:trPr>
          <w:trHeight w:val="149"/>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12"/>
                <w:szCs w:val="12"/>
                <w:color w:val="auto"/>
              </w:rPr>
            </w:pPr>
          </w:p>
        </w:tc>
        <w:tc>
          <w:tcPr>
            <w:tcW w:w="1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5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Default</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Default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9"/>
              </w:rPr>
              <w:t>Reserves</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Reserves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RIF</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Defaulted RIF</w:t>
            </w: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Missed payments:</w:t>
            </w: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180"/>
              <w:spacing w:after="0"/>
              <w:rPr>
                <w:sz w:val="20"/>
                <w:szCs w:val="20"/>
                <w:color w:val="auto"/>
              </w:rPr>
            </w:pPr>
            <w:r>
              <w:rPr>
                <w:rFonts w:ascii="Arial" w:cs="Arial" w:eastAsia="Arial" w:hAnsi="Arial"/>
                <w:sz w:val="18"/>
                <w:szCs w:val="18"/>
                <w:color w:val="auto"/>
              </w:rPr>
              <w:t>Three payments or less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3,071</w:t>
            </w:r>
          </w:p>
        </w:tc>
        <w:tc>
          <w:tcPr>
            <w:tcW w:w="100" w:type="dxa"/>
            <w:vAlign w:val="bottom"/>
          </w:tcPr>
          <w:p>
            <w:pPr>
              <w:spacing w:after="0"/>
              <w:rPr>
                <w:sz w:val="21"/>
                <w:szCs w:val="21"/>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59%  $</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15,212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162,459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Four to eleven payments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1,665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24,588</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89,965</w:t>
            </w:r>
          </w:p>
        </w:tc>
        <w:tc>
          <w:tcPr>
            <w:tcW w:w="14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3640" w:type="dxa"/>
            <w:vAlign w:val="bottom"/>
            <w:gridSpan w:val="2"/>
          </w:tcPr>
          <w:p>
            <w:pPr>
              <w:ind w:left="180"/>
              <w:spacing w:after="0"/>
              <w:rPr>
                <w:sz w:val="20"/>
                <w:szCs w:val="20"/>
                <w:color w:val="auto"/>
              </w:rPr>
            </w:pPr>
            <w:r>
              <w:rPr>
                <w:rFonts w:ascii="Arial" w:cs="Arial" w:eastAsia="Arial" w:hAnsi="Arial"/>
                <w:sz w:val="18"/>
                <w:szCs w:val="18"/>
                <w:color w:val="auto"/>
              </w:rPr>
              <w:t>Twelve or more payments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1"/>
                <w:szCs w:val="21"/>
                <w:color w:val="auto"/>
              </w:rPr>
            </w:pPr>
          </w:p>
        </w:tc>
        <w:tc>
          <w:tcPr>
            <w:tcW w:w="1320" w:type="dxa"/>
            <w:vAlign w:val="bottom"/>
          </w:tcPr>
          <w:p>
            <w:pPr>
              <w:jc w:val="right"/>
              <w:ind w:right="96"/>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12,600</w:t>
            </w:r>
          </w:p>
        </w:tc>
        <w:tc>
          <w:tcPr>
            <w:tcW w:w="1420" w:type="dxa"/>
            <w:vAlign w:val="bottom"/>
            <w:gridSpan w:val="2"/>
          </w:tcPr>
          <w:p>
            <w:pPr>
              <w:jc w:val="right"/>
              <w:ind w:right="10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24,503</w:t>
            </w:r>
          </w:p>
        </w:tc>
        <w:tc>
          <w:tcPr>
            <w:tcW w:w="1440" w:type="dxa"/>
            <w:vAlign w:val="bottom"/>
            <w:gridSpan w:val="2"/>
          </w:tcPr>
          <w:p>
            <w:pPr>
              <w:jc w:val="right"/>
              <w:ind w:right="108"/>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Pending claims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3,723</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4,227</w:t>
            </w:r>
          </w:p>
        </w:tc>
        <w:tc>
          <w:tcPr>
            <w:tcW w:w="14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97"/>
        </w:trPr>
        <w:tc>
          <w:tcPr>
            <w:tcW w:w="364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 xml:space="preserve">Total case reserves </w:t>
            </w:r>
            <w:r>
              <w:rPr>
                <w:rFonts w:ascii="Arial" w:cs="Arial" w:eastAsia="Arial" w:hAnsi="Arial"/>
                <w:sz w:val="18"/>
                <w:szCs w:val="18"/>
                <w:b w:val="1"/>
                <w:bCs w:val="1"/>
                <w:color w:val="auto"/>
              </w:rPr>
              <w:t>(1)</w:t>
            </w:r>
          </w:p>
        </w:tc>
        <w:tc>
          <w:tcPr>
            <w:tcW w:w="11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5,232</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jc w:val="right"/>
              <w:ind w:right="35"/>
              <w:spacing w:after="0"/>
              <w:rPr>
                <w:sz w:val="20"/>
                <w:szCs w:val="20"/>
                <w:color w:val="auto"/>
              </w:rPr>
            </w:pPr>
            <w:r>
              <w:rPr>
                <w:rFonts w:ascii="Arial" w:cs="Arial" w:eastAsia="Arial" w:hAnsi="Arial"/>
                <w:sz w:val="18"/>
                <w:szCs w:val="18"/>
                <w:color w:val="auto"/>
              </w:rPr>
              <w:t>56,123</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281,154</w:t>
            </w:r>
          </w:p>
        </w:tc>
        <w:tc>
          <w:tcPr>
            <w:tcW w:w="1440" w:type="dxa"/>
            <w:vAlign w:val="bottom"/>
            <w:tcBorders>
              <w:bottom w:val="single" w:sz="8" w:color="CCEEFF"/>
            </w:tcBorders>
            <w:gridSpan w:val="2"/>
          </w:tcPr>
          <w:p>
            <w:pPr>
              <w:jc w:val="right"/>
              <w:ind w:right="108"/>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364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IBNR</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35"/>
              <w:spacing w:after="0" w:line="203" w:lineRule="exact"/>
              <w:rPr>
                <w:sz w:val="20"/>
                <w:szCs w:val="20"/>
                <w:color w:val="auto"/>
              </w:rPr>
            </w:pPr>
            <w:r>
              <w:rPr>
                <w:rFonts w:ascii="Arial" w:cs="Arial" w:eastAsia="Arial" w:hAnsi="Arial"/>
                <w:sz w:val="18"/>
                <w:szCs w:val="18"/>
                <w:color w:val="auto"/>
              </w:rPr>
              <w:t>4,209</w:t>
            </w: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color w:val="auto"/>
              </w:rPr>
              <w:t>LAE</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 xml:space="preserve">Total reserves for losses and LAE </w:t>
            </w:r>
            <w:r>
              <w:rPr>
                <w:rFonts w:ascii="Arial" w:cs="Arial" w:eastAsia="Arial" w:hAnsi="Arial"/>
                <w:sz w:val="18"/>
                <w:szCs w:val="18"/>
                <w:b w:val="1"/>
                <w:bCs w:val="1"/>
                <w:color w:val="auto"/>
              </w:rPr>
              <w:t>(1)</w:t>
            </w: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61,346</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(1) The U.S. mortgage insurance portfolio reserves exclude reserves on GSE and other risk share risk in force at Essent Re of $90 thousand.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4147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As of September 30, 2018</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Number of</w:t>
            </w:r>
          </w:p>
        </w:tc>
        <w:tc>
          <w:tcPr>
            <w:tcW w:w="1580" w:type="dxa"/>
            <w:vAlign w:val="bottom"/>
            <w:gridSpan w:val="3"/>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88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7"/>
              </w:rPr>
              <w:t>Amount of</w:t>
            </w:r>
          </w:p>
        </w:tc>
        <w:tc>
          <w:tcPr>
            <w:tcW w:w="100" w:type="dxa"/>
            <w:vAlign w:val="bottom"/>
          </w:tcPr>
          <w:p>
            <w:pPr>
              <w:spacing w:after="0"/>
              <w:rPr>
                <w:sz w:val="13"/>
                <w:szCs w:val="13"/>
                <w:color w:val="auto"/>
              </w:rPr>
            </w:pPr>
          </w:p>
        </w:tc>
        <w:tc>
          <w:tcPr>
            <w:tcW w:w="14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Percentage of</w:t>
            </w:r>
          </w:p>
        </w:tc>
        <w:tc>
          <w:tcPr>
            <w:tcW w:w="180" w:type="dxa"/>
            <w:vAlign w:val="bottom"/>
          </w:tcPr>
          <w:p>
            <w:pPr>
              <w:spacing w:after="0"/>
              <w:rPr>
                <w:sz w:val="13"/>
                <w:szCs w:val="13"/>
                <w:color w:val="auto"/>
              </w:rPr>
            </w:pPr>
          </w:p>
        </w:tc>
        <w:tc>
          <w:tcPr>
            <w:tcW w:w="94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Defaulted</w:t>
            </w:r>
          </w:p>
        </w:tc>
        <w:tc>
          <w:tcPr>
            <w:tcW w:w="120" w:type="dxa"/>
            <w:vAlign w:val="bottom"/>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5"/>
              </w:rPr>
              <w:t>Reserves as a</w:t>
            </w:r>
          </w:p>
        </w:tc>
        <w:tc>
          <w:tcPr>
            <w:tcW w:w="0" w:type="dxa"/>
            <w:vAlign w:val="bottom"/>
          </w:tcPr>
          <w:p>
            <w:pPr>
              <w:spacing w:after="0"/>
              <w:rPr>
                <w:sz w:val="1"/>
                <w:szCs w:val="1"/>
                <w:color w:val="auto"/>
              </w:rPr>
            </w:pPr>
          </w:p>
        </w:tc>
      </w:tr>
      <w:tr>
        <w:trPr>
          <w:trHeight w:val="149"/>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12"/>
                <w:szCs w:val="12"/>
                <w:color w:val="auto"/>
              </w:rPr>
            </w:pPr>
          </w:p>
        </w:tc>
        <w:tc>
          <w:tcPr>
            <w:tcW w:w="1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5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Default</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Default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9"/>
              </w:rPr>
              <w:t>Reserves</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Reserves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RIF</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Defaulted RIF</w:t>
            </w: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Missed payments:</w:t>
            </w: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180"/>
              <w:spacing w:after="0"/>
              <w:rPr>
                <w:sz w:val="20"/>
                <w:szCs w:val="20"/>
                <w:color w:val="auto"/>
              </w:rPr>
            </w:pPr>
            <w:r>
              <w:rPr>
                <w:rFonts w:ascii="Arial" w:cs="Arial" w:eastAsia="Arial" w:hAnsi="Arial"/>
                <w:sz w:val="18"/>
                <w:szCs w:val="18"/>
                <w:color w:val="auto"/>
              </w:rPr>
              <w:t>Three payments or less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1,886</w:t>
            </w:r>
          </w:p>
        </w:tc>
        <w:tc>
          <w:tcPr>
            <w:tcW w:w="100" w:type="dxa"/>
            <w:vAlign w:val="bottom"/>
          </w:tcPr>
          <w:p>
            <w:pPr>
              <w:spacing w:after="0"/>
              <w:rPr>
                <w:sz w:val="21"/>
                <w:szCs w:val="21"/>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53%  $</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10,498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101,755</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w w:val="94"/>
              </w:rPr>
              <w:t>10%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Four to eleven payments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1,252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24,531</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68,670</w:t>
            </w:r>
          </w:p>
        </w:tc>
        <w:tc>
          <w:tcPr>
            <w:tcW w:w="144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3640" w:type="dxa"/>
            <w:vAlign w:val="bottom"/>
            <w:gridSpan w:val="2"/>
          </w:tcPr>
          <w:p>
            <w:pPr>
              <w:ind w:left="180"/>
              <w:spacing w:after="0"/>
              <w:rPr>
                <w:sz w:val="20"/>
                <w:szCs w:val="20"/>
                <w:color w:val="auto"/>
              </w:rPr>
            </w:pPr>
            <w:r>
              <w:rPr>
                <w:rFonts w:ascii="Arial" w:cs="Arial" w:eastAsia="Arial" w:hAnsi="Arial"/>
                <w:sz w:val="18"/>
                <w:szCs w:val="18"/>
                <w:color w:val="auto"/>
              </w:rPr>
              <w:t>Twelve or more payments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1320" w:type="dxa"/>
            <w:vAlign w:val="bottom"/>
          </w:tcPr>
          <w:p>
            <w:pPr>
              <w:jc w:val="right"/>
              <w:ind w:right="96"/>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11,795</w:t>
            </w:r>
          </w:p>
        </w:tc>
        <w:tc>
          <w:tcPr>
            <w:tcW w:w="1420" w:type="dxa"/>
            <w:vAlign w:val="bottom"/>
            <w:gridSpan w:val="2"/>
          </w:tcPr>
          <w:p>
            <w:pPr>
              <w:jc w:val="right"/>
              <w:ind w:right="102"/>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20,160</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Pending claims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1,941</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2,212</w:t>
            </w:r>
          </w:p>
        </w:tc>
        <w:tc>
          <w:tcPr>
            <w:tcW w:w="144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97"/>
        </w:trPr>
        <w:tc>
          <w:tcPr>
            <w:tcW w:w="364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Total case reserves</w:t>
            </w:r>
          </w:p>
        </w:tc>
        <w:tc>
          <w:tcPr>
            <w:tcW w:w="11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3,538</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jc w:val="right"/>
              <w:ind w:right="35"/>
              <w:spacing w:after="0"/>
              <w:rPr>
                <w:sz w:val="20"/>
                <w:szCs w:val="20"/>
                <w:color w:val="auto"/>
              </w:rPr>
            </w:pPr>
            <w:r>
              <w:rPr>
                <w:rFonts w:ascii="Arial" w:cs="Arial" w:eastAsia="Arial" w:hAnsi="Arial"/>
                <w:sz w:val="18"/>
                <w:szCs w:val="18"/>
                <w:color w:val="auto"/>
              </w:rPr>
              <w:t>48,765</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192,797</w:t>
            </w:r>
          </w:p>
        </w:tc>
        <w:tc>
          <w:tcPr>
            <w:tcW w:w="1440" w:type="dxa"/>
            <w:vAlign w:val="bottom"/>
            <w:tcBorders>
              <w:bottom w:val="single" w:sz="8" w:color="CCEEFF"/>
            </w:tcBorders>
            <w:gridSpan w:val="2"/>
          </w:tcPr>
          <w:p>
            <w:pPr>
              <w:ind w:left="10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364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IBNR</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35"/>
              <w:spacing w:after="0" w:line="203" w:lineRule="exact"/>
              <w:rPr>
                <w:sz w:val="20"/>
                <w:szCs w:val="20"/>
                <w:color w:val="auto"/>
              </w:rPr>
            </w:pPr>
            <w:r>
              <w:rPr>
                <w:rFonts w:ascii="Arial" w:cs="Arial" w:eastAsia="Arial" w:hAnsi="Arial"/>
                <w:sz w:val="18"/>
                <w:szCs w:val="18"/>
                <w:color w:val="auto"/>
              </w:rPr>
              <w:t>3,657</w:t>
            </w: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color w:val="auto"/>
              </w:rPr>
              <w:t>LAE</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 reserves for losses and LAE</w:t>
            </w: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53,355</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During the three months ended September 30, 2019, the provision for losses and LAE was $10.0 million, comprised of $14.7 million of current year losses partially offset by $4.7 million of favorable prior years’ loss development. During the three months ended September 30, 2018, the provision for losses and LAE was $5.5 million, comprised of $8.7 million of current year losses partially offset by $3.2 million of favorable prior years’ loss development. In both periods, the prior years’ loss development was the result of a re-estimation of amounts ultimately to be paid on prior year defaults in the default inventory, including the impact of previously identified defaults that cured.</w:t>
      </w:r>
    </w:p>
    <w:p>
      <w:pPr>
        <w:spacing w:after="0" w:line="18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During the nine months ended September 30, 2019, the provision for losses and LAE was $22.1 million, comprised of $37.9 million of current year losses partially offset by $15.8 million of favorable prior years’ loss development. During the nine months ended September 30, 2018, the provision for losses and LAE was $12.6 million, comprised of $25.2 million of current year losses partially offset by $12.6 million of favorable prior years’ loss development. In both periods, the prior years’ loss development was the result of a re-estimation of amounts ultimately to be paid on prior year defaults in the default inventory, including the impact of previously identified defaults that cured.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includes additional information about our claims paid and claim severity as of the dates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4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6"/>
                <w:szCs w:val="16"/>
                <w:color w:val="auto"/>
              </w:rPr>
            </w:pPr>
          </w:p>
        </w:tc>
        <w:tc>
          <w:tcPr>
            <w:tcW w:w="3020" w:type="dxa"/>
            <w:vAlign w:val="bottom"/>
            <w:gridSpan w:val="4"/>
          </w:tcPr>
          <w:p>
            <w:pPr>
              <w:jc w:val="right"/>
              <w:ind w:right="534"/>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2018</w:t>
            </w:r>
          </w:p>
        </w:tc>
      </w:tr>
      <w:tr>
        <w:trPr>
          <w:trHeight w:val="250"/>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Number of claims paid</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179</w:t>
            </w:r>
          </w:p>
        </w:tc>
      </w:tr>
      <w:tr>
        <w:trPr>
          <w:trHeight w:val="243"/>
        </w:trPr>
        <w:tc>
          <w:tcPr>
            <w:tcW w:w="4520" w:type="dxa"/>
            <w:vAlign w:val="bottom"/>
            <w:gridSpan w:val="2"/>
          </w:tcPr>
          <w:p>
            <w:pPr>
              <w:ind w:left="40"/>
              <w:spacing w:after="0"/>
              <w:rPr>
                <w:sz w:val="20"/>
                <w:szCs w:val="20"/>
                <w:color w:val="auto"/>
              </w:rPr>
            </w:pPr>
            <w:r>
              <w:rPr>
                <w:rFonts w:ascii="Arial" w:cs="Arial" w:eastAsia="Arial" w:hAnsi="Arial"/>
                <w:sz w:val="18"/>
                <w:szCs w:val="18"/>
                <w:color w:val="auto"/>
              </w:rPr>
              <w:t>Amount of claims paid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6"/>
              <w:spacing w:after="0"/>
              <w:rPr>
                <w:sz w:val="20"/>
                <w:szCs w:val="20"/>
                <w:color w:val="auto"/>
              </w:rPr>
            </w:pPr>
            <w:r>
              <w:rPr>
                <w:rFonts w:ascii="Arial" w:cs="Arial" w:eastAsia="Arial" w:hAnsi="Arial"/>
                <w:sz w:val="18"/>
                <w:szCs w:val="18"/>
                <w:color w:val="auto"/>
              </w:rPr>
              <w:t>3,584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2,029</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7"/>
              <w:spacing w:after="0"/>
              <w:rPr>
                <w:sz w:val="20"/>
                <w:szCs w:val="20"/>
                <w:color w:val="auto"/>
              </w:rPr>
            </w:pPr>
            <w:r>
              <w:rPr>
                <w:rFonts w:ascii="Arial" w:cs="Arial" w:eastAsia="Arial" w:hAnsi="Arial"/>
                <w:sz w:val="18"/>
                <w:szCs w:val="18"/>
                <w:color w:val="auto"/>
              </w:rPr>
              <w:t>9,691</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5,848</w:t>
            </w:r>
          </w:p>
        </w:tc>
      </w:tr>
      <w:tr>
        <w:trPr>
          <w:trHeight w:val="27"/>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Claim severity</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675"/>
        </w:trPr>
        <w:tc>
          <w:tcPr>
            <w:tcW w:w="4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jc w:val="right"/>
              <w:ind w:right="276"/>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are the components of our other underwriting and operating expenses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7"/>
          </w:tcPr>
          <w:p>
            <w:pPr>
              <w:ind w:left="560"/>
              <w:spacing w:after="0"/>
              <w:rPr>
                <w:sz w:val="20"/>
                <w:szCs w:val="20"/>
                <w:color w:val="auto"/>
              </w:rPr>
            </w:pPr>
            <w:r>
              <w:rPr>
                <w:rFonts w:ascii="Arial" w:cs="Arial" w:eastAsia="Arial" w:hAnsi="Arial"/>
                <w:sz w:val="14"/>
                <w:szCs w:val="14"/>
                <w:b w:val="1"/>
                <w:bCs w:val="1"/>
                <w:color w:val="auto"/>
                <w:w w:val="94"/>
              </w:rPr>
              <w:t>Three Months Ended 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4"/>
                <w:szCs w:val="14"/>
                <w:b w:val="1"/>
                <w:bCs w:val="1"/>
                <w:color w:val="auto"/>
              </w:rPr>
              <w:t>Nine Months Ended September 30,</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w w:val="96"/>
              </w:rPr>
              <w:t>2019</w:t>
            </w:r>
          </w:p>
        </w:tc>
        <w:tc>
          <w:tcPr>
            <w:tcW w:w="7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24,323</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21,615</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70,839</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67,465</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360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760" w:type="dxa"/>
            <w:vAlign w:val="bottom"/>
          </w:tcPr>
          <w:p>
            <w:pPr>
              <w:jc w:val="right"/>
              <w:ind w:right="39"/>
              <w:spacing w:after="0"/>
              <w:rPr>
                <w:sz w:val="20"/>
                <w:szCs w:val="20"/>
                <w:color w:val="auto"/>
              </w:rPr>
            </w:pPr>
            <w:r>
              <w:rPr>
                <w:rFonts w:ascii="Arial" w:cs="Arial" w:eastAsia="Arial" w:hAnsi="Arial"/>
                <w:sz w:val="18"/>
                <w:szCs w:val="18"/>
                <w:color w:val="auto"/>
              </w:rPr>
              <w:t>17,265</w:t>
            </w:r>
          </w:p>
        </w:tc>
        <w:tc>
          <w:tcPr>
            <w:tcW w:w="100" w:type="dxa"/>
            <w:vAlign w:val="bottom"/>
          </w:tcPr>
          <w:p>
            <w:pPr>
              <w:spacing w:after="0"/>
              <w:rPr>
                <w:sz w:val="21"/>
                <w:szCs w:val="21"/>
                <w:color w:val="auto"/>
              </w:rPr>
            </w:pP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17"/>
              <w:spacing w:after="0"/>
              <w:rPr>
                <w:sz w:val="20"/>
                <w:szCs w:val="20"/>
                <w:color w:val="auto"/>
              </w:rPr>
            </w:pPr>
            <w:r>
              <w:rPr>
                <w:rFonts w:ascii="Arial" w:cs="Arial" w:eastAsia="Arial" w:hAnsi="Arial"/>
                <w:sz w:val="18"/>
                <w:szCs w:val="18"/>
                <w:color w:val="auto"/>
              </w:rPr>
              <w:t>15,284</w:t>
            </w:r>
          </w:p>
        </w:tc>
        <w:tc>
          <w:tcPr>
            <w:tcW w:w="120" w:type="dxa"/>
            <w:vAlign w:val="bottom"/>
          </w:tcPr>
          <w:p>
            <w:pPr>
              <w:spacing w:after="0"/>
              <w:rPr>
                <w:sz w:val="21"/>
                <w:szCs w:val="21"/>
                <w:color w:val="auto"/>
              </w:rPr>
            </w:pPr>
          </w:p>
        </w:tc>
        <w:tc>
          <w:tcPr>
            <w:tcW w:w="740" w:type="dxa"/>
            <w:vAlign w:val="bottom"/>
          </w:tcPr>
          <w:p>
            <w:pPr>
              <w:jc w:val="right"/>
              <w:ind w:right="114"/>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9"/>
              <w:spacing w:after="0"/>
              <w:rPr>
                <w:sz w:val="20"/>
                <w:szCs w:val="20"/>
                <w:color w:val="auto"/>
              </w:rPr>
            </w:pPr>
            <w:r>
              <w:rPr>
                <w:rFonts w:ascii="Arial" w:cs="Arial" w:eastAsia="Arial" w:hAnsi="Arial"/>
                <w:sz w:val="18"/>
                <w:szCs w:val="18"/>
                <w:color w:val="auto"/>
              </w:rPr>
              <w:t>53,299</w:t>
            </w:r>
          </w:p>
        </w:tc>
        <w:tc>
          <w:tcPr>
            <w:tcW w:w="100" w:type="dxa"/>
            <w:vAlign w:val="bottom"/>
          </w:tcPr>
          <w:p>
            <w:pPr>
              <w:spacing w:after="0"/>
              <w:rPr>
                <w:sz w:val="21"/>
                <w:szCs w:val="21"/>
                <w:color w:val="auto"/>
              </w:rPr>
            </w:pP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7"/>
              <w:spacing w:after="0"/>
              <w:rPr>
                <w:sz w:val="20"/>
                <w:szCs w:val="20"/>
                <w:color w:val="auto"/>
              </w:rPr>
            </w:pPr>
            <w:r>
              <w:rPr>
                <w:rFonts w:ascii="Arial" w:cs="Arial" w:eastAsia="Arial" w:hAnsi="Arial"/>
                <w:sz w:val="18"/>
                <w:szCs w:val="18"/>
                <w:color w:val="auto"/>
              </w:rPr>
              <w:t>43,986</w:t>
            </w:r>
          </w:p>
        </w:tc>
        <w:tc>
          <w:tcPr>
            <w:tcW w:w="100" w:type="dxa"/>
            <w:vAlign w:val="bottom"/>
          </w:tcPr>
          <w:p>
            <w:pPr>
              <w:spacing w:after="0"/>
              <w:rPr>
                <w:sz w:val="21"/>
                <w:szCs w:val="21"/>
                <w:color w:val="auto"/>
              </w:rPr>
            </w:pPr>
          </w:p>
        </w:tc>
        <w:tc>
          <w:tcPr>
            <w:tcW w:w="760" w:type="dxa"/>
            <w:vAlign w:val="bottom"/>
          </w:tcPr>
          <w:p>
            <w:pPr>
              <w:jc w:val="right"/>
              <w:ind w:right="94"/>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other underwriting and operating</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ind w:right="39"/>
              <w:spacing w:after="0"/>
              <w:rPr>
                <w:sz w:val="20"/>
                <w:szCs w:val="20"/>
                <w:color w:val="auto"/>
              </w:rPr>
            </w:pPr>
            <w:r>
              <w:rPr>
                <w:rFonts w:ascii="Arial" w:cs="Arial" w:eastAsia="Arial" w:hAnsi="Arial"/>
                <w:sz w:val="18"/>
                <w:szCs w:val="18"/>
                <w:color w:val="auto"/>
              </w:rPr>
              <w:t>41,588</w:t>
            </w:r>
          </w:p>
        </w:tc>
        <w:tc>
          <w:tcPr>
            <w:tcW w:w="10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36,899</w:t>
            </w:r>
          </w:p>
        </w:tc>
        <w:tc>
          <w:tcPr>
            <w:tcW w:w="12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ind w:right="39"/>
              <w:spacing w:after="0"/>
              <w:rPr>
                <w:sz w:val="20"/>
                <w:szCs w:val="20"/>
                <w:color w:val="auto"/>
              </w:rPr>
            </w:pPr>
            <w:r>
              <w:rPr>
                <w:rFonts w:ascii="Arial" w:cs="Arial" w:eastAsia="Arial" w:hAnsi="Arial"/>
                <w:sz w:val="18"/>
                <w:szCs w:val="18"/>
                <w:color w:val="auto"/>
              </w:rPr>
              <w:t>124,138</w:t>
            </w:r>
          </w:p>
        </w:tc>
        <w:tc>
          <w:tcPr>
            <w:tcW w:w="10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111,451</w:t>
            </w:r>
          </w:p>
        </w:tc>
        <w:tc>
          <w:tcPr>
            <w:tcW w:w="10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7"/>
        </w:trPr>
        <w:tc>
          <w:tcPr>
            <w:tcW w:w="3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expenses</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Number of employees at end of period</w:t>
            </w: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7"/>
        </w:trPr>
        <w:tc>
          <w:tcPr>
            <w:tcW w:w="3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significant factors contributing to the change in other underwriting and operating expenses are:</w:t>
      </w:r>
    </w:p>
    <w:p>
      <w:pPr>
        <w:spacing w:after="0" w:line="225" w:lineRule="exact"/>
        <w:rPr>
          <w:sz w:val="20"/>
          <w:szCs w:val="20"/>
          <w:color w:val="auto"/>
        </w:rPr>
      </w:pPr>
    </w:p>
    <w:p>
      <w:pPr>
        <w:ind w:left="660" w:right="60" w:hanging="328"/>
        <w:spacing w:after="0" w:line="272"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Compensation and benefits increased in the three months ended September 30, 2019 as compared to the three months ended September 30, 2018 primarily due to increased incentive compensation, increased stock compensation expense associated with shares granted in 2019 and increased overtime associated with our increased NIW. Compensation and benefits increased in the nine months ended September 30, 2019 as compared to the nine months ended September 30, 2018 due to an increase in stock compensation expense associated with shares granted in 2018 and 2019, increased incentive compensation and increased overtime associated with our increased NIW, partially offset by a decrease in payroll taxes associated with the full vesting of stock grants issued in 2013 and 2014 during the nine months ended September 30, 2018. Compensation and benefits includes salaries, wages and bonus, stock compensation expense, benefits and payroll taxes.</w:t>
      </w:r>
    </w:p>
    <w:p>
      <w:pPr>
        <w:spacing w:after="0" w:line="177" w:lineRule="exact"/>
        <w:rPr>
          <w:rFonts w:ascii="Arial" w:cs="Arial" w:eastAsia="Arial" w:hAnsi="Arial"/>
          <w:sz w:val="17"/>
          <w:szCs w:val="17"/>
          <w:color w:val="auto"/>
        </w:rPr>
      </w:pPr>
    </w:p>
    <w:p>
      <w:pPr>
        <w:ind w:left="660" w:right="4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expenses increased as a result of the continued expansion of our business. Other expenses include premium taxes, travel, marketing, hardware, software, rent, depreciation and amortization and other facilities expenses.</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For the three and nine months ended September 30, 2019, we incurred interest expense of $2.6 million and $7.9 million, respectively, as compared to $2.5 million and $7.6 million for the three and nine months ended September 30, 2018, respectively. The increase in both periods was primarily due to an increase in the weighted average interest rate for borrowings outstanding. For the three and nine months ended September 30, 2019, the borrowings under the Credit Facility had a weighted average interest rate of 4.34% and 4.45%, respectively, as compared to 4.18% and 3.86% for the three and nine months ended September 30, 2018, respectively. Partially offsetting the increase in the weighted average interest rate for the nine months ended September 30, 2019 was a decrease in the average amount outstanding under the Credit Facility to $225.0 million for the nine months ended September 30, 2019 as compared to $245.4 million for the nine months ended September 30, 2018.</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Our subsidiaries in the United States file a consolidated U.S. Federal income tax return. For interim reporting periods, we use an annual effective tax rate method required under GAAP to calculate the income tax provision. Our income tax expense was $27.6 million and $24.1 million for the three months ended September 30, 2019 and 2018, respectively, and $75.9 million and $55.8 million for the nine months ended September 30, 2019 and 2018, respectively. Income tax expense for the three and nine months ended September 30, 2019 was calculated using an estimated annual effective tax rate of 16.1%, as compared to 16.2% for the three and nine months ended September 30, 2018. For the three and nine months ended September 30, 2018, income tax expense includes $1.5 million of expense associated with accrual to return adjustments associated with the completion of the 2017 U.S. federal income tax return. For the nine months ended September 30, 2019 and 2018, income tax expense was reduced by excess tax benefits associated with the vesting of common shares and common share units of $2.1 million and $9.6 million, respectively. The tax effects associated with the vesting of common shares and common share units are treated as discrete items in the reporting period in which they occur and are not considered in determining the annual effective tax rate.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sources of funds consist primarily of:</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investment portfolio and interest income on the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premiums that we will receive from our existing IIF as well as policies that we write in the future;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borrowings under our Credit Facility;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issuance of capital shares.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Our obligations consist primarily of:</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claim payments under our policies;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interest payments and repayment of borrowings under our Credit Facility;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other costs and operating expenses of our business;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payment of dividends on our common shares.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of September 30, 2019, we had substantial liquidity with cash of $49.6 million, short-term investments of $252.6 million and fixed maturity investments of $3.0 billion. We also had $275 million available capacity under the revolving credit component of our Credit Facility, with $225 million of term borrowings outstanding under our Credit Facility. Borrowings under the Credit Facility contractually mature on May 17, 2021. At September 30, 2019, net cash and investments at the holding company were $98.2 million. In addition, Essent Guaranty is a member of the Federal Home Loan Bank of Pittsburgh (the “FHLBank”) and has access to secured borrowing capacity with the FHLBank to provide Essent Guaranty with supplemental liquidity. Essent Guaranty had no outstanding borrowings with the FHLBank at September 30, 2019.</w:t>
      </w:r>
    </w:p>
    <w:p>
      <w:pPr>
        <w:spacing w:after="0" w:line="193"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Management believes that the Company has sufficient liquidity available both at the holding company and in its insurance and other operating subsidiaries to meet its operating cash needs and obligations and committed capital expenditures for the next 12 months.</w:t>
      </w:r>
    </w:p>
    <w:p>
      <w:pPr>
        <w:spacing w:after="0" w:line="170"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While the Company and all of its subsidiaries are expected to have sufficient liquidity to meet all their expected obligations, additional capital may be required to meet any new capital requirements that are adopted by regulatory authorities or the GSEs, or to provide additional capital related to the growth of our risk in force in our mortgage insurance portfolio, or to fund new business initiatives including the insurance activities of Essent Re. We continually evaluate opportunities based upon market conditions to further increase our financial flexibility through the issuance of equity or debt, or other options including reinsurance or credit risk transfer transactions. There can be no guarantee that any such opportunities will be available on acceptable terms or at all.</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the operating subsidiary level, liquidity could be impacted by any one of the following factors:</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significant decline in the value of our investments;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sell investment assets to provide cash to fund operating needs;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decline in expected revenues generated from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in expected claim payments related to our IIF;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in operating expenses.</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Our U.S. insurance subsidiaries are subject to certain capital and dividend rules and regulations prescribed by jurisdictions in which they are authorized to operate and the GSEs. Under the insurance laws of the Commonwealth of Pennsylvania, the insurance subsidiaries may pay dividends during any twelve-month period in an amount equal to the greater</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125" w:right="27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of (i) 10% of the preceding year-end statutory policyholders' surplus or (ii) the preceding year’s statutory net income. The Pennsylvania statute also requires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that dividends and other distributions be paid out of positive unassigned surplus without prior approval. At September 30, 2019, Essent Guaranty had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unassigned surplus of approximately $280.0 million. Essent Guaranty of PA, Inc. (“Essent PA") had unassigned surplus of approximately $13.1 million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2019. Essent Re is subject to certain dividend restrictions as prescribed by the Bermuda Monetary Authority and under certain agreements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counterparties. In connection with a quota share reinsurance agreement with Essent Guaranty, Essent Re has agreed to maintain a minimum total equity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 million. As of September 30, 2019, Essent Re had total equity of $908.2 million. In connection with its insurance and reinsurance activities, Essent Re 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required to maintain assets in trusts for the benefit of its contractual counterparties. See Note 3 to our condensed consolidated financial statements. At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our insurance subsidiaries were in compliance with these rules, regulations and agreements.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consolidated cash flows from operating, investing and financing activities: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2018</w:t>
            </w: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424,579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485,954</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(416,414)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(442,961)</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(23,529)</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(56,720)</w:t>
            </w:r>
          </w:p>
        </w:tc>
      </w:tr>
      <w:tr>
        <w:trPr>
          <w:trHeight w:val="257"/>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Net decrease in cash</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(15,364)</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(13,727)</w:t>
            </w:r>
          </w:p>
        </w:tc>
      </w:tr>
      <w:tr>
        <w:trPr>
          <w:trHeight w:val="20"/>
        </w:trPr>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Cash flow provided by operating activities totaled $424.6 million for the nine months ended September 30, 2019, as compared to $486.0 million for the nine months ended September 30, 2018. The decrease in cash flow provided by operating activities of $61.4 million was primarily due to an increase in United States Mortgage Guaranty Tax and Loss Bonds (“T&amp;L Bonds”) purchased during 2019, partially offset by an increase in premiums collected during 2019.</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860" w:firstLine="648"/>
        <w:spacing w:after="0" w:line="308" w:lineRule="auto"/>
        <w:rPr>
          <w:sz w:val="20"/>
          <w:szCs w:val="20"/>
          <w:color w:val="auto"/>
        </w:rPr>
      </w:pPr>
      <w:r>
        <w:rPr>
          <w:rFonts w:ascii="Arial" w:cs="Arial" w:eastAsia="Arial" w:hAnsi="Arial"/>
          <w:sz w:val="17"/>
          <w:szCs w:val="17"/>
          <w:color w:val="auto"/>
        </w:rPr>
        <w:t>Cash flow used in investing activities totaled $416.4 million and $443.0 million for the nine months ended September 30, 2019 and 2018, respectively. In both periods, cash flow used in investing activities primarily related to investing cash flows from operations.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Cash flow used in financing activities totaled $23.5 million for the nine months ended September 30, 2019, primarily related to our inaugural quarterly cash dividend paid in September and treasury stock acquired from employees to satisfy tax withholding obligations. Cash flow used in financing activities totaled $56.7 million for the nine months ended September 30, 2018, primarily related to treasury stock acquired from employees to satisfy tax withholding obligations and $25 million of net repayments of borrowings under the Credit Facility.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Company Capital</w:t>
      </w:r>
    </w:p>
    <w:p>
      <w:pPr>
        <w:spacing w:after="0" w:line="225"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We compute a risk-to-capital ratio for our U.S. insurance companies on a separate company statutory basis, as well as for our combined insurance operations. The risk-to-capital ratio is our net risk in force divided by our statutory capital. Our net risk in force represents risk in force net of reinsurance ceded, if any, and net of exposures on policies for which loss reserves have been established. Statutory capital consists primarily of statutory policyholders’ surplus (which increases as a result of statutory net income and decreases as a result of statutory net loss and dividends paid), plus the statutory contingency reserve. The statutory contingency reserve is reported as a liability on the statutory balance sheet. A mortgage insurance company is required to make annual contributions to the contingency reserve of 50% of net premiums earned. These contributions must generally be maintained for a period of ten years. However, with regulatory approval, a mortgage insurance company may make early withdrawals from the contingency reserve when incurred losses exceed 35% of net premiums earned in a calendar year.</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During the nine months ended September 30, 2019, Essent Re paid a dividend to Essent Group Ltd. of $40 million to increase holding company liquidity. No capital contributions were made to our U.S. insurance subsidiaries during the nine months ended September 30, 2019. During the nine months ended September 30, 2018, Essent US Holdings, Inc. ("Essent Holdings") made capital contributions to Essent Guaranty of $15 million to support new and existing business and Essent Guaranty paid a dividend to Essent Holdings of $40 million which was used to pay down the borrowings remaining under the revolving component of the Credit Facility.</w:t>
      </w:r>
    </w:p>
    <w:p>
      <w:pPr>
        <w:spacing w:after="0" w:line="18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Essent Guaranty has entered into reinsurance agreements that provide excess of loss reinsurance coverage for new defaults on portfolios of mortgage insurance policies issued in 2015 through 2018. The aggregate excess of loss reinsurance coverages decrease over a ten-year period as the underlying covered mortgages amortize. Effective September 1, 2019, Essent Guaranty entered into a quota share reinsurance agreement with a panel of third-party reinsurers (the "QSR Agreement"). Under the QSR Agreement, Essent Guaranty will cede premiums earned related to 40% of risk on eligible single premium policies and 20% of risk on all other eligible policies written September 1, 2019 through December 31, 2020, in exchange for reimbursement of ceded claims and claims expenses on covered policies, a 20% ceding commission, and a profit commission of up to 60% that varies directly and inversely with ceded claims. These reinsurance coverages also reduces net risk in force and PMIERs Minimum Required Assets. See Note 4 to our condensed consolidated financial statements.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combined risk-to-capital calculation for our U.S. insurance subsidiaries as of September 30, 2019 was as follows:</w:t>
      </w:r>
    </w:p>
    <w:p>
      <w:pPr>
        <w:spacing w:after="0" w:line="37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Combined statutory capital:</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4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Policyholders’ surplus</w:t>
            </w:r>
          </w:p>
        </w:tc>
        <w:tc>
          <w:tcPr>
            <w:tcW w:w="50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1,037,672</w:t>
            </w:r>
          </w:p>
        </w:tc>
      </w:tr>
      <w:tr>
        <w:trPr>
          <w:trHeight w:val="243"/>
        </w:trPr>
        <w:tc>
          <w:tcPr>
            <w:tcW w:w="9400" w:type="dxa"/>
            <w:vAlign w:val="bottom"/>
          </w:tcPr>
          <w:p>
            <w:pPr>
              <w:ind w:left="40"/>
              <w:spacing w:after="0"/>
              <w:rPr>
                <w:sz w:val="20"/>
                <w:szCs w:val="20"/>
                <w:color w:val="auto"/>
              </w:rPr>
            </w:pPr>
            <w:r>
              <w:rPr>
                <w:rFonts w:ascii="Arial" w:cs="Arial" w:eastAsia="Arial" w:hAnsi="Arial"/>
                <w:sz w:val="18"/>
                <w:szCs w:val="18"/>
                <w:color w:val="auto"/>
              </w:rPr>
              <w:t>Contingency reserves</w:t>
            </w:r>
          </w:p>
        </w:tc>
        <w:tc>
          <w:tcPr>
            <w:tcW w:w="5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1,174,669</w:t>
            </w:r>
          </w:p>
        </w:tc>
      </w:tr>
      <w:tr>
        <w:trPr>
          <w:trHeight w:val="27"/>
        </w:trPr>
        <w:tc>
          <w:tcPr>
            <w:tcW w:w="94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9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Combined statutory capital</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2,212,341</w:t>
            </w:r>
          </w:p>
        </w:tc>
      </w:tr>
      <w:tr>
        <w:trPr>
          <w:trHeight w:val="20"/>
        </w:trPr>
        <w:tc>
          <w:tcPr>
            <w:tcW w:w="9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0"/>
        </w:trPr>
        <w:tc>
          <w:tcPr>
            <w:tcW w:w="9400" w:type="dxa"/>
            <w:vAlign w:val="bottom"/>
          </w:tcPr>
          <w:p>
            <w:pPr>
              <w:ind w:left="40"/>
              <w:spacing w:after="0"/>
              <w:rPr>
                <w:sz w:val="20"/>
                <w:szCs w:val="20"/>
                <w:color w:val="auto"/>
              </w:rPr>
            </w:pPr>
            <w:r>
              <w:rPr>
                <w:rFonts w:ascii="Arial" w:cs="Arial" w:eastAsia="Arial" w:hAnsi="Arial"/>
                <w:sz w:val="18"/>
                <w:szCs w:val="18"/>
                <w:color w:val="auto"/>
              </w:rPr>
              <w:t>Combined net risk in force</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29,622,379</w:t>
            </w:r>
          </w:p>
        </w:tc>
      </w:tr>
      <w:tr>
        <w:trPr>
          <w:trHeight w:val="27"/>
        </w:trPr>
        <w:tc>
          <w:tcPr>
            <w:tcW w:w="94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9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Combined risk-to-capital ratio</w:t>
            </w:r>
          </w:p>
        </w:tc>
        <w:tc>
          <w:tcPr>
            <w:tcW w:w="5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13.4:1</w:t>
            </w:r>
          </w:p>
        </w:tc>
      </w:tr>
      <w:tr>
        <w:trPr>
          <w:trHeight w:val="20"/>
        </w:trPr>
        <w:tc>
          <w:tcPr>
            <w:tcW w:w="9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For additional information regarding regulatory capital, see Note 13 to our condensed consolidated financial statements. Our combined statutory capital equals the sum of statutory capital of Essent Guaranty plus Essent PA, after eliminating the impact of intercompany transactions. The combined risk-to-capital ratio equals the sum of the net risk in force of Essent Guaranty and Essent PA divided by combined statutory capital. The information above has been derived from the annual and quarterly statements of our insurance subsidiaries, which have been prepared in conformity with accounting practices prescribed or permitted by the Pennsylvania Insurance Department and the National Association of Insurance Commissioners Accounting Practices and Procedures Manual. Such practices vary from accounting principles generally accepted in the United States.</w:t>
      </w:r>
    </w:p>
    <w:p>
      <w:pPr>
        <w:spacing w:after="0" w:line="165"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Essent Re has entered into GSE and other risk share transactions, including insurance and reinsurance transactions with Freddie Mac and Fannie Mae. Essent Re also reinsures 25% of Essent Guaranty’s NIW under a quota share reinsurance agreement. As of September 30, 2019, Essent Re had total stockholders’ equity of $908.2 million and net risk in force of $10.0 billion.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Financial Strength Ratings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insurer financial strength rating of Essent Guaranty, our principal mortgage insurance subsidiary, is rated BBB+ with a stable outlook by S&amp;P and A (Excellent) with stable outlook by A.M. Best. On October 17, 2019, Moody’s Investors Service (“Moody's”) upgraded its rating of Essent Guaranty to A3 with a stable outlook. The insurer financial strength rating of Essent Re is BBB+ with a stable outlook by S&amp;P and A (Excellent) with stable outlook by A.M. Best.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Private Mortgage Insurer Eligibility Requirements</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Effective December 31, 2015, Fannie Mae and Freddie Mac, at the direction of the FHFA,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This risk-based framework provides that an insurer must hold a substantially higher level of required assets for insured loans that are in default compared to a performing loan. The PMIERs also include enhanced operational performance expectations and define remedial actions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125" w:right="2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that apply should an approved insurer fail to comply with these requirements. In 2018, the GSEs released revised PMIERs framework ("PMIERs 2.0") which became effective on March 31, 2019. As of September 30, 2019, Essent Guaranty, our GSE-approved mortgage insurance company, was in compliance with PMIERs 2.0. As of September 30, 2019, Essent Guaranty's Available Assets were $2.21 billion and its Minimum Required Assets were $1.39 billion based on our interpretation of PMIERs 2.0.</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As of September 30, 2019, stockholders’ equity was $2.9 billion, compared to $2.4 billion as of December 31, 2018. This increase was primarily due to net income generated in 2019 and an increase in accumulated other comprehensive income related to an increase in our unrealized investment gains.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As of September 30, 2019, investments totaled $3.3 billion compared to $2.8 billion as of December 31, 2018. In addition, our total cash was $49.6 million as of September 30, 2019, compared to $64.9 million as of December 31, 2018. The increase in investments was primarily due to investing net cash flows from operations during the nine months ended September 30, 2019.</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Investments Available for Sale by Asset Class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gridSpan w:val="4"/>
          </w:tcPr>
          <w:p>
            <w:pPr>
              <w:ind w:left="40"/>
              <w:spacing w:after="0"/>
              <w:rPr>
                <w:sz w:val="20"/>
                <w:szCs w:val="20"/>
                <w:color w:val="auto"/>
              </w:rPr>
            </w:pPr>
            <w:r>
              <w:rPr>
                <w:rFonts w:ascii="Arial" w:cs="Arial" w:eastAsia="Arial" w:hAnsi="Arial"/>
                <w:sz w:val="14"/>
                <w:szCs w:val="14"/>
                <w:b w:val="1"/>
                <w:bCs w:val="1"/>
                <w:color w:val="auto"/>
              </w:rPr>
              <w:t>Asset Class</w:t>
            </w:r>
          </w:p>
        </w:tc>
        <w:tc>
          <w:tcPr>
            <w:tcW w:w="30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3"/>
          </w:tcPr>
          <w:p>
            <w:pPr>
              <w:jc w:val="right"/>
              <w:ind w:right="972"/>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right"/>
              <w:ind w:right="108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64"/>
        </w:trPr>
        <w:tc>
          <w:tcPr>
            <w:tcW w:w="44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16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Percent</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gridSpan w:val="2"/>
          </w:tcPr>
          <w:p>
            <w:pPr>
              <w:spacing w:after="0"/>
              <w:rPr>
                <w:sz w:val="22"/>
                <w:szCs w:val="22"/>
                <w:color w:val="auto"/>
              </w:rPr>
            </w:pPr>
          </w:p>
        </w:tc>
        <w:tc>
          <w:tcPr>
            <w:tcW w:w="14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271,359</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289,892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3"/>
        </w:trPr>
        <w:tc>
          <w:tcPr>
            <w:tcW w:w="4580" w:type="dxa"/>
            <w:vAlign w:val="bottom"/>
            <w:gridSpan w:val="4"/>
          </w:tcPr>
          <w:p>
            <w:pPr>
              <w:ind w:left="40"/>
              <w:spacing w:after="0"/>
              <w:rPr>
                <w:sz w:val="20"/>
                <w:szCs w:val="20"/>
                <w:color w:val="auto"/>
              </w:rPr>
            </w:pPr>
            <w:r>
              <w:rPr>
                <w:rFonts w:ascii="Arial" w:cs="Arial" w:eastAsia="Arial" w:hAnsi="Arial"/>
                <w:sz w:val="18"/>
                <w:szCs w:val="18"/>
                <w:color w:val="auto"/>
              </w:rPr>
              <w:t>U.S. agency securities</w:t>
            </w: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33,544</w:t>
            </w:r>
          </w:p>
        </w:tc>
        <w:tc>
          <w:tcPr>
            <w:tcW w:w="120" w:type="dxa"/>
            <w:vAlign w:val="bottom"/>
          </w:tcPr>
          <w:p>
            <w:pPr>
              <w:spacing w:after="0"/>
              <w:rPr>
                <w:sz w:val="21"/>
                <w:szCs w:val="21"/>
                <w:color w:val="auto"/>
              </w:rPr>
            </w:pPr>
          </w:p>
        </w:tc>
        <w:tc>
          <w:tcPr>
            <w:tcW w:w="1660" w:type="dxa"/>
            <w:vAlign w:val="bottom"/>
          </w:tcPr>
          <w:p>
            <w:pPr>
              <w:jc w:val="right"/>
              <w:ind w:right="11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32,997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829,748</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637,178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gridSpan w:val="4"/>
          </w:tcPr>
          <w:p>
            <w:pPr>
              <w:ind w:left="40"/>
              <w:spacing w:after="0"/>
              <w:rPr>
                <w:sz w:val="20"/>
                <w:szCs w:val="20"/>
                <w:color w:val="auto"/>
              </w:rPr>
            </w:pPr>
            <w:r>
              <w:rPr>
                <w:rFonts w:ascii="Arial" w:cs="Arial" w:eastAsia="Arial" w:hAnsi="Arial"/>
                <w:sz w:val="18"/>
                <w:szCs w:val="18"/>
                <w:color w:val="auto"/>
              </w:rPr>
              <w:t>Municipal debt securities(1)</w:t>
            </w: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364,140</w:t>
            </w:r>
          </w:p>
        </w:tc>
        <w:tc>
          <w:tcPr>
            <w:tcW w:w="120" w:type="dxa"/>
            <w:vAlign w:val="bottom"/>
          </w:tcPr>
          <w:p>
            <w:pPr>
              <w:spacing w:after="0"/>
              <w:rPr>
                <w:sz w:val="21"/>
                <w:szCs w:val="21"/>
                <w:color w:val="auto"/>
              </w:rPr>
            </w:pPr>
          </w:p>
        </w:tc>
        <w:tc>
          <w:tcPr>
            <w:tcW w:w="1660" w:type="dxa"/>
            <w:vAlign w:val="bottom"/>
          </w:tcPr>
          <w:p>
            <w:pPr>
              <w:jc w:val="right"/>
              <w:ind w:right="112"/>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483,879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Non-U.S. government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49,935</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45,001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gridSpan w:val="4"/>
          </w:tcPr>
          <w:p>
            <w:pPr>
              <w:ind w:left="40"/>
              <w:spacing w:after="0"/>
              <w:rPr>
                <w:sz w:val="20"/>
                <w:szCs w:val="20"/>
                <w:color w:val="auto"/>
              </w:rPr>
            </w:pPr>
            <w:r>
              <w:rPr>
                <w:rFonts w:ascii="Arial" w:cs="Arial" w:eastAsia="Arial" w:hAnsi="Arial"/>
                <w:sz w:val="18"/>
                <w:szCs w:val="18"/>
                <w:color w:val="auto"/>
              </w:rPr>
              <w:t>Corporate debt securities(2)</w:t>
            </w: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824,632</w:t>
            </w:r>
          </w:p>
        </w:tc>
        <w:tc>
          <w:tcPr>
            <w:tcW w:w="120" w:type="dxa"/>
            <w:vAlign w:val="bottom"/>
          </w:tcPr>
          <w:p>
            <w:pPr>
              <w:spacing w:after="0"/>
              <w:rPr>
                <w:sz w:val="21"/>
                <w:szCs w:val="21"/>
                <w:color w:val="auto"/>
              </w:rPr>
            </w:pPr>
          </w:p>
        </w:tc>
        <w:tc>
          <w:tcPr>
            <w:tcW w:w="1660" w:type="dxa"/>
            <w:vAlign w:val="bottom"/>
          </w:tcPr>
          <w:p>
            <w:pPr>
              <w:jc w:val="right"/>
              <w:ind w:right="112"/>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725,201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Residential and commercial mortgage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283,790</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121,838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gridSpan w:val="4"/>
          </w:tcPr>
          <w:p>
            <w:pPr>
              <w:ind w:left="40"/>
              <w:spacing w:after="0"/>
              <w:rPr>
                <w:sz w:val="20"/>
                <w:szCs w:val="20"/>
                <w:color w:val="auto"/>
              </w:rPr>
            </w:pPr>
            <w:r>
              <w:rPr>
                <w:rFonts w:ascii="Arial" w:cs="Arial" w:eastAsia="Arial" w:hAnsi="Arial"/>
                <w:sz w:val="18"/>
                <w:szCs w:val="18"/>
                <w:color w:val="auto"/>
              </w:rPr>
              <w:t>Asset-backed securities</w:t>
            </w: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324,861</w:t>
            </w:r>
          </w:p>
        </w:tc>
        <w:tc>
          <w:tcPr>
            <w:tcW w:w="120" w:type="dxa"/>
            <w:vAlign w:val="bottom"/>
          </w:tcPr>
          <w:p>
            <w:pPr>
              <w:spacing w:after="0"/>
              <w:rPr>
                <w:sz w:val="21"/>
                <w:szCs w:val="21"/>
                <w:color w:val="auto"/>
              </w:rPr>
            </w:pPr>
          </w:p>
        </w:tc>
        <w:tc>
          <w:tcPr>
            <w:tcW w:w="1660" w:type="dxa"/>
            <w:vAlign w:val="bottom"/>
          </w:tcPr>
          <w:p>
            <w:pPr>
              <w:jc w:val="right"/>
              <w:ind w:right="11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284,997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252,604</w:t>
            </w:r>
          </w:p>
        </w:tc>
        <w:tc>
          <w:tcPr>
            <w:tcW w:w="1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139,083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580" w:type="dxa"/>
            <w:vAlign w:val="bottom"/>
            <w:gridSpan w:val="4"/>
          </w:tcPr>
          <w:p>
            <w:pPr>
              <w:ind w:left="40"/>
              <w:spacing w:after="0"/>
              <w:rPr>
                <w:sz w:val="20"/>
                <w:szCs w:val="20"/>
                <w:color w:val="auto"/>
              </w:rPr>
            </w:pPr>
            <w:r>
              <w:rPr>
                <w:rFonts w:ascii="Arial" w:cs="Arial" w:eastAsia="Arial" w:hAnsi="Arial"/>
                <w:sz w:val="18"/>
                <w:szCs w:val="18"/>
                <w:b w:val="1"/>
                <w:bCs w:val="1"/>
                <w:color w:val="auto"/>
              </w:rPr>
              <w:t>Total Investments Available for Sale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3,234,613</w:t>
            </w:r>
          </w:p>
        </w:tc>
        <w:tc>
          <w:tcPr>
            <w:tcW w:w="120" w:type="dxa"/>
            <w:vAlign w:val="bottom"/>
          </w:tcPr>
          <w:p>
            <w:pPr>
              <w:spacing w:after="0"/>
              <w:rPr>
                <w:sz w:val="22"/>
                <w:szCs w:val="22"/>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2,760,066</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2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2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14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387"/>
        </w:trPr>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4"/>
            <w:vMerge w:val="continue"/>
          </w:tcPr>
          <w:p>
            <w:pPr>
              <w:spacing w:after="0"/>
              <w:rPr>
                <w:sz w:val="24"/>
                <w:szCs w:val="24"/>
                <w:color w:val="auto"/>
              </w:rPr>
            </w:pPr>
          </w:p>
        </w:tc>
        <w:tc>
          <w:tcPr>
            <w:tcW w:w="1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20" w:type="dxa"/>
            <w:vAlign w:val="bottom"/>
          </w:tcPr>
          <w:p>
            <w:pPr>
              <w:spacing w:after="0"/>
              <w:rPr>
                <w:sz w:val="24"/>
                <w:szCs w:val="24"/>
                <w:color w:val="auto"/>
              </w:rPr>
            </w:pPr>
          </w:p>
        </w:tc>
        <w:tc>
          <w:tcPr>
            <w:tcW w:w="4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(1) The following table summarizes municipal debt securities as of :</w:t>
            </w: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center"/>
              <w:ind w:left="100"/>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Special revenue bonds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74.5%</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360" w:type="dxa"/>
            <w:vAlign w:val="bottom"/>
            <w:gridSpan w:val="3"/>
          </w:tcPr>
          <w:p>
            <w:pPr>
              <w:ind w:left="20"/>
              <w:spacing w:after="0"/>
              <w:rPr>
                <w:sz w:val="20"/>
                <w:szCs w:val="20"/>
                <w:color w:val="auto"/>
              </w:rPr>
            </w:pPr>
            <w:r>
              <w:rPr>
                <w:rFonts w:ascii="Arial" w:cs="Arial" w:eastAsia="Arial" w:hAnsi="Arial"/>
                <w:sz w:val="18"/>
                <w:szCs w:val="18"/>
                <w:color w:val="auto"/>
              </w:rPr>
              <w:t>General obligation bonds</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26.0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36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Certificate of participation bonds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360" w:type="dxa"/>
            <w:vAlign w:val="bottom"/>
            <w:gridSpan w:val="3"/>
          </w:tcPr>
          <w:p>
            <w:pPr>
              <w:ind w:left="20"/>
              <w:spacing w:after="0"/>
              <w:rPr>
                <w:sz w:val="20"/>
                <w:szCs w:val="20"/>
                <w:color w:val="auto"/>
              </w:rPr>
            </w:pPr>
            <w:r>
              <w:rPr>
                <w:rFonts w:ascii="Arial" w:cs="Arial" w:eastAsia="Arial" w:hAnsi="Arial"/>
                <w:sz w:val="18"/>
                <w:szCs w:val="18"/>
                <w:color w:val="auto"/>
              </w:rPr>
              <w:t>Tax allocation bonds</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36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Pr>
          <w:p>
            <w:pPr>
              <w:spacing w:after="0"/>
              <w:rPr>
                <w:sz w:val="23"/>
                <w:szCs w:val="23"/>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Special tax bonds</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4360" w:type="dxa"/>
            <w:vAlign w:val="bottom"/>
            <w:gridSpan w:val="3"/>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1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76"/>
        </w:trPr>
        <w:tc>
          <w:tcPr>
            <w:tcW w:w="220" w:type="dxa"/>
            <w:vAlign w:val="bottom"/>
          </w:tcPr>
          <w:p>
            <w:pPr>
              <w:spacing w:after="0"/>
              <w:rPr>
                <w:sz w:val="24"/>
                <w:szCs w:val="24"/>
                <w:color w:val="auto"/>
              </w:rPr>
            </w:pPr>
          </w:p>
        </w:tc>
        <w:tc>
          <w:tcPr>
            <w:tcW w:w="4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(2) The following table summarizes corporate debt securities as of :</w:t>
            </w: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center"/>
              <w:ind w:left="100"/>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Financial</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360" w:type="dxa"/>
            <w:vAlign w:val="bottom"/>
            <w:gridSpan w:val="3"/>
          </w:tcPr>
          <w:p>
            <w:pPr>
              <w:ind w:left="20"/>
              <w:spacing w:after="0"/>
              <w:rPr>
                <w:sz w:val="20"/>
                <w:szCs w:val="20"/>
                <w:color w:val="auto"/>
              </w:rPr>
            </w:pPr>
            <w:r>
              <w:rPr>
                <w:rFonts w:ascii="Arial" w:cs="Arial" w:eastAsia="Arial" w:hAnsi="Arial"/>
                <w:sz w:val="18"/>
                <w:szCs w:val="18"/>
                <w:color w:val="auto"/>
              </w:rPr>
              <w:t>Consumer, non-cyclical</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20.7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36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Communications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360" w:type="dxa"/>
            <w:vAlign w:val="bottom"/>
            <w:gridSpan w:val="3"/>
          </w:tcPr>
          <w:p>
            <w:pPr>
              <w:ind w:left="20"/>
              <w:spacing w:after="0"/>
              <w:rPr>
                <w:sz w:val="20"/>
                <w:szCs w:val="20"/>
                <w:color w:val="auto"/>
              </w:rPr>
            </w:pPr>
            <w:r>
              <w:rPr>
                <w:rFonts w:ascii="Arial" w:cs="Arial" w:eastAsia="Arial" w:hAnsi="Arial"/>
                <w:sz w:val="18"/>
                <w:szCs w:val="18"/>
                <w:color w:val="auto"/>
              </w:rPr>
              <w:t>Energy</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36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Consumer, cyclical</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360" w:type="dxa"/>
            <w:vAlign w:val="bottom"/>
            <w:gridSpan w:val="3"/>
          </w:tcPr>
          <w:p>
            <w:pPr>
              <w:ind w:left="20"/>
              <w:spacing w:after="0"/>
              <w:rPr>
                <w:sz w:val="20"/>
                <w:szCs w:val="20"/>
                <w:color w:val="auto"/>
              </w:rPr>
            </w:pPr>
            <w:r>
              <w:rPr>
                <w:rFonts w:ascii="Arial" w:cs="Arial" w:eastAsia="Arial" w:hAnsi="Arial"/>
                <w:sz w:val="18"/>
                <w:szCs w:val="18"/>
                <w:color w:val="auto"/>
              </w:rPr>
              <w:t>Utilities</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36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360" w:type="dxa"/>
            <w:vAlign w:val="bottom"/>
            <w:gridSpan w:val="3"/>
          </w:tcPr>
          <w:p>
            <w:pPr>
              <w:ind w:left="20"/>
              <w:spacing w:after="0"/>
              <w:rPr>
                <w:sz w:val="20"/>
                <w:szCs w:val="20"/>
                <w:color w:val="auto"/>
              </w:rPr>
            </w:pPr>
            <w:r>
              <w:rPr>
                <w:rFonts w:ascii="Arial" w:cs="Arial" w:eastAsia="Arial" w:hAnsi="Arial"/>
                <w:sz w:val="18"/>
                <w:szCs w:val="18"/>
                <w:color w:val="auto"/>
              </w:rPr>
              <w:t>Technology</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36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Pr>
          <w:p>
            <w:pPr>
              <w:spacing w:after="0"/>
              <w:rPr>
                <w:sz w:val="23"/>
                <w:szCs w:val="23"/>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Basic materials</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4360" w:type="dxa"/>
            <w:vAlign w:val="bottom"/>
            <w:gridSpan w:val="3"/>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vMerge w:val="restart"/>
          </w:tcPr>
          <w:p>
            <w:pPr>
              <w:jc w:val="right"/>
              <w:ind w:right="273"/>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Investments Available for Sale by Rating</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40" w:type="dxa"/>
            <w:vAlign w:val="bottom"/>
            <w:gridSpan w:val="2"/>
          </w:tcPr>
          <w:p>
            <w:pPr>
              <w:ind w:left="40"/>
              <w:spacing w:after="0"/>
              <w:rPr>
                <w:sz w:val="20"/>
                <w:szCs w:val="20"/>
                <w:color w:val="auto"/>
              </w:rPr>
            </w:pPr>
            <w:r>
              <w:rPr>
                <w:rFonts w:ascii="Arial" w:cs="Arial" w:eastAsia="Arial" w:hAnsi="Arial"/>
                <w:sz w:val="14"/>
                <w:szCs w:val="14"/>
                <w:b w:val="1"/>
                <w:bCs w:val="1"/>
                <w:color w:val="auto"/>
              </w:rPr>
              <w:t>Rating(1)</w:t>
            </w:r>
          </w:p>
        </w:tc>
        <w:tc>
          <w:tcPr>
            <w:tcW w:w="3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w w:val="91"/>
              </w:rPr>
              <w:t>September 30, 2019</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93"/>
              </w:rPr>
              <w:t>December 31, 2018</w:t>
            </w:r>
          </w:p>
        </w:tc>
        <w:tc>
          <w:tcPr>
            <w:tcW w:w="1160" w:type="dxa"/>
            <w:vAlign w:val="bottom"/>
            <w:tcBorders>
              <w:bottom w:val="single" w:sz="8" w:color="auto"/>
            </w:tcBorders>
          </w:tcPr>
          <w:p>
            <w:pPr>
              <w:spacing w:after="0"/>
              <w:rPr>
                <w:sz w:val="16"/>
                <w:szCs w:val="16"/>
                <w:color w:val="auto"/>
              </w:rPr>
            </w:pPr>
          </w:p>
        </w:tc>
      </w:tr>
      <w:tr>
        <w:trPr>
          <w:trHeight w:val="264"/>
        </w:trPr>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w w:val="93"/>
              </w:rPr>
              <w:t>Percent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w w:val="93"/>
              </w:rPr>
              <w:t>Percent</w:t>
            </w: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Aaa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1,749,369</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1,362,781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Aa1</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105,705</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124,435</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4.5</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Aa2</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147,510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196,218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7.1</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Aa3</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168,089</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143,315</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5.2</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A1</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203,054</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222,073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8.0</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A2</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192,752</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199,238</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7.2</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A3</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170,128</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146,300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5.3</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Baa1</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195,789</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162,695</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5.9</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Baa2</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168,371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140,168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5.1</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Baa3</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72,529</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26,805</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1.0</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Below Baa3</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61,317</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36,038</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1.3</w:t>
            </w:r>
          </w:p>
        </w:tc>
      </w:tr>
      <w:tr>
        <w:trPr>
          <w:trHeight w:val="257"/>
        </w:trPr>
        <w:tc>
          <w:tcPr>
            <w:tcW w:w="414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Investments Available for Sale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3,234,613</w:t>
            </w:r>
          </w:p>
        </w:tc>
        <w:tc>
          <w:tcPr>
            <w:tcW w:w="120" w:type="dxa"/>
            <w:vAlign w:val="bottom"/>
          </w:tcPr>
          <w:p>
            <w:pPr>
              <w:spacing w:after="0"/>
              <w:rPr>
                <w:sz w:val="22"/>
                <w:szCs w:val="22"/>
                <w:color w:val="auto"/>
              </w:rPr>
            </w:pPr>
          </w:p>
        </w:tc>
        <w:tc>
          <w:tcPr>
            <w:tcW w:w="6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2,760,066</w:t>
            </w:r>
          </w:p>
        </w:tc>
        <w:tc>
          <w:tcPr>
            <w:tcW w:w="100" w:type="dxa"/>
            <w:vAlign w:val="bottom"/>
          </w:tcPr>
          <w:p>
            <w:pPr>
              <w:spacing w:after="0"/>
              <w:rPr>
                <w:sz w:val="22"/>
                <w:szCs w:val="22"/>
                <w:color w:val="auto"/>
              </w:rPr>
            </w:pPr>
          </w:p>
        </w:tc>
        <w:tc>
          <w:tcPr>
            <w:tcW w:w="6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r>
      <w:tr>
        <w:trPr>
          <w:trHeight w:val="20"/>
        </w:trPr>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or Fitch Ratings ("Fitch") rating utilized if Moody’s not available.</w:t>
      </w:r>
    </w:p>
    <w:p>
      <w:pPr>
        <w:spacing w:after="0" w:line="221" w:lineRule="exact"/>
        <w:rPr>
          <w:rFonts w:ascii="Arial" w:cs="Arial" w:eastAsia="Arial" w:hAnsi="Arial"/>
          <w:sz w:val="18"/>
          <w:szCs w:val="18"/>
          <w:color w:val="auto"/>
        </w:rPr>
      </w:pPr>
    </w:p>
    <w:p>
      <w:pPr>
        <w:ind w:left="3700"/>
        <w:spacing w:after="0"/>
        <w:rPr>
          <w:rFonts w:ascii="Arial" w:cs="Arial" w:eastAsia="Arial" w:hAnsi="Arial"/>
          <w:sz w:val="18"/>
          <w:szCs w:val="18"/>
          <w:color w:val="auto"/>
        </w:rPr>
      </w:pPr>
      <w:r>
        <w:rPr>
          <w:rFonts w:ascii="Arial" w:cs="Arial" w:eastAsia="Arial" w:hAnsi="Arial"/>
          <w:sz w:val="18"/>
          <w:szCs w:val="18"/>
          <w:b w:val="1"/>
          <w:bCs w:val="1"/>
          <w:color w:val="auto"/>
        </w:rPr>
        <w:t>Investments Available for Sale by Effective Duration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14147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40" w:type="dxa"/>
            <w:vAlign w:val="bottom"/>
            <w:gridSpan w:val="2"/>
          </w:tcPr>
          <w:p>
            <w:pPr>
              <w:ind w:left="40"/>
              <w:spacing w:after="0"/>
              <w:rPr>
                <w:sz w:val="20"/>
                <w:szCs w:val="20"/>
                <w:color w:val="auto"/>
              </w:rPr>
            </w:pPr>
            <w:r>
              <w:rPr>
                <w:rFonts w:ascii="Arial" w:cs="Arial" w:eastAsia="Arial" w:hAnsi="Arial"/>
                <w:sz w:val="14"/>
                <w:szCs w:val="14"/>
                <w:b w:val="1"/>
                <w:bCs w:val="1"/>
                <w:color w:val="auto"/>
              </w:rPr>
              <w:t>Effective Duration</w:t>
            </w:r>
          </w:p>
        </w:tc>
        <w:tc>
          <w:tcPr>
            <w:tcW w:w="3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w w:val="91"/>
              </w:rPr>
              <w:t>September 30, 2019</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93"/>
              </w:rPr>
              <w:t>December 31, 2018</w:t>
            </w:r>
          </w:p>
        </w:tc>
        <w:tc>
          <w:tcPr>
            <w:tcW w:w="1160" w:type="dxa"/>
            <w:vAlign w:val="bottom"/>
            <w:tcBorders>
              <w:bottom w:val="single" w:sz="8" w:color="auto"/>
            </w:tcBorders>
          </w:tcPr>
          <w:p>
            <w:pPr>
              <w:spacing w:after="0"/>
              <w:rPr>
                <w:sz w:val="16"/>
                <w:szCs w:val="16"/>
                <w:color w:val="auto"/>
              </w:rPr>
            </w:pPr>
          </w:p>
        </w:tc>
      </w:tr>
      <w:tr>
        <w:trPr>
          <w:trHeight w:val="264"/>
        </w:trPr>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w w:val="93"/>
              </w:rPr>
              <w:t>Percent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w w:val="93"/>
              </w:rPr>
              <w:t>Percent</w:t>
            </w: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&lt; 1 Year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862,760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529,545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1 to &lt; 2 Years</w:t>
            </w:r>
          </w:p>
        </w:tc>
        <w:tc>
          <w:tcPr>
            <w:tcW w:w="3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367,167</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285,060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10.3</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 to &lt; 3 Years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276,459</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251,763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9.1</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3 to &lt; 4 Years</w:t>
            </w:r>
          </w:p>
        </w:tc>
        <w:tc>
          <w:tcPr>
            <w:tcW w:w="3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385,312</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278,804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10.1</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4 to &lt; 5 Years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370,529</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429,005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15.6</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5 or more Years</w:t>
            </w:r>
          </w:p>
        </w:tc>
        <w:tc>
          <w:tcPr>
            <w:tcW w:w="3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972,386</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985,889</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35.7</w:t>
            </w:r>
          </w:p>
        </w:tc>
      </w:tr>
      <w:tr>
        <w:trPr>
          <w:trHeight w:val="27"/>
        </w:trPr>
        <w:tc>
          <w:tcPr>
            <w:tcW w:w="4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Investments Available for Sale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3,234,613</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2,760,066</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r>
      <w:tr>
        <w:trPr>
          <w:trHeight w:val="20"/>
        </w:trPr>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662"/>
        </w:trPr>
        <w:tc>
          <w:tcPr>
            <w:tcW w:w="4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Top Ten Investments Available for Sale Holdings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271"/>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2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Rank</w:t>
            </w:r>
          </w:p>
        </w:tc>
        <w:tc>
          <w:tcPr>
            <w:tcW w:w="3240" w:type="dxa"/>
            <w:vAlign w:val="bottom"/>
            <w:vMerge w:val="restart"/>
          </w:tcPr>
          <w:p>
            <w:pPr>
              <w:ind w:left="1800"/>
              <w:spacing w:after="0"/>
              <w:rPr>
                <w:sz w:val="20"/>
                <w:szCs w:val="20"/>
                <w:color w:val="auto"/>
              </w:rPr>
            </w:pPr>
            <w:r>
              <w:rPr>
                <w:rFonts w:ascii="Arial" w:cs="Arial" w:eastAsia="Arial" w:hAnsi="Arial"/>
                <w:sz w:val="14"/>
                <w:szCs w:val="14"/>
                <w:b w:val="1"/>
                <w:bCs w:val="1"/>
                <w:color w:val="auto"/>
              </w:rPr>
              <w:t>Security</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Amortized</w:t>
            </w:r>
          </w:p>
        </w:tc>
        <w:tc>
          <w:tcPr>
            <w:tcW w:w="180" w:type="dxa"/>
            <w:vAlign w:val="bottom"/>
          </w:tcPr>
          <w:p>
            <w:pPr>
              <w:spacing w:after="0"/>
              <w:rPr>
                <w:sz w:val="13"/>
                <w:szCs w:val="13"/>
                <w:color w:val="auto"/>
              </w:rPr>
            </w:pPr>
          </w:p>
        </w:tc>
        <w:tc>
          <w:tcPr>
            <w:tcW w:w="1180" w:type="dxa"/>
            <w:vAlign w:val="bottom"/>
          </w:tcPr>
          <w:p>
            <w:pPr>
              <w:jc w:val="right"/>
              <w:ind w:right="253"/>
              <w:spacing w:after="0" w:line="153"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9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8"/>
              </w:rPr>
              <w:t>Credit</w:t>
            </w:r>
          </w:p>
        </w:tc>
        <w:tc>
          <w:tcPr>
            <w:tcW w:w="0" w:type="dxa"/>
            <w:vAlign w:val="bottom"/>
          </w:tcPr>
          <w:p>
            <w:pPr>
              <w:spacing w:after="0"/>
              <w:rPr>
                <w:sz w:val="1"/>
                <w:szCs w:val="1"/>
                <w:color w:val="auto"/>
              </w:rPr>
            </w:pPr>
          </w:p>
        </w:tc>
      </w:tr>
      <w:tr>
        <w:trPr>
          <w:trHeight w:val="192"/>
        </w:trPr>
        <w:tc>
          <w:tcPr>
            <w:tcW w:w="2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16"/>
                <w:szCs w:val="16"/>
                <w:color w:val="auto"/>
              </w:rPr>
            </w:pPr>
          </w:p>
        </w:tc>
        <w:tc>
          <w:tcPr>
            <w:tcW w:w="324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7"/>
              </w:rPr>
              <w:t>Gain (Loss)(1)</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Rating(2)</w:t>
            </w:r>
          </w:p>
        </w:tc>
        <w:tc>
          <w:tcPr>
            <w:tcW w:w="0" w:type="dxa"/>
            <w:vAlign w:val="bottom"/>
          </w:tcPr>
          <w:p>
            <w:pPr>
              <w:spacing w:after="0"/>
              <w:rPr>
                <w:sz w:val="1"/>
                <w:szCs w:val="1"/>
                <w:color w:val="auto"/>
              </w:rPr>
            </w:pPr>
          </w:p>
        </w:tc>
      </w:tr>
      <w:tr>
        <w:trPr>
          <w:trHeight w:val="250"/>
        </w:trPr>
        <w:tc>
          <w:tcPr>
            <w:tcW w:w="2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2.625% 7/15/2021</w:t>
            </w:r>
          </w:p>
        </w:tc>
        <w:tc>
          <w:tcPr>
            <w:tcW w:w="12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36,788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36,152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140" w:type="dxa"/>
            <w:vAlign w:val="bottom"/>
          </w:tcPr>
          <w:p>
            <w:pPr>
              <w:ind w:left="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240" w:type="dxa"/>
            <w:vAlign w:val="bottom"/>
          </w:tcPr>
          <w:p>
            <w:pPr>
              <w:ind w:left="40"/>
              <w:spacing w:after="0"/>
              <w:rPr>
                <w:sz w:val="20"/>
                <w:szCs w:val="20"/>
                <w:color w:val="auto"/>
              </w:rPr>
            </w:pPr>
            <w:r>
              <w:rPr>
                <w:rFonts w:ascii="Arial" w:cs="Arial" w:eastAsia="Arial" w:hAnsi="Arial"/>
                <w:sz w:val="18"/>
                <w:szCs w:val="18"/>
                <w:color w:val="auto"/>
              </w:rPr>
              <w:t>Fannie Mae 3.500% 1/1/2058</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31,777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31,332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5.250% 11/15/2028</w:t>
            </w: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30,153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29,005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140" w:type="dxa"/>
            <w:vAlign w:val="bottom"/>
          </w:tcPr>
          <w:p>
            <w:pPr>
              <w:ind w:left="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240" w:type="dxa"/>
            <w:vAlign w:val="bottom"/>
          </w:tcPr>
          <w:p>
            <w:pPr>
              <w:ind w:left="40"/>
              <w:spacing w:after="0"/>
              <w:rPr>
                <w:sz w:val="20"/>
                <w:szCs w:val="20"/>
                <w:color w:val="auto"/>
              </w:rPr>
            </w:pPr>
            <w:r>
              <w:rPr>
                <w:rFonts w:ascii="Arial" w:cs="Arial" w:eastAsia="Arial" w:hAnsi="Arial"/>
                <w:sz w:val="18"/>
                <w:szCs w:val="18"/>
                <w:color w:val="auto"/>
              </w:rPr>
              <w:t>U.S. Treasury 2.625% 6/30/2023</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27,510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26,370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1,140</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Fannie Mae 4.500% 5/1/2048</w:t>
            </w: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17,696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17,045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140" w:type="dxa"/>
            <w:vAlign w:val="bottom"/>
          </w:tcPr>
          <w:p>
            <w:pPr>
              <w:ind w:left="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240" w:type="dxa"/>
            <w:vAlign w:val="bottom"/>
          </w:tcPr>
          <w:p>
            <w:pPr>
              <w:ind w:left="40"/>
              <w:spacing w:after="0"/>
              <w:rPr>
                <w:sz w:val="20"/>
                <w:szCs w:val="20"/>
                <w:color w:val="auto"/>
              </w:rPr>
            </w:pPr>
            <w:r>
              <w:rPr>
                <w:rFonts w:ascii="Arial" w:cs="Arial" w:eastAsia="Arial" w:hAnsi="Arial"/>
                <w:sz w:val="18"/>
                <w:szCs w:val="18"/>
                <w:color w:val="auto"/>
              </w:rPr>
              <w:t>U.S. Treasury 1.500% 8/15/2026</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17,361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17,443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Freddie Mac 4.500% 4/1/2049</w:t>
            </w: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17,156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17,139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140" w:type="dxa"/>
            <w:vAlign w:val="bottom"/>
          </w:tcPr>
          <w:p>
            <w:pPr>
              <w:ind w:left="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240" w:type="dxa"/>
            <w:vAlign w:val="bottom"/>
          </w:tcPr>
          <w:p>
            <w:pPr>
              <w:ind w:left="40"/>
              <w:spacing w:after="0"/>
              <w:rPr>
                <w:sz w:val="20"/>
                <w:szCs w:val="20"/>
                <w:color w:val="auto"/>
              </w:rPr>
            </w:pPr>
            <w:r>
              <w:rPr>
                <w:rFonts w:ascii="Arial" w:cs="Arial" w:eastAsia="Arial" w:hAnsi="Arial"/>
                <w:sz w:val="18"/>
                <w:szCs w:val="18"/>
                <w:color w:val="auto"/>
              </w:rPr>
              <w:t>Freddie Mac 4.000% 5/15/2050</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15,634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15,406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Fannie Mae 4.000% 5/1/2056</w:t>
            </w: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13,639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12,825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140" w:type="dxa"/>
            <w:vAlign w:val="bottom"/>
          </w:tcPr>
          <w:p>
            <w:pPr>
              <w:ind w:left="4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240" w:type="dxa"/>
            <w:vAlign w:val="bottom"/>
          </w:tcPr>
          <w:p>
            <w:pPr>
              <w:ind w:left="40"/>
              <w:spacing w:after="0"/>
              <w:rPr>
                <w:sz w:val="20"/>
                <w:szCs w:val="20"/>
                <w:color w:val="auto"/>
              </w:rPr>
            </w:pPr>
            <w:r>
              <w:rPr>
                <w:rFonts w:ascii="Arial" w:cs="Arial" w:eastAsia="Arial" w:hAnsi="Arial"/>
                <w:sz w:val="18"/>
                <w:szCs w:val="18"/>
                <w:color w:val="auto"/>
              </w:rPr>
              <w:t>Fannie Mae 4.500% 11/1/2048</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11,904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11,134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40" w:type="dxa"/>
            <w:vAlign w:val="bottom"/>
            <w:shd w:val="clear" w:color="auto" w:fill="CCEEFF"/>
          </w:tcPr>
          <w:p>
            <w:pPr>
              <w:spacing w:after="0"/>
              <w:rPr>
                <w:sz w:val="22"/>
                <w:szCs w:val="22"/>
                <w:color w:val="auto"/>
              </w:rPr>
            </w:pP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219,618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213,851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5,767</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gridSpan w:val="2"/>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480" w:type="dxa"/>
            <w:vAlign w:val="bottom"/>
            <w:gridSpan w:val="3"/>
          </w:tcPr>
          <w:p>
            <w:pPr>
              <w:ind w:left="40"/>
              <w:spacing w:after="0"/>
              <w:rPr>
                <w:sz w:val="20"/>
                <w:szCs w:val="20"/>
                <w:color w:val="auto"/>
              </w:rPr>
            </w:pPr>
            <w:r>
              <w:rPr>
                <w:rFonts w:ascii="Arial" w:cs="Arial" w:eastAsia="Arial" w:hAnsi="Arial"/>
                <w:sz w:val="18"/>
                <w:szCs w:val="18"/>
                <w:b w:val="1"/>
                <w:bCs w:val="1"/>
                <w:color w:val="auto"/>
              </w:rPr>
              <w:t>Percent of Investments Available for Sale</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right="20" w:hanging="328"/>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of September 30, 2019, for securities in unrealized loss positions, management believes decline in fair values are principally associated with the changes in the interest rate environment subsequent to their purchase. Also, see Note 3 to our condensed consolidated financial statements, which summarizes the aggregate amount of gross unrealized losses by asset class in which the fair value of investments available for sale has been less than cost for less than 12 months and for 12 months or more.</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or Fitch rating utilized if Moody’s not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-816610</wp:posOffset>
            </wp:positionV>
            <wp:extent cx="14147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gridSpan w:val="2"/>
          </w:tcPr>
          <w:p>
            <w:pPr>
              <w:ind w:left="40"/>
              <w:spacing w:after="0"/>
              <w:rPr>
                <w:sz w:val="20"/>
                <w:szCs w:val="20"/>
                <w:color w:val="auto"/>
              </w:rPr>
            </w:pPr>
            <w:r>
              <w:rPr>
                <w:rFonts w:ascii="Arial" w:cs="Arial" w:eastAsia="Arial" w:hAnsi="Arial"/>
                <w:sz w:val="14"/>
                <w:szCs w:val="14"/>
                <w:b w:val="1"/>
                <w:bCs w:val="1"/>
                <w:color w:val="auto"/>
              </w:rPr>
              <w:t>Rank</w:t>
            </w:r>
          </w:p>
        </w:tc>
        <w:tc>
          <w:tcPr>
            <w:tcW w:w="15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160" w:type="dxa"/>
            <w:vAlign w:val="bottom"/>
            <w:tcBorders>
              <w:bottom w:val="single" w:sz="8" w:color="auto"/>
            </w:tcBorders>
            <w:gridSpan w:val="3"/>
          </w:tcPr>
          <w:p>
            <w:pPr>
              <w:jc w:val="right"/>
              <w:ind w:right="2300"/>
              <w:spacing w:after="0"/>
              <w:rPr>
                <w:sz w:val="20"/>
                <w:szCs w:val="20"/>
                <w:color w:val="auto"/>
              </w:rPr>
            </w:pPr>
            <w:r>
              <w:rPr>
                <w:rFonts w:ascii="Arial" w:cs="Arial" w:eastAsia="Arial" w:hAnsi="Arial"/>
                <w:sz w:val="14"/>
                <w:szCs w:val="14"/>
                <w:b w:val="1"/>
                <w:bCs w:val="1"/>
                <w:color w:val="auto"/>
              </w:rPr>
              <w:t>December 31, 2018</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3780" w:type="dxa"/>
            <w:vAlign w:val="bottom"/>
            <w:tcBorders>
              <w:bottom w:val="single" w:sz="8" w:color="auto"/>
            </w:tcBorders>
          </w:tcPr>
          <w:p>
            <w:pPr>
              <w:jc w:val="right"/>
              <w:ind w:right="2939"/>
              <w:spacing w:after="0"/>
              <w:rPr>
                <w:sz w:val="20"/>
                <w:szCs w:val="20"/>
                <w:color w:val="auto"/>
              </w:rPr>
            </w:pPr>
            <w:r>
              <w:rPr>
                <w:rFonts w:ascii="Arial" w:cs="Arial" w:eastAsia="Arial" w:hAnsi="Arial"/>
                <w:sz w:val="14"/>
                <w:szCs w:val="14"/>
                <w:b w:val="1"/>
                <w:bCs w:val="1"/>
                <w:color w:val="auto"/>
              </w:rPr>
              <w:t>Security</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U.S. Treasury 2.625% 7/15/2021</w:t>
            </w:r>
          </w:p>
        </w:tc>
        <w:tc>
          <w:tcPr>
            <w:tcW w:w="41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36,323</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40" w:type="dxa"/>
            <w:vAlign w:val="bottom"/>
            <w:gridSpan w:val="2"/>
          </w:tcPr>
          <w:p>
            <w:pPr>
              <w:ind w:left="20"/>
              <w:spacing w:after="0"/>
              <w:rPr>
                <w:sz w:val="20"/>
                <w:szCs w:val="20"/>
                <w:color w:val="auto"/>
              </w:rPr>
            </w:pPr>
            <w:r>
              <w:rPr>
                <w:rFonts w:ascii="Arial" w:cs="Arial" w:eastAsia="Arial" w:hAnsi="Arial"/>
                <w:sz w:val="18"/>
                <w:szCs w:val="18"/>
                <w:color w:val="auto"/>
                <w:w w:val="90"/>
              </w:rPr>
              <w:t>U.S. Treasury 5.250%</w:t>
            </w:r>
          </w:p>
        </w:tc>
        <w:tc>
          <w:tcPr>
            <w:tcW w:w="1140" w:type="dxa"/>
            <w:vAlign w:val="bottom"/>
          </w:tcPr>
          <w:p>
            <w:pPr>
              <w:ind w:left="20"/>
              <w:spacing w:after="0"/>
              <w:rPr>
                <w:sz w:val="20"/>
                <w:szCs w:val="20"/>
                <w:color w:val="auto"/>
              </w:rPr>
            </w:pPr>
            <w:r>
              <w:rPr>
                <w:rFonts w:ascii="Arial" w:cs="Arial" w:eastAsia="Arial" w:hAnsi="Arial"/>
                <w:sz w:val="18"/>
                <w:szCs w:val="18"/>
                <w:color w:val="auto"/>
              </w:rPr>
              <w:t>11/15/2028</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28,213</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0"/>
              </w:rPr>
              <w:t>U.S. Treasury 2.625%</w:t>
            </w:r>
          </w:p>
        </w:tc>
        <w:tc>
          <w:tcPr>
            <w:tcW w:w="1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6/30/2023</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26,637</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780" w:type="dxa"/>
            <w:vAlign w:val="bottom"/>
            <w:gridSpan w:val="3"/>
          </w:tcPr>
          <w:p>
            <w:pPr>
              <w:ind w:left="20"/>
              <w:spacing w:after="0"/>
              <w:rPr>
                <w:sz w:val="20"/>
                <w:szCs w:val="20"/>
                <w:color w:val="auto"/>
              </w:rPr>
            </w:pPr>
            <w:r>
              <w:rPr>
                <w:rFonts w:ascii="Arial" w:cs="Arial" w:eastAsia="Arial" w:hAnsi="Arial"/>
                <w:sz w:val="18"/>
                <w:szCs w:val="18"/>
                <w:color w:val="auto"/>
              </w:rPr>
              <w:t>Fannie Mae 4.500% 5/1/2048</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19,419</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0"/>
              </w:rPr>
              <w:t>U.S. Treasury 1.500%</w:t>
            </w:r>
          </w:p>
        </w:tc>
        <w:tc>
          <w:tcPr>
            <w:tcW w:w="1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8/15/2026</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18,924</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500" w:type="dxa"/>
            <w:vAlign w:val="bottom"/>
          </w:tcPr>
          <w:p>
            <w:pPr>
              <w:ind w:left="20"/>
              <w:spacing w:after="0"/>
              <w:rPr>
                <w:sz w:val="20"/>
                <w:szCs w:val="20"/>
                <w:color w:val="auto"/>
              </w:rPr>
            </w:pPr>
            <w:r>
              <w:rPr>
                <w:rFonts w:ascii="Arial" w:cs="Arial" w:eastAsia="Arial" w:hAnsi="Arial"/>
                <w:sz w:val="18"/>
                <w:szCs w:val="18"/>
                <w:color w:val="auto"/>
                <w:w w:val="90"/>
              </w:rPr>
              <w:t>Fannie Mae 4.000%</w:t>
            </w:r>
          </w:p>
        </w:tc>
        <w:tc>
          <w:tcPr>
            <w:tcW w:w="1280" w:type="dxa"/>
            <w:vAlign w:val="bottom"/>
            <w:gridSpan w:val="2"/>
          </w:tcPr>
          <w:p>
            <w:pPr>
              <w:ind w:left="20"/>
              <w:spacing w:after="0"/>
              <w:rPr>
                <w:sz w:val="20"/>
                <w:szCs w:val="20"/>
                <w:color w:val="auto"/>
              </w:rPr>
            </w:pPr>
            <w:r>
              <w:rPr>
                <w:rFonts w:ascii="Arial" w:cs="Arial" w:eastAsia="Arial" w:hAnsi="Arial"/>
                <w:sz w:val="18"/>
                <w:szCs w:val="18"/>
                <w:color w:val="auto"/>
              </w:rPr>
              <w:t>5/1/2056</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14,287</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Fannie Mae 3.000%</w:t>
            </w:r>
          </w:p>
        </w:tc>
        <w:tc>
          <w:tcPr>
            <w:tcW w:w="1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12/1/2032</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12,797</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500" w:type="dxa"/>
            <w:vAlign w:val="bottom"/>
          </w:tcPr>
          <w:p>
            <w:pPr>
              <w:ind w:left="20"/>
              <w:spacing w:after="0"/>
              <w:rPr>
                <w:sz w:val="20"/>
                <w:szCs w:val="20"/>
                <w:color w:val="auto"/>
              </w:rPr>
            </w:pPr>
            <w:r>
              <w:rPr>
                <w:rFonts w:ascii="Arial" w:cs="Arial" w:eastAsia="Arial" w:hAnsi="Arial"/>
                <w:sz w:val="18"/>
                <w:szCs w:val="18"/>
                <w:color w:val="auto"/>
                <w:w w:val="90"/>
              </w:rPr>
              <w:t>Fannie Mae 4.500%</w:t>
            </w:r>
          </w:p>
        </w:tc>
        <w:tc>
          <w:tcPr>
            <w:tcW w:w="1280" w:type="dxa"/>
            <w:vAlign w:val="bottom"/>
            <w:gridSpan w:val="2"/>
          </w:tcPr>
          <w:p>
            <w:pPr>
              <w:ind w:left="20"/>
              <w:spacing w:after="0"/>
              <w:rPr>
                <w:sz w:val="20"/>
                <w:szCs w:val="20"/>
                <w:color w:val="auto"/>
              </w:rPr>
            </w:pPr>
            <w:r>
              <w:rPr>
                <w:rFonts w:ascii="Arial" w:cs="Arial" w:eastAsia="Arial" w:hAnsi="Arial"/>
                <w:sz w:val="18"/>
                <w:szCs w:val="18"/>
                <w:color w:val="auto"/>
              </w:rPr>
              <w:t>11/1/2048</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12,130</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0"/>
              </w:rPr>
              <w:t>U.S. Treasury 2.000%</w:t>
            </w:r>
          </w:p>
        </w:tc>
        <w:tc>
          <w:tcPr>
            <w:tcW w:w="1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1/15/2021</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11,382</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500" w:type="dxa"/>
            <w:vAlign w:val="bottom"/>
          </w:tcPr>
          <w:p>
            <w:pPr>
              <w:ind w:left="20"/>
              <w:spacing w:after="0"/>
              <w:rPr>
                <w:sz w:val="20"/>
                <w:szCs w:val="20"/>
                <w:color w:val="auto"/>
              </w:rPr>
            </w:pPr>
            <w:r>
              <w:rPr>
                <w:rFonts w:ascii="Arial" w:cs="Arial" w:eastAsia="Arial" w:hAnsi="Arial"/>
                <w:sz w:val="18"/>
                <w:szCs w:val="18"/>
                <w:color w:val="auto"/>
                <w:w w:val="90"/>
              </w:rPr>
              <w:t>Fannie Mae 1.500%</w:t>
            </w:r>
          </w:p>
        </w:tc>
        <w:tc>
          <w:tcPr>
            <w:tcW w:w="1280" w:type="dxa"/>
            <w:vAlign w:val="bottom"/>
            <w:gridSpan w:val="2"/>
          </w:tcPr>
          <w:p>
            <w:pPr>
              <w:ind w:left="20"/>
              <w:spacing w:after="0"/>
              <w:rPr>
                <w:sz w:val="20"/>
                <w:szCs w:val="20"/>
                <w:color w:val="auto"/>
              </w:rPr>
            </w:pPr>
            <w:r>
              <w:rPr>
                <w:rFonts w:ascii="Arial" w:cs="Arial" w:eastAsia="Arial" w:hAnsi="Arial"/>
                <w:sz w:val="18"/>
                <w:szCs w:val="18"/>
                <w:color w:val="auto"/>
              </w:rPr>
              <w:t>6/22/2020</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11,133</w:t>
            </w:r>
          </w:p>
        </w:tc>
        <w:tc>
          <w:tcPr>
            <w:tcW w:w="0" w:type="dxa"/>
            <w:vAlign w:val="bottom"/>
          </w:tcPr>
          <w:p>
            <w:pPr>
              <w:spacing w:after="0"/>
              <w:rPr>
                <w:sz w:val="1"/>
                <w:szCs w:val="1"/>
                <w:color w:val="auto"/>
              </w:rPr>
            </w:pPr>
          </w:p>
        </w:tc>
      </w:tr>
      <w:tr>
        <w:trPr>
          <w:trHeight w:val="27"/>
        </w:trPr>
        <w:tc>
          <w:tcPr>
            <w:tcW w:w="3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5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4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191,245</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280" w:type="dxa"/>
            <w:vAlign w:val="bottom"/>
            <w:gridSpan w:val="2"/>
          </w:tcPr>
          <w:p>
            <w:pPr>
              <w:ind w:left="40"/>
              <w:spacing w:after="0"/>
              <w:rPr>
                <w:sz w:val="20"/>
                <w:szCs w:val="20"/>
                <w:color w:val="auto"/>
              </w:rPr>
            </w:pPr>
            <w:r>
              <w:rPr>
                <w:rFonts w:ascii="Arial" w:cs="Arial" w:eastAsia="Arial" w:hAnsi="Arial"/>
                <w:sz w:val="18"/>
                <w:szCs w:val="18"/>
                <w:b w:val="1"/>
                <w:bCs w:val="1"/>
                <w:color w:val="auto"/>
                <w:w w:val="91"/>
              </w:rPr>
              <w:t>Percent of Investments Available for Sale</w:t>
            </w:r>
          </w:p>
        </w:tc>
        <w:tc>
          <w:tcPr>
            <w:tcW w:w="1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vMerge w:val="restart"/>
          </w:tcPr>
          <w:p>
            <w:pPr>
              <w:ind w:left="700"/>
              <w:spacing w:after="0"/>
              <w:rPr>
                <w:sz w:val="20"/>
                <w:szCs w:val="20"/>
                <w:color w:val="auto"/>
              </w:rPr>
            </w:pPr>
            <w:r>
              <w:rPr>
                <w:rFonts w:ascii="Arial" w:cs="Arial" w:eastAsia="Arial" w:hAnsi="Arial"/>
                <w:sz w:val="18"/>
                <w:szCs w:val="18"/>
                <w:color w:val="auto"/>
              </w:rPr>
              <w:t>41</w:t>
            </w:r>
          </w:p>
        </w:tc>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include municipal debt securities for states that represent more than 10% of the total municipal bond position as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Fair Value</w:t>
            </w:r>
          </w:p>
        </w:tc>
        <w:tc>
          <w:tcPr>
            <w:tcW w:w="100" w:type="dxa"/>
            <w:vAlign w:val="bottom"/>
            <w:gridSpan w:val="2"/>
            <w:vMerge w:val="restart"/>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Amortized</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Credit</w:t>
            </w:r>
          </w:p>
        </w:tc>
        <w:tc>
          <w:tcPr>
            <w:tcW w:w="0" w:type="dxa"/>
            <w:vAlign w:val="bottom"/>
          </w:tcPr>
          <w:p>
            <w:pPr>
              <w:spacing w:after="0"/>
              <w:rPr>
                <w:sz w:val="1"/>
                <w:szCs w:val="1"/>
                <w:color w:val="auto"/>
              </w:rPr>
            </w:pPr>
          </w:p>
        </w:tc>
      </w:tr>
      <w:tr>
        <w:trPr>
          <w:trHeight w:val="192"/>
        </w:trPr>
        <w:tc>
          <w:tcPr>
            <w:tcW w:w="59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Rating (1), (2)</w:t>
            </w: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Texas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tcPr>
          <w:p>
            <w:pPr>
              <w:ind w:left="240"/>
              <w:spacing w:after="0"/>
              <w:rPr>
                <w:sz w:val="20"/>
                <w:szCs w:val="20"/>
                <w:color w:val="auto"/>
              </w:rPr>
            </w:pPr>
            <w:r>
              <w:rPr>
                <w:rFonts w:ascii="Arial" w:cs="Arial" w:eastAsia="Arial" w:hAnsi="Arial"/>
                <w:sz w:val="18"/>
                <w:szCs w:val="18"/>
                <w:color w:val="auto"/>
              </w:rPr>
              <w:t>State of Texas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8,371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7,999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90"/>
              </w:rPr>
              <w:t>Baa1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City of Houston</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tcPr>
          <w:p>
            <w:pPr>
              <w:ind w:left="240"/>
              <w:spacing w:after="0"/>
              <w:rPr>
                <w:sz w:val="20"/>
                <w:szCs w:val="20"/>
                <w:color w:val="auto"/>
              </w:rPr>
            </w:pPr>
            <w:r>
              <w:rPr>
                <w:rFonts w:ascii="Arial" w:cs="Arial" w:eastAsia="Arial" w:hAnsi="Arial"/>
                <w:sz w:val="18"/>
                <w:szCs w:val="18"/>
                <w:color w:val="auto"/>
              </w:rPr>
              <w:t>The Texas A&amp;M University System</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6,288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6,001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University of Houston System</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tcPr>
          <w:p>
            <w:pPr>
              <w:ind w:left="240"/>
              <w:spacing w:after="0"/>
              <w:rPr>
                <w:sz w:val="20"/>
                <w:szCs w:val="20"/>
                <w:color w:val="auto"/>
              </w:rPr>
            </w:pPr>
            <w:r>
              <w:rPr>
                <w:rFonts w:ascii="Arial" w:cs="Arial" w:eastAsia="Arial" w:hAnsi="Arial"/>
                <w:sz w:val="18"/>
                <w:szCs w:val="18"/>
                <w:color w:val="auto"/>
              </w:rPr>
              <w:t>City of Austin</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2,374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2,162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Dallas/Fort Worth International Airport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tcPr>
          <w:p>
            <w:pPr>
              <w:ind w:left="240"/>
              <w:spacing w:after="0"/>
              <w:rPr>
                <w:sz w:val="20"/>
                <w:szCs w:val="20"/>
                <w:color w:val="auto"/>
              </w:rPr>
            </w:pPr>
            <w:r>
              <w:rPr>
                <w:rFonts w:ascii="Arial" w:cs="Arial" w:eastAsia="Arial" w:hAnsi="Arial"/>
                <w:sz w:val="18"/>
                <w:szCs w:val="18"/>
                <w:color w:val="auto"/>
              </w:rPr>
              <w:t>North Texas Municipal Water District</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2,060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1,981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Harris County Cultural Education</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tcPr>
          <w:p>
            <w:pPr>
              <w:ind w:left="240"/>
              <w:spacing w:after="0"/>
              <w:rPr>
                <w:sz w:val="20"/>
                <w:szCs w:val="20"/>
                <w:color w:val="auto"/>
              </w:rPr>
            </w:pPr>
            <w:r>
              <w:rPr>
                <w:rFonts w:ascii="Arial" w:cs="Arial" w:eastAsia="Arial" w:hAnsi="Arial"/>
                <w:sz w:val="18"/>
                <w:szCs w:val="18"/>
                <w:color w:val="auto"/>
              </w:rPr>
              <w:t>City of Dallas</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1,852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1,690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Tarrant Regional Water District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tcPr>
          <w:p>
            <w:pPr>
              <w:ind w:left="240"/>
              <w:spacing w:after="0"/>
              <w:rPr>
                <w:sz w:val="20"/>
                <w:szCs w:val="20"/>
                <w:color w:val="auto"/>
              </w:rPr>
            </w:pPr>
            <w:r>
              <w:rPr>
                <w:rFonts w:ascii="Arial" w:cs="Arial" w:eastAsia="Arial" w:hAnsi="Arial"/>
                <w:sz w:val="18"/>
                <w:szCs w:val="18"/>
                <w:color w:val="auto"/>
              </w:rPr>
              <w:t>Fort Worth TX W&amp;S Revenue</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1,543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1,498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City of San Antonio</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tcPr>
          <w:p>
            <w:pPr>
              <w:ind w:left="240"/>
              <w:spacing w:after="0"/>
              <w:rPr>
                <w:sz w:val="20"/>
                <w:szCs w:val="20"/>
                <w:color w:val="auto"/>
              </w:rPr>
            </w:pPr>
            <w:r>
              <w:rPr>
                <w:rFonts w:ascii="Arial" w:cs="Arial" w:eastAsia="Arial" w:hAnsi="Arial"/>
                <w:sz w:val="18"/>
                <w:szCs w:val="18"/>
                <w:color w:val="auto"/>
              </w:rPr>
              <w:t>City of Corpus Christi</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1,172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1,086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Harris County Toll Road Authority</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tcPr>
          <w:p>
            <w:pPr>
              <w:ind w:left="240"/>
              <w:spacing w:after="0"/>
              <w:rPr>
                <w:sz w:val="20"/>
                <w:szCs w:val="20"/>
                <w:color w:val="auto"/>
              </w:rPr>
            </w:pPr>
            <w:r>
              <w:rPr>
                <w:rFonts w:ascii="Arial" w:cs="Arial" w:eastAsia="Arial" w:hAnsi="Arial"/>
                <w:sz w:val="18"/>
                <w:szCs w:val="18"/>
                <w:color w:val="auto"/>
              </w:rPr>
              <w:t>County of Fort Bend</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858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810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Austin-Bergstrom Landhost Enterprises, Inc.</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A3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tcPr>
          <w:p>
            <w:pPr>
              <w:ind w:left="240"/>
              <w:spacing w:after="0"/>
              <w:rPr>
                <w:sz w:val="20"/>
                <w:szCs w:val="20"/>
                <w:color w:val="auto"/>
              </w:rPr>
            </w:pPr>
            <w:r>
              <w:rPr>
                <w:rFonts w:ascii="Arial" w:cs="Arial" w:eastAsia="Arial" w:hAnsi="Arial"/>
                <w:sz w:val="18"/>
                <w:szCs w:val="18"/>
                <w:color w:val="auto"/>
              </w:rPr>
              <w:t>San Jacinto Community College District</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44,797</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42,356</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0" w:type="dxa"/>
            <w:vAlign w:val="bottom"/>
          </w:tcPr>
          <w:p>
            <w:pPr>
              <w:spacing w:after="0"/>
              <w:rPr>
                <w:sz w:val="23"/>
                <w:szCs w:val="23"/>
                <w:color w:val="auto"/>
              </w:rPr>
            </w:pPr>
          </w:p>
        </w:tc>
        <w:tc>
          <w:tcPr>
            <w:tcW w:w="5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vMerge w:val="restart"/>
          </w:tcPr>
          <w:p>
            <w:pPr>
              <w:spacing w:after="0"/>
              <w:rPr>
                <w:sz w:val="23"/>
                <w:szCs w:val="23"/>
                <w:color w:val="auto"/>
              </w:rPr>
            </w:pPr>
          </w:p>
        </w:tc>
        <w:tc>
          <w:tcPr>
            <w:tcW w:w="320" w:type="dxa"/>
            <w:vAlign w:val="bottom"/>
          </w:tcPr>
          <w:p>
            <w:pPr>
              <w:spacing w:after="0"/>
              <w:rPr>
                <w:sz w:val="23"/>
                <w:szCs w:val="23"/>
                <w:color w:val="auto"/>
              </w:rPr>
            </w:pPr>
          </w:p>
        </w:tc>
        <w:tc>
          <w:tcPr>
            <w:tcW w:w="138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Fair Value</w:t>
            </w:r>
          </w:p>
        </w:tc>
        <w:tc>
          <w:tcPr>
            <w:tcW w:w="100" w:type="dxa"/>
            <w:vAlign w:val="bottom"/>
            <w:gridSpan w:val="2"/>
            <w:vMerge w:val="restart"/>
          </w:tcPr>
          <w:p>
            <w:pPr>
              <w:spacing w:after="0"/>
              <w:rPr>
                <w:sz w:val="23"/>
                <w:szCs w:val="23"/>
                <w:color w:val="auto"/>
              </w:rPr>
            </w:pPr>
          </w:p>
        </w:tc>
        <w:tc>
          <w:tcPr>
            <w:tcW w:w="20" w:type="dxa"/>
            <w:vAlign w:val="bottom"/>
            <w:vMerge w:val="restart"/>
          </w:tcPr>
          <w:p>
            <w:pPr>
              <w:spacing w:after="0"/>
              <w:rPr>
                <w:sz w:val="23"/>
                <w:szCs w:val="23"/>
                <w:color w:val="auto"/>
              </w:rPr>
            </w:pPr>
          </w:p>
        </w:tc>
        <w:tc>
          <w:tcPr>
            <w:tcW w:w="320" w:type="dxa"/>
            <w:vAlign w:val="bottom"/>
          </w:tcPr>
          <w:p>
            <w:pPr>
              <w:spacing w:after="0"/>
              <w:rPr>
                <w:sz w:val="23"/>
                <w:szCs w:val="23"/>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Amortized</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Credit</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Cost</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Rating (1), (2)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New York</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City of New York</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7,143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6,539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0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The Port Authority of New York and New Jersey</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6,020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5,629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New York City Transitional Finance Authority</w:t>
            </w:r>
          </w:p>
        </w:tc>
        <w:tc>
          <w:tcPr>
            <w:tcW w:w="3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5,506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5,145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0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Metropolitan Transportation Authority</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4,397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4,101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New York State Urban Development Corporation</w:t>
            </w:r>
          </w:p>
        </w:tc>
        <w:tc>
          <w:tcPr>
            <w:tcW w:w="3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3,122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2,928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0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The Dormitory Authority of the State of New York</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3,052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TSASC, Inc.</w:t>
            </w:r>
          </w:p>
        </w:tc>
        <w:tc>
          <w:tcPr>
            <w:tcW w:w="3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2,431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2,207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0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County of Nassau</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2,218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Public Service Enterprise Group, Inc.</w:t>
            </w:r>
          </w:p>
        </w:tc>
        <w:tc>
          <w:tcPr>
            <w:tcW w:w="3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1,903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1,781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0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Town of Oyster Bay</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Syracuse Industrial Development Agency</w:t>
            </w:r>
          </w:p>
        </w:tc>
        <w:tc>
          <w:tcPr>
            <w:tcW w:w="3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339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339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Ba2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Pr>
          <w:p>
            <w:pPr>
              <w:spacing w:after="0"/>
              <w:rPr>
                <w:sz w:val="22"/>
                <w:szCs w:val="22"/>
                <w:color w:val="auto"/>
              </w:rPr>
            </w:pPr>
          </w:p>
        </w:tc>
        <w:tc>
          <w:tcPr>
            <w:tcW w:w="5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37,236</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34,650</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right="20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Certain of the above securities may include financial guaranty insurance or state enhancements. The above ratings include the effect of these credit enhancements, if applicable.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or Fitch rating utilized if Moody’s not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-541655</wp:posOffset>
            </wp:positionV>
            <wp:extent cx="14147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Radnor Re 2018-1 Ltd., Radnor Re 2019-1 Ltd. and Radnor Re 2019-2 Ltd. are special purpose variable interest entities that are not consolidated in our condensed consolidated financial statements because we do not have the unilateral power to direct those activities that are significant to their economic performance. As of September 30, 2019, our estimated off-balance sheet maximum exposure to loss from the Radnor Re entities was $36.3 million, representing the estimated net present value of investment earnings on the assets in the reinsurance trusts. See Note 4 to our condensed consolidated financial statements for additional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the filing date of this report, there were no significant changes in our critical accounting policies from those discussed in our 2018 Form 10-K.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Note 2 to our condensed consolidated financial statements for recently issued accounting standards under evaluation.</w:t>
      </w: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40"/>
          </w:cols>
          <w:pgMar w:left="240" w:top="125" w:right="31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own and manage a large investment portfolio of various holdings, types and maturities. Investment income is one of our primary sources of cash flow supporting operations and claim payments. The assets within the investment portfolio are exposed to the same factors that affect overall financial market performance. While our investment portfolio is exposed to factors affecting markets worldwide, it is most sensitive to fluctuations in the drivers of U.S. markets.</w:t>
      </w:r>
    </w:p>
    <w:p>
      <w:pPr>
        <w:spacing w:after="0" w:line="187"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We manage market risk via defined investment policy implemented by our treasury function with oversight from our board of directors and our senior management. Important drivers of our market risk exposure monitored and managed by us include but are not limited to:</w:t>
      </w:r>
    </w:p>
    <w:p>
      <w:pPr>
        <w:spacing w:after="0" w:line="147" w:lineRule="exact"/>
        <w:rPr>
          <w:sz w:val="20"/>
          <w:szCs w:val="20"/>
          <w:color w:val="auto"/>
        </w:rPr>
      </w:pPr>
    </w:p>
    <w:p>
      <w:pPr>
        <w:ind w:left="660" w:right="60" w:hanging="328"/>
        <w:spacing w:after="0" w:line="302" w:lineRule="auto"/>
        <w:tabs>
          <w:tab w:leader="none" w:pos="660"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Changes to the level of interest rates. </w:t>
      </w:r>
      <w:r>
        <w:rPr>
          <w:rFonts w:ascii="Arial" w:cs="Arial" w:eastAsia="Arial" w:hAnsi="Arial"/>
          <w:sz w:val="16"/>
          <w:szCs w:val="16"/>
          <w:color w:val="auto"/>
        </w:rPr>
        <w:t>Increasing interest rates may reduce the value of certain fixed-rate bonds held in the investment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Higher rates may cause variable-rate assets to generate additional income. Decreasing rates will have the reverse impact. Significant changes in interest rates can also affect persistency and claim rates which may in turn require that the investment portfolio be restructured to better align it with future liabilities and claim payments. Such restructuring may cause investments to be liquidated when market conditions are adverse.</w:t>
      </w:r>
    </w:p>
    <w:p>
      <w:pPr>
        <w:spacing w:after="0" w:line="154" w:lineRule="exact"/>
        <w:rPr>
          <w:rFonts w:ascii="Arial" w:cs="Arial" w:eastAsia="Arial" w:hAnsi="Arial"/>
          <w:sz w:val="16"/>
          <w:szCs w:val="16"/>
          <w:i w:val="1"/>
          <w:iCs w:val="1"/>
          <w:color w:val="auto"/>
        </w:rPr>
      </w:pPr>
    </w:p>
    <w:p>
      <w:pPr>
        <w:ind w:left="660" w:right="240" w:hanging="328"/>
        <w:spacing w:after="0" w:line="277" w:lineRule="auto"/>
        <w:tabs>
          <w:tab w:leader="none" w:pos="6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Changes to the term structure of interest rates. </w:t>
      </w:r>
      <w:r>
        <w:rPr>
          <w:rFonts w:ascii="Arial" w:cs="Arial" w:eastAsia="Arial" w:hAnsi="Arial"/>
          <w:sz w:val="18"/>
          <w:szCs w:val="18"/>
          <w:color w:val="auto"/>
        </w:rPr>
        <w:t>Rising or falling rates typically change by different amounts along the yield curve. These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may have unforeseen impacts on the value of certain assets.</w:t>
      </w:r>
    </w:p>
    <w:p>
      <w:pPr>
        <w:spacing w:after="0" w:line="170" w:lineRule="exact"/>
        <w:rPr>
          <w:rFonts w:ascii="Arial" w:cs="Arial" w:eastAsia="Arial" w:hAnsi="Arial"/>
          <w:sz w:val="18"/>
          <w:szCs w:val="18"/>
          <w:i w:val="1"/>
          <w:iCs w:val="1"/>
          <w:color w:val="auto"/>
        </w:rPr>
      </w:pPr>
    </w:p>
    <w:p>
      <w:pPr>
        <w:ind w:left="660" w:right="520" w:hanging="328"/>
        <w:spacing w:after="0" w:line="342" w:lineRule="auto"/>
        <w:tabs>
          <w:tab w:leader="none" w:pos="660"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Market volatility/changes in the real or perceived credit quality of investments. </w:t>
      </w:r>
      <w:r>
        <w:rPr>
          <w:rFonts w:ascii="Arial" w:cs="Arial" w:eastAsia="Arial" w:hAnsi="Arial"/>
          <w:sz w:val="16"/>
          <w:szCs w:val="16"/>
          <w:color w:val="auto"/>
        </w:rPr>
        <w:t>Deterioration in the quality of investments, identified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to our own or third-party (e.g., rating agency) assessments, will reduce the value and potentially the liquidity of investments.</w:t>
      </w:r>
    </w:p>
    <w:p>
      <w:pPr>
        <w:spacing w:after="0" w:line="123" w:lineRule="exact"/>
        <w:rPr>
          <w:rFonts w:ascii="Arial" w:cs="Arial" w:eastAsia="Arial" w:hAnsi="Arial"/>
          <w:sz w:val="16"/>
          <w:szCs w:val="16"/>
          <w:i w:val="1"/>
          <w:iCs w:val="1"/>
          <w:color w:val="auto"/>
        </w:rPr>
      </w:pPr>
    </w:p>
    <w:p>
      <w:pPr>
        <w:ind w:left="660" w:right="400" w:hanging="328"/>
        <w:spacing w:after="0" w:line="342" w:lineRule="auto"/>
        <w:tabs>
          <w:tab w:leader="none" w:pos="660"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Concentration Risk. </w:t>
      </w:r>
      <w:r>
        <w:rPr>
          <w:rFonts w:ascii="Arial" w:cs="Arial" w:eastAsia="Arial" w:hAnsi="Arial"/>
          <w:sz w:val="16"/>
          <w:szCs w:val="16"/>
          <w:color w:val="auto"/>
        </w:rPr>
        <w:t>If the investment portfolio is highly concentrated in one asset, or in multiple assets whose values are highly correlated, the</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the total portfolio may be greatly affected by the change in value of just one asset or a group of highly correlated assets.</w:t>
      </w:r>
    </w:p>
    <w:p>
      <w:pPr>
        <w:spacing w:after="0" w:line="123" w:lineRule="exact"/>
        <w:rPr>
          <w:rFonts w:ascii="Arial" w:cs="Arial" w:eastAsia="Arial" w:hAnsi="Arial"/>
          <w:sz w:val="16"/>
          <w:szCs w:val="16"/>
          <w:i w:val="1"/>
          <w:iCs w:val="1"/>
          <w:color w:val="auto"/>
        </w:rPr>
      </w:pPr>
    </w:p>
    <w:p>
      <w:pPr>
        <w:ind w:left="660" w:right="120" w:hanging="328"/>
        <w:spacing w:after="0" w:line="277" w:lineRule="auto"/>
        <w:tabs>
          <w:tab w:leader="none" w:pos="6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Prepayment Risk. </w:t>
      </w:r>
      <w:r>
        <w:rPr>
          <w:rFonts w:ascii="Arial" w:cs="Arial" w:eastAsia="Arial" w:hAnsi="Arial"/>
          <w:sz w:val="18"/>
          <w:szCs w:val="18"/>
          <w:color w:val="auto"/>
        </w:rPr>
        <w:t>Bonds may have call provisions that permit debtors to repay prior to maturity when it is to their advantage. This typically occurs</w:t>
      </w:r>
      <w:r>
        <w:rPr>
          <w:rFonts w:ascii="Arial" w:cs="Arial" w:eastAsia="Arial" w:hAnsi="Arial"/>
          <w:sz w:val="18"/>
          <w:szCs w:val="18"/>
          <w:i w:val="1"/>
          <w:iCs w:val="1"/>
          <w:color w:val="auto"/>
        </w:rPr>
        <w:t xml:space="preserve"> </w:t>
      </w:r>
      <w:r>
        <w:rPr>
          <w:rFonts w:ascii="Arial" w:cs="Arial" w:eastAsia="Arial" w:hAnsi="Arial"/>
          <w:sz w:val="18"/>
          <w:szCs w:val="18"/>
          <w:color w:val="auto"/>
        </w:rPr>
        <w:t>when rates fall below the interest rate of the debt.</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Market risk is measured for all investment assets at the individual security level. Market risks that are not fully captured by the quantitative analysis are highlighted. In addition, material market risk changes that occur from the last reporting period to the current are discussed. Changes to how risks are managed will also be identified and described.</w:t>
      </w:r>
    </w:p>
    <w:p>
      <w:pPr>
        <w:spacing w:after="0" w:line="18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At September 30, 2019, the effective duration of our investments available for sale was 3.3 years, which means that an instantaneous parallel shift (movement up or down) in the yield curve of 100 basis points would result in a change of 3.3% in fair value of our investments available for sale. Excluding short-term investments, our investments available for sale effective duration was 3.6 years, which means that an instantaneous parallel shift (movement up or down) in the yield curve of 100 basis points would result in a change of 3.6% in fair value of our investments available for sale.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Our management carried out an evaluation, under the supervision and with the participation of our chief executive officer and chief financial officer, of the effectiveness of our disclosure controls and procedures (as such term is defined in Rules 13a-15(e) and 15d-15(e) under the Exchange Act) as of the end of the period covered by this Quarterly Report. Based on this evaluation, our chief executive officer and chief financial officer concluded that our disclosure controls and procedures were effective as of September 30, 2019, the end of the period covered by this Quarterly Report.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During our most recent fiscal quarter, there has not been any change in our internal control over financial reporting (as such term is defined in Rules 13a-15(f) and 15d-15(f) under the Exchange Act) that has materially affected, or is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125" w:right="27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Risk factors that affect our business and financial results are discussed in Part I, Item 1A. “Risk Factors” in our Annual Report on Form 10-K for the year ended December 31, 2018. There have been no material changes in our risk factors from those previously disclosed in our Annual Report. You should carefully consider the risks described in our Annual Report, which could materially affect our business, financial condition or future results. The risks described in our Annual Report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 and/or results of operations could be negatively affected.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Securities</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table below sets forth information regarding repurchases of our common shares during the three months ended September 30, 2019. All of the shares represent common shares that were tendered to the Company by employees in connection with the vesting of restricted shares to satisfy tax withholding obligations. We do not consider these transactions to be a share buyback program.</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vMerge w:val="restart"/>
          </w:tcPr>
          <w:p>
            <w:pPr>
              <w:jc w:val="center"/>
              <w:ind w:left="248"/>
              <w:spacing w:after="0"/>
              <w:rPr>
                <w:sz w:val="20"/>
                <w:szCs w:val="20"/>
                <w:color w:val="auto"/>
              </w:rPr>
            </w:pPr>
            <w:r>
              <w:rPr>
                <w:rFonts w:ascii="Arial" w:cs="Arial" w:eastAsia="Arial" w:hAnsi="Arial"/>
                <w:sz w:val="14"/>
                <w:szCs w:val="14"/>
                <w:b w:val="1"/>
                <w:bCs w:val="1"/>
                <w:color w:val="auto"/>
                <w:w w:val="94"/>
              </w:rPr>
              <w:t>Total Number of</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of Shares that</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May Yet Be</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Average Price</w:t>
            </w:r>
          </w:p>
        </w:tc>
        <w:tc>
          <w:tcPr>
            <w:tcW w:w="150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2"/>
              </w:rPr>
              <w:t>as Part of Publicly</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49"/>
        </w:trPr>
        <w:tc>
          <w:tcPr>
            <w:tcW w:w="37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50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the Plans or</w:t>
            </w:r>
          </w:p>
        </w:tc>
        <w:tc>
          <w:tcPr>
            <w:tcW w:w="0" w:type="dxa"/>
            <w:vAlign w:val="bottom"/>
          </w:tcPr>
          <w:p>
            <w:pPr>
              <w:spacing w:after="0"/>
              <w:rPr>
                <w:sz w:val="1"/>
                <w:szCs w:val="1"/>
                <w:color w:val="auto"/>
              </w:rPr>
            </w:pPr>
          </w:p>
        </w:tc>
      </w:tr>
      <w:tr>
        <w:trPr>
          <w:trHeight w:val="192"/>
        </w:trPr>
        <w:tc>
          <w:tcPr>
            <w:tcW w:w="3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Paid Per Share</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3"/>
              </w:rPr>
              <w:t>or Programs</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1 - July 31, 2019</w:t>
            </w: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12,367</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48.02</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August 1 - August 31, 2019</w:t>
            </w:r>
          </w:p>
        </w:tc>
        <w:tc>
          <w:tcPr>
            <w:tcW w:w="184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500" w:type="dxa"/>
            <w:vAlign w:val="bottom"/>
          </w:tcPr>
          <w:p>
            <w:pPr>
              <w:spacing w:after="0"/>
              <w:rPr>
                <w:sz w:val="21"/>
                <w:szCs w:val="21"/>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0" w:type="dxa"/>
            <w:vAlign w:val="bottom"/>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1 - September 30, 2019</w:t>
            </w: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5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12,367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0" w:type="dxa"/>
            <w:vAlign w:val="bottom"/>
            <w:tcBorders>
              <w:top w:val="single" w:sz="8" w:color="auto"/>
            </w:tcBorders>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125" w:right="29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800" w:type="dxa"/>
            <w:vAlign w:val="bottom"/>
            <w:gridSpan w:val="3"/>
          </w:tcPr>
          <w:p>
            <w:pPr>
              <w:ind w:left="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432"/>
        </w:trPr>
        <w:tc>
          <w:tcPr>
            <w:tcW w:w="620" w:type="dxa"/>
            <w:vAlign w:val="bottom"/>
            <w:gridSpan w:val="3"/>
          </w:tcPr>
          <w:p>
            <w:pPr>
              <w:spacing w:after="0"/>
              <w:rPr>
                <w:sz w:val="20"/>
                <w:szCs w:val="20"/>
                <w:color w:val="auto"/>
              </w:rPr>
            </w:pPr>
            <w:r>
              <w:rPr>
                <w:rFonts w:ascii="Arial" w:cs="Arial" w:eastAsia="Arial" w:hAnsi="Arial"/>
                <w:sz w:val="18"/>
                <w:szCs w:val="18"/>
                <w:color w:val="auto"/>
              </w:rPr>
              <w:t>(a)</w:t>
            </w:r>
          </w:p>
        </w:tc>
        <w:tc>
          <w:tcPr>
            <w:tcW w:w="10800" w:type="dxa"/>
            <w:vAlign w:val="bottom"/>
            <w:gridSpan w:val="3"/>
          </w:tcPr>
          <w:p>
            <w:pPr>
              <w:ind w:left="60"/>
              <w:spacing w:after="0"/>
              <w:rPr>
                <w:sz w:val="20"/>
                <w:szCs w:val="20"/>
                <w:color w:val="auto"/>
              </w:rPr>
            </w:pPr>
            <w:r>
              <w:rPr>
                <w:rFonts w:ascii="Arial" w:cs="Arial" w:eastAsia="Arial" w:hAnsi="Arial"/>
                <w:sz w:val="18"/>
                <w:szCs w:val="18"/>
                <w:color w:val="auto"/>
              </w:rPr>
              <w:t>Exhibits:</w:t>
            </w:r>
          </w:p>
        </w:tc>
        <w:tc>
          <w:tcPr>
            <w:tcW w:w="0" w:type="dxa"/>
            <w:vAlign w:val="bottom"/>
          </w:tcPr>
          <w:p>
            <w:pPr>
              <w:spacing w:after="0"/>
              <w:rPr>
                <w:sz w:val="1"/>
                <w:szCs w:val="1"/>
                <w:color w:val="auto"/>
              </w:rPr>
            </w:pPr>
          </w:p>
        </w:tc>
      </w:tr>
      <w:tr>
        <w:trPr>
          <w:trHeight w:val="545"/>
        </w:trPr>
        <w:tc>
          <w:tcPr>
            <w:tcW w:w="620" w:type="dxa"/>
            <w:vAlign w:val="bottom"/>
            <w:gridSpan w:val="3"/>
          </w:tcPr>
          <w:p>
            <w:pPr>
              <w:ind w:left="40"/>
              <w:spacing w:after="0"/>
              <w:rPr>
                <w:sz w:val="20"/>
                <w:szCs w:val="20"/>
                <w:color w:val="auto"/>
              </w:rPr>
            </w:pPr>
            <w:r>
              <w:rPr>
                <w:rFonts w:ascii="Arial" w:cs="Arial" w:eastAsia="Arial" w:hAnsi="Arial"/>
                <w:sz w:val="14"/>
                <w:szCs w:val="14"/>
                <w:b w:val="1"/>
                <w:bCs w:val="1"/>
                <w:color w:val="auto"/>
              </w:rPr>
              <w:t>Exhibit</w:t>
            </w: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0" w:type="dxa"/>
            <w:vAlign w:val="bottom"/>
            <w:vMerge w:val="restart"/>
          </w:tcPr>
          <w:p>
            <w:pPr>
              <w:ind w:left="45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6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No.</w:t>
            </w:r>
          </w:p>
        </w:tc>
        <w:tc>
          <w:tcPr>
            <w:tcW w:w="54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9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20" w:type="dxa"/>
            <w:vAlign w:val="bottom"/>
            <w:gridSpan w:val="3"/>
          </w:tcPr>
          <w:p>
            <w:pPr>
              <w:ind w:left="40"/>
              <w:spacing w:after="0" w:line="202" w:lineRule="exact"/>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1</w:t>
            </w: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0" w:type="dxa"/>
            <w:vAlign w:val="bottom"/>
          </w:tcPr>
          <w:p>
            <w:pPr>
              <w:ind w:left="20"/>
              <w:spacing w:after="0" w:line="202" w:lineRule="exact"/>
              <w:rPr>
                <w:sz w:val="20"/>
                <w:szCs w:val="20"/>
                <w:color w:val="auto"/>
              </w:rPr>
            </w:pPr>
            <w:r>
              <w:rPr>
                <w:rFonts w:ascii="Arial" w:cs="Arial" w:eastAsia="Arial" w:hAnsi="Arial"/>
                <w:sz w:val="18"/>
                <w:szCs w:val="18"/>
                <w:color w:val="auto"/>
                <w:w w:val="96"/>
              </w:rPr>
              <w:t>Certification of Chief Executive Officer required by Rule 13a-14(a) or Rule 15d-14(a) of the Securities Exchange Act of 1934, as</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230"/>
        </w:trPr>
        <w:tc>
          <w:tcPr>
            <w:tcW w:w="620" w:type="dxa"/>
            <w:vAlign w:val="bottom"/>
            <w:gridSpan w:val="3"/>
          </w:tcPr>
          <w:p>
            <w:pPr>
              <w:ind w:left="40"/>
              <w:spacing w:after="0"/>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2</w:t>
            </w: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6"/>
              </w:rPr>
              <w:t>Certification of Chief Financial Officer required by Rule 13a-14(a) or Rule 15d-14(a) of the Securities Exchange Act of 1934, as</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230"/>
        </w:trPr>
        <w:tc>
          <w:tcPr>
            <w:tcW w:w="620" w:type="dxa"/>
            <w:vAlign w:val="bottom"/>
            <w:gridSpan w:val="3"/>
          </w:tcPr>
          <w:p>
            <w:pPr>
              <w:ind w:left="40"/>
              <w:spacing w:after="0"/>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1</w:t>
            </w: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2"/>
              </w:rPr>
              <w:t>Certification of Chief Executive Officer and Chief Financial Officer pursuant to 18 U.S.C. 1350, as adopted pursuant to Section 906 of</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the Sarbanes-Oxley Act of 2002</w:t>
            </w:r>
          </w:p>
        </w:tc>
        <w:tc>
          <w:tcPr>
            <w:tcW w:w="0" w:type="dxa"/>
            <w:vAlign w:val="bottom"/>
          </w:tcPr>
          <w:p>
            <w:pPr>
              <w:spacing w:after="0"/>
              <w:rPr>
                <w:sz w:val="1"/>
                <w:szCs w:val="1"/>
                <w:color w:val="auto"/>
              </w:rPr>
            </w:pPr>
          </w:p>
        </w:tc>
      </w:tr>
      <w:tr>
        <w:trPr>
          <w:trHeight w:val="256"/>
        </w:trPr>
        <w:tc>
          <w:tcPr>
            <w:tcW w:w="340" w:type="dxa"/>
            <w:vAlign w:val="bottom"/>
            <w:gridSpan w:val="2"/>
          </w:tcPr>
          <w:p>
            <w:pPr>
              <w:ind w:left="40"/>
              <w:spacing w:after="0"/>
              <w:rPr>
                <w:sz w:val="20"/>
                <w:szCs w:val="20"/>
                <w:color w:val="auto"/>
              </w:rPr>
            </w:pPr>
            <w:r>
              <w:rPr>
                <w:rFonts w:ascii="Arial" w:cs="Arial" w:eastAsia="Arial" w:hAnsi="Arial"/>
                <w:sz w:val="18"/>
                <w:szCs w:val="18"/>
                <w:color w:val="auto"/>
                <w:w w:val="93"/>
              </w:rPr>
              <w:t>101</w:t>
            </w: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3"/>
              </w:rPr>
              <w:t>The following financial information from this Quarterly Report on Form 10-Q for the quarter ended September 30, 2019, formatted in</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Inline XBRL: (i) the Condensed Consolidated Balance Sheets (Unaudited); (ii) the Condensed Consolidated Statements of</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3"/>
              </w:rPr>
              <w:t>Comprehensive Income (Unaudited); (iii) the Condensed Consolidated Statements of Changes in Stockholders’ Equity (Unaudited);</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4"/>
              </w:rPr>
              <w:t>(iv) the Condensed Consolidated Statements of Cash Flows (Unaudited); and (v) the Notes to Condensed Consolidated Financial</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Statements (Unaudited).</w:t>
            </w:r>
          </w:p>
        </w:tc>
        <w:tc>
          <w:tcPr>
            <w:tcW w:w="0" w:type="dxa"/>
            <w:vAlign w:val="bottom"/>
          </w:tcPr>
          <w:p>
            <w:pPr>
              <w:spacing w:after="0"/>
              <w:rPr>
                <w:sz w:val="1"/>
                <w:szCs w:val="1"/>
                <w:color w:val="auto"/>
              </w:rPr>
            </w:pPr>
          </w:p>
        </w:tc>
      </w:tr>
      <w:tr>
        <w:trPr>
          <w:trHeight w:val="702"/>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0" w:type="dxa"/>
            <w:vAlign w:val="bottom"/>
            <w:gridSpan w:val="3"/>
          </w:tcPr>
          <w:p>
            <w:pPr>
              <w:jc w:val="right"/>
              <w:ind w:right="553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the date indicated.</w:t>
      </w:r>
    </w:p>
    <w:p>
      <w:pPr>
        <w:spacing w:after="0" w:line="329"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ESSENT GROUP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5440" w:val="left"/>
        </w:tabs>
        <w:rPr>
          <w:sz w:val="20"/>
          <w:szCs w:val="20"/>
          <w:color w:val="auto"/>
        </w:rPr>
      </w:pPr>
      <w:r>
        <w:rPr>
          <w:rFonts w:ascii="Arial" w:cs="Arial" w:eastAsia="Arial" w:hAnsi="Arial"/>
          <w:sz w:val="18"/>
          <w:szCs w:val="18"/>
          <w:color w:val="auto"/>
        </w:rPr>
        <w:t>Date: November 8, 2019</w:t>
      </w:r>
      <w:r>
        <w:rPr>
          <w:sz w:val="20"/>
          <w:szCs w:val="20"/>
          <w:color w:val="auto"/>
        </w:rPr>
        <w:tab/>
      </w:r>
      <w:r>
        <w:rPr>
          <w:rFonts w:ascii="Arial" w:cs="Arial" w:eastAsia="Arial" w:hAnsi="Arial"/>
          <w:sz w:val="17"/>
          <w:szCs w:val="17"/>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31750</wp:posOffset>
            </wp:positionV>
            <wp:extent cx="30359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Mark A. Casale</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President, Chief Executive Officer and Chairman</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89" w:lineRule="exact"/>
        <w:rPr>
          <w:sz w:val="20"/>
          <w:szCs w:val="20"/>
          <w:color w:val="auto"/>
        </w:rPr>
      </w:pPr>
    </w:p>
    <w:p>
      <w:pPr>
        <w:ind w:left="40"/>
        <w:spacing w:after="0"/>
        <w:tabs>
          <w:tab w:leader="none" w:pos="5440" w:val="left"/>
        </w:tabs>
        <w:rPr>
          <w:sz w:val="20"/>
          <w:szCs w:val="20"/>
          <w:color w:val="auto"/>
        </w:rPr>
      </w:pPr>
      <w:r>
        <w:rPr>
          <w:rFonts w:ascii="Arial" w:cs="Arial" w:eastAsia="Arial" w:hAnsi="Arial"/>
          <w:sz w:val="18"/>
          <w:szCs w:val="18"/>
          <w:color w:val="auto"/>
        </w:rPr>
        <w:t>Date: November 8, 2019</w:t>
      </w:r>
      <w:r>
        <w:rPr>
          <w:sz w:val="20"/>
          <w:szCs w:val="20"/>
          <w:color w:val="auto"/>
        </w:rPr>
        <w:tab/>
      </w:r>
      <w:r>
        <w:rPr>
          <w:rFonts w:ascii="Arial" w:cs="Arial" w:eastAsia="Arial" w:hAnsi="Arial"/>
          <w:sz w:val="17"/>
          <w:szCs w:val="17"/>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31750</wp:posOffset>
            </wp:positionV>
            <wp:extent cx="30359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Lawrence E. McAlee</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389" w:lineRule="exact"/>
        <w:rPr>
          <w:sz w:val="20"/>
          <w:szCs w:val="20"/>
          <w:color w:val="auto"/>
        </w:rPr>
      </w:pPr>
    </w:p>
    <w:p>
      <w:pPr>
        <w:ind w:left="40"/>
        <w:spacing w:after="0"/>
        <w:tabs>
          <w:tab w:leader="none" w:pos="5440" w:val="left"/>
        </w:tabs>
        <w:rPr>
          <w:sz w:val="20"/>
          <w:szCs w:val="20"/>
          <w:color w:val="auto"/>
        </w:rPr>
      </w:pPr>
      <w:r>
        <w:rPr>
          <w:rFonts w:ascii="Arial" w:cs="Arial" w:eastAsia="Arial" w:hAnsi="Arial"/>
          <w:sz w:val="18"/>
          <w:szCs w:val="18"/>
          <w:color w:val="auto"/>
        </w:rPr>
        <w:t>Date: November 8, 2019</w:t>
      </w:r>
      <w:r>
        <w:rPr>
          <w:sz w:val="20"/>
          <w:szCs w:val="20"/>
          <w:color w:val="auto"/>
        </w:rPr>
        <w:tab/>
      </w:r>
      <w:r>
        <w:rPr>
          <w:rFonts w:ascii="Arial" w:cs="Arial" w:eastAsia="Arial" w:hAnsi="Arial"/>
          <w:sz w:val="17"/>
          <w:szCs w:val="17"/>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31750</wp:posOffset>
            </wp:positionV>
            <wp:extent cx="30359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David B. Weinstock</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Vice President and Chief Accounting Officer</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125" w:right="4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A. Casale, certify that:</w:t>
      </w:r>
    </w:p>
    <w:p>
      <w:pPr>
        <w:spacing w:after="0" w:line="225" w:lineRule="exact"/>
        <w:rPr>
          <w:sz w:val="20"/>
          <w:szCs w:val="20"/>
          <w:color w:val="auto"/>
        </w:rPr>
      </w:pPr>
    </w:p>
    <w:p>
      <w:pPr>
        <w:ind w:left="560" w:hanging="552"/>
        <w:spacing w:after="0"/>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Essent Group Ltd.;</w:t>
      </w:r>
    </w:p>
    <w:p>
      <w:pPr>
        <w:spacing w:after="0" w:line="265" w:lineRule="exact"/>
        <w:rPr>
          <w:rFonts w:ascii="Arial" w:cs="Arial" w:eastAsia="Arial" w:hAnsi="Arial"/>
          <w:sz w:val="18"/>
          <w:szCs w:val="18"/>
          <w:color w:val="auto"/>
        </w:rPr>
      </w:pPr>
    </w:p>
    <w:p>
      <w:pPr>
        <w:ind w:left="520" w:hanging="512"/>
        <w:spacing w:after="0"/>
        <w:tabs>
          <w:tab w:leader="none" w:pos="5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quarterly report does not contain any untrue statement of a material fact or omit to state a material fact necessary to</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make the statements made, in light of the circumstances under which such statements were made, not misleading with respect to the period covered by this quarterly report;</w:t>
      </w:r>
    </w:p>
    <w:p>
      <w:pPr>
        <w:spacing w:after="0" w:line="170" w:lineRule="exact"/>
        <w:rPr>
          <w:sz w:val="20"/>
          <w:szCs w:val="20"/>
          <w:color w:val="auto"/>
        </w:rPr>
      </w:pPr>
    </w:p>
    <w:p>
      <w:pPr>
        <w:ind w:right="580" w:firstLine="8"/>
        <w:spacing w:after="0" w:line="395" w:lineRule="auto"/>
        <w:tabs>
          <w:tab w:leader="none" w:pos="518"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83" w:lineRule="exact"/>
        <w:rPr>
          <w:rFonts w:ascii="Arial" w:cs="Arial" w:eastAsia="Arial" w:hAnsi="Arial"/>
          <w:sz w:val="16"/>
          <w:szCs w:val="16"/>
          <w:color w:val="auto"/>
        </w:rPr>
      </w:pPr>
    </w:p>
    <w:p>
      <w:pPr>
        <w:ind w:left="680" w:hanging="672"/>
        <w:spacing w:after="0"/>
        <w:tabs>
          <w:tab w:leader="none" w:pos="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000" w:hanging="506"/>
        <w:spacing w:after="0"/>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w:t>
      </w:r>
    </w:p>
    <w:p>
      <w:pPr>
        <w:spacing w:after="0" w:line="7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020" w:hanging="526"/>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6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700" w:firstLine="494"/>
        <w:spacing w:after="0" w:line="395" w:lineRule="auto"/>
        <w:tabs>
          <w:tab w:leader="none" w:pos="1014" w:val="left"/>
        </w:tabs>
        <w:numPr>
          <w:ilvl w:val="0"/>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020" w:hanging="526"/>
        <w:spacing w:after="0"/>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00" w:firstLine="8"/>
        <w:spacing w:after="0" w:line="357" w:lineRule="auto"/>
        <w:tabs>
          <w:tab w:leader="none" w:pos="545"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140" w:firstLine="494"/>
        <w:spacing w:after="0" w:line="324" w:lineRule="auto"/>
        <w:tabs>
          <w:tab w:leader="none" w:pos="1014"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right="80" w:firstLine="494"/>
        <w:spacing w:after="0" w:line="324" w:lineRule="auto"/>
        <w:tabs>
          <w:tab w:leader="none" w:pos="1025"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2019</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2106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Mark A. Casale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Chief Executive Officer and Chairman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Lawrence E. McAlee, certify that:</w:t>
      </w:r>
    </w:p>
    <w:p>
      <w:pPr>
        <w:spacing w:after="0" w:line="225" w:lineRule="exact"/>
        <w:rPr>
          <w:sz w:val="20"/>
          <w:szCs w:val="20"/>
          <w:color w:val="auto"/>
        </w:rPr>
      </w:pPr>
    </w:p>
    <w:p>
      <w:pPr>
        <w:ind w:left="560" w:hanging="552"/>
        <w:spacing w:after="0"/>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Essent Group Ltd.;</w:t>
      </w:r>
    </w:p>
    <w:p>
      <w:pPr>
        <w:spacing w:after="0" w:line="265" w:lineRule="exact"/>
        <w:rPr>
          <w:rFonts w:ascii="Arial" w:cs="Arial" w:eastAsia="Arial" w:hAnsi="Arial"/>
          <w:sz w:val="18"/>
          <w:szCs w:val="18"/>
          <w:color w:val="auto"/>
        </w:rPr>
      </w:pPr>
    </w:p>
    <w:p>
      <w:pPr>
        <w:ind w:left="520" w:hanging="512"/>
        <w:spacing w:after="0"/>
        <w:tabs>
          <w:tab w:leader="none" w:pos="5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quarterly report does not contain any untrue statement of a material fact or omit to state a material fact necessary to</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make the statements made, in light of the circumstances under which such statements were made, not misleading with respect to the period covered by this quarterly report;</w:t>
      </w:r>
    </w:p>
    <w:p>
      <w:pPr>
        <w:spacing w:after="0" w:line="170" w:lineRule="exact"/>
        <w:rPr>
          <w:sz w:val="20"/>
          <w:szCs w:val="20"/>
          <w:color w:val="auto"/>
        </w:rPr>
      </w:pPr>
    </w:p>
    <w:p>
      <w:pPr>
        <w:ind w:right="580" w:firstLine="8"/>
        <w:spacing w:after="0" w:line="395" w:lineRule="auto"/>
        <w:tabs>
          <w:tab w:leader="none" w:pos="518"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83" w:lineRule="exact"/>
        <w:rPr>
          <w:rFonts w:ascii="Arial" w:cs="Arial" w:eastAsia="Arial" w:hAnsi="Arial"/>
          <w:sz w:val="16"/>
          <w:szCs w:val="16"/>
          <w:color w:val="auto"/>
        </w:rPr>
      </w:pPr>
    </w:p>
    <w:p>
      <w:pPr>
        <w:ind w:left="680" w:hanging="672"/>
        <w:spacing w:after="0"/>
        <w:tabs>
          <w:tab w:leader="none" w:pos="6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000" w:hanging="506"/>
        <w:spacing w:after="0"/>
        <w:tabs>
          <w:tab w:leader="none" w:pos="10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w:t>
      </w:r>
    </w:p>
    <w:p>
      <w:pPr>
        <w:spacing w:after="0" w:line="7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020" w:hanging="526"/>
        <w:spacing w:after="0"/>
        <w:tabs>
          <w:tab w:leader="none" w:pos="10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6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700" w:firstLine="494"/>
        <w:spacing w:after="0" w:line="395" w:lineRule="auto"/>
        <w:tabs>
          <w:tab w:leader="none" w:pos="1014" w:val="left"/>
        </w:tabs>
        <w:numPr>
          <w:ilvl w:val="0"/>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020" w:hanging="526"/>
        <w:spacing w:after="0"/>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00" w:firstLine="8"/>
        <w:spacing w:after="0" w:line="357" w:lineRule="auto"/>
        <w:tabs>
          <w:tab w:leader="none" w:pos="545"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140" w:firstLine="494"/>
        <w:spacing w:after="0" w:line="324" w:lineRule="auto"/>
        <w:tabs>
          <w:tab w:leader="none" w:pos="1014"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right="80" w:firstLine="494"/>
        <w:spacing w:after="0" w:line="324" w:lineRule="auto"/>
        <w:tabs>
          <w:tab w:leader="none" w:pos="1025"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2019</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2106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Lawrence E. McAlee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53" w:name="page54"/>
    <w:bookmarkEnd w:id="53"/>
    <w:p>
      <w:pPr>
        <w:ind w:left="1048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 AS ADOPTED PURSUANT TO SECTION 906 OF THE SARBANES-OXLEY ACT OF 2002</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undersigned, Mark A. Casale, President, Chief Executive Officer and Chairman of Essent Group Ltd. (the “Company”), and Lawrence E. McAlee, Senior Vice President and Chief Financial Officer of the Company, each hereby certify, pursuant to 18 U.S.C. Section 1350 as adopted pursuant to Section 906 of the Sarbanes-Oxley Act of 2002, that to the best of his knowledge:</w:t>
      </w:r>
    </w:p>
    <w:p>
      <w:pPr>
        <w:spacing w:after="0" w:line="181" w:lineRule="exact"/>
        <w:rPr>
          <w:sz w:val="20"/>
          <w:szCs w:val="20"/>
          <w:color w:val="auto"/>
        </w:rPr>
      </w:pPr>
    </w:p>
    <w:p>
      <w:pPr>
        <w:ind w:right="140" w:firstLine="8"/>
        <w:spacing w:after="0" w:line="324" w:lineRule="auto"/>
        <w:tabs>
          <w:tab w:leader="none" w:pos="687"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2019 (the “Report”) fully complies with the requirements of Section 13(a) or 15(d) of the Securities Exchange Act of 1934; and</w:t>
      </w:r>
    </w:p>
    <w:p>
      <w:pPr>
        <w:spacing w:after="0" w:line="129" w:lineRule="exact"/>
        <w:rPr>
          <w:rFonts w:ascii="Arial" w:cs="Arial" w:eastAsia="Arial" w:hAnsi="Arial"/>
          <w:sz w:val="18"/>
          <w:szCs w:val="18"/>
          <w:color w:val="auto"/>
        </w:rPr>
      </w:pPr>
    </w:p>
    <w:p>
      <w:pPr>
        <w:ind w:right="340" w:firstLine="8"/>
        <w:spacing w:after="0" w:line="575" w:lineRule="auto"/>
        <w:tabs>
          <w:tab w:leader="none" w:pos="687"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8, 2019</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Mark A. Casale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Chief Executive Officer and Chairman</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Lawrence E. McAlee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1)"/>
      <w:numFmt w:val="decimal"/>
      <w:start w:val="3"/>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1."/>
      <w:numFmt w:val="decimal"/>
      <w:start w:val="3"/>
    </w:lvl>
  </w:abstractNum>
  <w:abstractNum w:abstractNumId="22">
    <w:nsid w:val="2CA88611"/>
    <w:multiLevelType w:val="hybridMultilevel"/>
    <w:lvl w:ilvl="0">
      <w:lvlJc w:val="left"/>
      <w:lvlText w:val="(%1)"/>
      <w:numFmt w:val="lowerLetter"/>
      <w:start w:val="1"/>
    </w:lvl>
  </w:abstractNum>
  <w:abstractNum w:abstractNumId="23">
    <w:nsid w:val="836C40E"/>
    <w:multiLevelType w:val="hybridMultilevel"/>
    <w:lvl w:ilvl="0">
      <w:lvlJc w:val="left"/>
      <w:lvlText w:val="(%1)"/>
      <w:numFmt w:val="lowerLetter"/>
      <w:start w:val="2"/>
    </w:lvl>
  </w:abstractNum>
  <w:abstractNum w:abstractNumId="24">
    <w:nsid w:val="2901D82"/>
    <w:multiLevelType w:val="hybridMultilevel"/>
    <w:lvl w:ilvl="0">
      <w:lvlJc w:val="left"/>
      <w:lvlText w:val="(%1)"/>
      <w:numFmt w:val="lowerLetter"/>
      <w:start w:val="3"/>
    </w:lvl>
  </w:abstractNum>
  <w:abstractNum w:abstractNumId="25">
    <w:nsid w:val="3A95F874"/>
    <w:multiLevelType w:val="hybridMultilevel"/>
    <w:lvl w:ilvl="0">
      <w:lvlJc w:val="left"/>
      <w:lvlText w:val="%1."/>
      <w:numFmt w:val="decimal"/>
      <w:start w:val="5"/>
    </w:lvl>
    <w:lvl w:ilvl="1">
      <w:lvlJc w:val="left"/>
      <w:lvlText w:val="(%2)"/>
      <w:numFmt w:val="lowerLetter"/>
      <w:start w:val="1"/>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1."/>
      <w:numFmt w:val="decimal"/>
      <w:start w:val="3"/>
    </w:lvl>
  </w:abstractNum>
  <w:abstractNum w:abstractNumId="28">
    <w:nsid w:val="7C3DBD3D"/>
    <w:multiLevelType w:val="hybridMultilevel"/>
    <w:lvl w:ilvl="0">
      <w:lvlJc w:val="left"/>
      <w:lvlText w:val="(%1)"/>
      <w:numFmt w:val="lowerLetter"/>
      <w:start w:val="1"/>
    </w:lvl>
  </w:abstractNum>
  <w:abstractNum w:abstractNumId="29">
    <w:nsid w:val="737B8DDC"/>
    <w:multiLevelType w:val="hybridMultilevel"/>
    <w:lvl w:ilvl="0">
      <w:lvlJc w:val="left"/>
      <w:lvlText w:val="(%1)"/>
      <w:numFmt w:val="lowerLetter"/>
      <w:start w:val="2"/>
    </w:lvl>
  </w:abstractNum>
  <w:abstractNum w:abstractNumId="30">
    <w:nsid w:val="6CEAF087"/>
    <w:multiLevelType w:val="hybridMultilevel"/>
    <w:lvl w:ilvl="0">
      <w:lvlJc w:val="left"/>
      <w:lvlText w:val="(%1)"/>
      <w:numFmt w:val="lowerLetter"/>
      <w:start w:val="3"/>
    </w:lvl>
  </w:abstractNum>
  <w:abstractNum w:abstractNumId="31">
    <w:nsid w:val="22221A70"/>
    <w:multiLevelType w:val="hybridMultilevel"/>
    <w:lvl w:ilvl="0">
      <w:lvlJc w:val="left"/>
      <w:lvlText w:val="%1."/>
      <w:numFmt w:val="decimal"/>
      <w:start w:val="5"/>
    </w:lvl>
    <w:lvl w:ilvl="1">
      <w:lvlJc w:val="left"/>
      <w:lvlText w:val="(%2)"/>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2019-11-28T12:21:46Z</dcterms:created>
  <dcterms:modified xsi:type="dcterms:W3CDTF">2019-11-28T12:21:46Z</dcterms:modified>
</cp:coreProperties>
</file>