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4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111125</wp:posOffset>
            </wp:positionV>
            <wp:extent cx="3075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77470</wp:posOffset>
            </wp:positionV>
            <wp:extent cx="3075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pacing w:after="0" w:line="32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8" w:lineRule="exact"/>
        <w:rPr>
          <w:sz w:val="24"/>
          <w:szCs w:val="24"/>
          <w:color w:val="auto"/>
        </w:rPr>
      </w:pPr>
    </w:p>
    <w:p>
      <w:pPr>
        <w:ind w:left="800" w:hanging="470"/>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ended September 30, 2025</w:t>
      </w:r>
    </w:p>
    <w:p>
      <w:pPr>
        <w:spacing w:after="0" w:line="135" w:lineRule="exact"/>
        <w:rPr>
          <w:sz w:val="24"/>
          <w:szCs w:val="24"/>
          <w:color w:val="auto"/>
        </w:rPr>
      </w:pPr>
    </w:p>
    <w:p>
      <w:pPr>
        <w:ind w:left="820" w:hanging="490"/>
        <w:spacing w:after="0"/>
        <w:tabs>
          <w:tab w:leader="none" w:pos="8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6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78" w:lineRule="exact"/>
        <w:rPr>
          <w:sz w:val="24"/>
          <w:szCs w:val="24"/>
          <w:color w:val="auto"/>
        </w:rPr>
      </w:pPr>
    </w:p>
    <w:p>
      <w:pPr>
        <w:sectPr>
          <w:pgSz w:w="11900" w:h="16838" w:orient="portrait"/>
          <w:cols w:equalWidth="0" w:num="2">
            <w:col w:w="6060" w:space="560"/>
            <w:col w:w="4620"/>
          </w:cols>
          <w:pgMar w:left="320" w:top="22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123825</wp:posOffset>
            </wp:positionV>
            <wp:extent cx="3075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51" w:lineRule="exact"/>
        <w:rPr>
          <w:sz w:val="24"/>
          <w:szCs w:val="24"/>
          <w:color w:val="auto"/>
        </w:rPr>
      </w:pPr>
    </w:p>
    <w:tbl>
      <w:tblPr>
        <w:tblLayout w:type="fixed"/>
        <w:tblInd w:w="1720" w:type="dxa"/>
        <w:tblCellMar>
          <w:top w:w="0" w:type="dxa"/>
          <w:left w:w="0" w:type="dxa"/>
          <w:bottom w:w="0" w:type="dxa"/>
          <w:right w:w="0" w:type="dxa"/>
        </w:tblCellMar>
      </w:tblPr>
      <w:tr>
        <w:trPr>
          <w:trHeight w:val="374"/>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29"/>
                <w:szCs w:val="29"/>
                <w:b w:val="1"/>
                <w:bCs w:val="1"/>
                <w:color w:val="auto"/>
                <w:w w:val="98"/>
              </w:rPr>
              <w:t>ESSENT GROUP LTD.</w:t>
            </w:r>
          </w:p>
        </w:tc>
      </w:t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gridSpan w:val="2"/>
          </w:tcPr>
          <w:p>
            <w:pPr>
              <w:jc w:val="center"/>
              <w:ind w:right="17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167"/>
        </w:trPr>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24"/>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Bermuda</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7"/>
        </w:trPr>
        <w:tc>
          <w:tcPr>
            <w:tcW w:w="2080" w:type="dxa"/>
            <w:vAlign w:val="bottom"/>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40" w:type="dxa"/>
            <w:vAlign w:val="bottom"/>
            <w:gridSpan w:val="2"/>
          </w:tcPr>
          <w:p>
            <w:pPr>
              <w:jc w:val="center"/>
              <w:ind w:left="384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40" w:type="dxa"/>
            <w:vAlign w:val="bottom"/>
            <w:gridSpan w:val="2"/>
          </w:tcPr>
          <w:p>
            <w:pPr>
              <w:jc w:val="center"/>
              <w:ind w:left="384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82"/>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4" w:lineRule="exact"/>
        <w:rPr>
          <w:sz w:val="24"/>
          <w:szCs w:val="24"/>
          <w:color w:val="auto"/>
        </w:rPr>
      </w:pPr>
    </w:p>
    <w:tbl>
      <w:tblPr>
        <w:tblLayout w:type="fixed"/>
        <w:tblInd w:w="50" w:type="dxa"/>
        <w:tblCellMar>
          <w:top w:w="0" w:type="dxa"/>
          <w:left w:w="0" w:type="dxa"/>
          <w:bottom w:w="0" w:type="dxa"/>
          <w:right w:w="0" w:type="dxa"/>
        </w:tblCellMar>
      </w:tblPr>
      <w:tr>
        <w:trPr>
          <w:trHeight w:val="227"/>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$0.015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8" w:lineRule="exact"/>
        <w:rPr>
          <w:sz w:val="24"/>
          <w:szCs w:val="24"/>
          <w:color w:val="auto"/>
        </w:rPr>
      </w:pPr>
    </w:p>
    <w:p>
      <w:pPr>
        <w:jc w:val="both"/>
        <w:ind w:right="100" w:firstLine="56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56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6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 w:lineRule="exact"/>
        <w:rPr>
          <w:sz w:val="24"/>
          <w:szCs w:val="24"/>
          <w:color w:val="auto"/>
        </w:rPr>
      </w:pPr>
    </w:p>
    <w:p>
      <w:pPr>
        <w:ind w:right="280" w:firstLine="565"/>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46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October 31, 2025 was 96,665,101.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87"/>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4"/>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20" w:type="dxa"/>
            <w:vAlign w:val="bottom"/>
            <w:gridSpan w:val="5"/>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Balance Sheets (Unaudited)</w:t>
            </w:r>
          </w:p>
        </w:tc>
        <w:tc>
          <w:tcPr>
            <w:tcW w:w="4060" w:type="dxa"/>
            <w:vAlign w:val="bottom"/>
            <w:gridSpan w:val="8"/>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Changes in Stockholders’ Equity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840" w:type="dxa"/>
            <w:vAlign w:val="bottom"/>
            <w:gridSpan w:val="3"/>
          </w:tcPr>
          <w:p>
            <w:pPr>
              <w:spacing w:after="0"/>
              <w:rPr>
                <w:sz w:val="24"/>
                <w:szCs w:val="24"/>
                <w:color w:val="auto"/>
              </w:rPr>
            </w:pPr>
          </w:p>
        </w:tc>
        <w:tc>
          <w:tcPr>
            <w:tcW w:w="2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10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860" w:type="dxa"/>
            <w:vAlign w:val="bottom"/>
            <w:gridSpan w:val="4"/>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60" w:type="dxa"/>
            <w:vAlign w:val="bottom"/>
            <w:gridSpan w:val="4"/>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20" w:type="dxa"/>
            <w:vAlign w:val="bottom"/>
            <w:gridSpan w:val="8"/>
            <w:shd w:val="clear" w:color="auto" w:fill="0000FF"/>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Inc. and Essent Reinsurance Ltd., as a combined entity, except where otherwise stated or where it is clear that the terms mean only Essent Group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Ltd. exclusive of its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right="260" w:firstLine="64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2024 filed with the Securities and Exchange Commission. These factors include, without limitation, the following:</w:t>
      </w:r>
    </w:p>
    <w:p>
      <w:pPr>
        <w:spacing w:after="0" w:line="185" w:lineRule="exact"/>
        <w:rPr>
          <w:sz w:val="20"/>
          <w:szCs w:val="20"/>
          <w:color w:val="auto"/>
        </w:rPr>
      </w:pPr>
    </w:p>
    <w:p>
      <w:pPr>
        <w:ind w:left="660" w:right="8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50"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pacing w:after="0" w:line="250" w:lineRule="exact"/>
        <w:rPr>
          <w:rFonts w:ascii="Times New Roman" w:cs="Times New Roman" w:eastAsia="Times New Roman" w:hAnsi="Times New Roman"/>
          <w:sz w:val="18"/>
          <w:szCs w:val="18"/>
          <w:color w:val="auto"/>
        </w:rPr>
      </w:pPr>
    </w:p>
    <w:p>
      <w:pPr>
        <w:ind w:left="660" w:right="28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9"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3"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10" w:lineRule="exact"/>
        <w:rPr>
          <w:sz w:val="20"/>
          <w:szCs w:val="20"/>
          <w:color w:val="auto"/>
        </w:rPr>
      </w:pPr>
    </w:p>
    <w:p>
      <w:pPr>
        <w:ind w:right="240" w:firstLine="646"/>
        <w:spacing w:after="0" w:line="265" w:lineRule="auto"/>
        <w:rPr>
          <w:sz w:val="20"/>
          <w:szCs w:val="20"/>
          <w:color w:val="auto"/>
        </w:rPr>
      </w:pPr>
      <w:r>
        <w:rPr>
          <w:rFonts w:ascii="Times New Roman" w:cs="Times New Roman" w:eastAsia="Times New Roman" w:hAnsi="Times New Roman"/>
          <w:sz w:val="18"/>
          <w:szCs w:val="18"/>
          <w:color w:val="auto"/>
        </w:rPr>
        <w:t>We intend to use our website as a means of disclosing material non-public information and for complying with our disclosure obligations under Regulation FD. Such disclosures will be included on our website in the "Events &amp; Presentations" section. Accordingly, investors should monitor such portion of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87"/>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0"/>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7"/>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40" w:type="dxa"/>
            <w:vAlign w:val="bottom"/>
          </w:tcPr>
          <w:p>
            <w:pPr>
              <w:spacing w:after="0"/>
              <w:rPr>
                <w:sz w:val="19"/>
                <w:szCs w:val="19"/>
                <w:color w:val="auto"/>
              </w:rPr>
            </w:pPr>
          </w:p>
        </w:tc>
        <w:tc>
          <w:tcPr>
            <w:tcW w:w="79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shd w:val="clear" w:color="auto" w:fill="CCEEFF"/>
          </w:tcPr>
          <w:p>
            <w:pPr>
              <w:ind w:left="260"/>
              <w:spacing w:after="0" w:line="175"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2025 — $5,643,163;</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2024 — $5,467,238)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5,449,789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5,112,697</w:t>
            </w:r>
          </w:p>
        </w:tc>
      </w:tr>
      <w:tr>
        <w:trPr>
          <w:trHeight w:val="175"/>
        </w:trPr>
        <w:tc>
          <w:tcPr>
            <w:tcW w:w="40" w:type="dxa"/>
            <w:vAlign w:val="bottom"/>
          </w:tcPr>
          <w:p>
            <w:pPr>
              <w:spacing w:after="0"/>
              <w:rPr>
                <w:sz w:val="15"/>
                <w:szCs w:val="15"/>
                <w:color w:val="auto"/>
              </w:rPr>
            </w:pPr>
          </w:p>
        </w:tc>
        <w:tc>
          <w:tcPr>
            <w:tcW w:w="8020" w:type="dxa"/>
            <w:vAlign w:val="bottom"/>
            <w:gridSpan w:val="3"/>
          </w:tcPr>
          <w:p>
            <w:pPr>
              <w:ind w:left="260"/>
              <w:spacing w:after="0" w:line="175"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2025 —</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18"/>
                <w:szCs w:val="18"/>
                <w:color w:val="auto"/>
              </w:rPr>
              <w:t>$640,076; 2024 — $763,780)</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640,076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764,024</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6,089,865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Other invested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303,900</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6,459,937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6,180,621</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131,480</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55,564</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175"/>
        </w:trPr>
        <w:tc>
          <w:tcPr>
            <w:tcW w:w="40" w:type="dxa"/>
            <w:vAlign w:val="bottom"/>
          </w:tcPr>
          <w:p>
            <w:pPr>
              <w:spacing w:after="0"/>
              <w:rPr>
                <w:sz w:val="15"/>
                <w:szCs w:val="15"/>
                <w:color w:val="auto"/>
              </w:rPr>
            </w:pPr>
          </w:p>
        </w:tc>
        <w:tc>
          <w:tcPr>
            <w:tcW w:w="802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$75,113 in 2025 and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$72,270 in 2024)</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41,871</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489,600</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79,556</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79,572</w:t>
            </w:r>
          </w:p>
        </w:tc>
      </w:tr>
      <w:tr>
        <w:trPr>
          <w:trHeight w:val="222"/>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7,351,999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328,866</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premium reserve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115,983</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392,428</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493,959</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176,755</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1,507,991</w:t>
            </w:r>
          </w:p>
        </w:tc>
      </w:tr>
      <w:tr>
        <w:trPr>
          <w:trHeight w:val="209"/>
        </w:trPr>
        <w:tc>
          <w:tcPr>
            <w:tcW w:w="40" w:type="dxa"/>
            <w:vAlign w:val="bottom"/>
          </w:tcPr>
          <w:p>
            <w:pPr>
              <w:spacing w:after="0"/>
              <w:rPr>
                <w:sz w:val="18"/>
                <w:szCs w:val="18"/>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shd w:val="clear" w:color="auto" w:fill="CCEEFF"/>
          </w:tcPr>
          <w:p>
            <w:pPr>
              <w:ind w:left="440"/>
              <w:spacing w:after="0" w:line="175" w:lineRule="exact"/>
              <w:rPr>
                <w:sz w:val="20"/>
                <w:szCs w:val="20"/>
                <w:color w:val="auto"/>
              </w:rPr>
            </w:pPr>
            <w:r>
              <w:rPr>
                <w:rFonts w:ascii="Times New Roman" w:cs="Times New Roman" w:eastAsia="Times New Roman" w:hAnsi="Times New Roman"/>
                <w:sz w:val="18"/>
                <w:szCs w:val="18"/>
                <w:color w:val="auto"/>
              </w:rPr>
              <w:t>Authorized - 233,333; issued and outstanding - 97,497 shares in 2025 and 105,015</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shares in 2024</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(303,984)</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5,132,376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4,691,111</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5,603,658</w:t>
            </w:r>
          </w:p>
        </w:tc>
      </w:tr>
      <w:tr>
        <w:trPr>
          <w:trHeight w:val="222"/>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7,351,999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727,071</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0" w:type="dxa"/>
            <w:vAlign w:val="bottom"/>
          </w:tcPr>
          <w:p>
            <w:pPr>
              <w:spacing w:after="0"/>
              <w:rPr>
                <w:sz w:val="1"/>
                <w:szCs w:val="1"/>
                <w:color w:val="auto"/>
              </w:rPr>
            </w:pPr>
          </w:p>
        </w:tc>
      </w:tr>
      <w:tr>
        <w:trPr>
          <w:trHeight w:val="22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746,417</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927,877</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267,336</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660,541</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99,038</w:t>
            </w:r>
          </w:p>
        </w:tc>
        <w:tc>
          <w:tcPr>
            <w:tcW w:w="0" w:type="dxa"/>
            <w:vAlign w:val="bottom"/>
          </w:tcPr>
          <w:p>
            <w:pPr>
              <w:spacing w:after="0"/>
              <w:rPr>
                <w:sz w:val="1"/>
                <w:szCs w:val="1"/>
                <w:color w:val="auto"/>
              </w:rPr>
            </w:pPr>
          </w:p>
        </w:tc>
      </w:tr>
      <w:tr>
        <w:trPr>
          <w:trHeight w:val="247"/>
        </w:trPr>
        <w:tc>
          <w:tcPr>
            <w:tcW w:w="5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105,539</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561,503</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8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8"/>
                <w:szCs w:val="18"/>
                <w:color w:val="auto"/>
              </w:rPr>
              <w:t>Change in unrealized appreciation of investments, net of tax</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8"/>
                <w:szCs w:val="18"/>
                <w:color w:val="auto"/>
              </w:rPr>
              <w:t>expense of $9,000 and $20,049 in the three months ended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80" w:type="dxa"/>
            <w:vAlign w:val="bottom"/>
            <w:gridSpan w:val="2"/>
          </w:tcPr>
          <w:p>
            <w:pPr>
              <w:ind w:left="340"/>
              <w:spacing w:after="0" w:line="183" w:lineRule="exact"/>
              <w:rPr>
                <w:sz w:val="20"/>
                <w:szCs w:val="20"/>
                <w:color w:val="auto"/>
              </w:rPr>
            </w:pPr>
            <w:r>
              <w:rPr>
                <w:rFonts w:ascii="Times New Roman" w:cs="Times New Roman" w:eastAsia="Times New Roman" w:hAnsi="Times New Roman"/>
                <w:sz w:val="18"/>
                <w:szCs w:val="18"/>
                <w:color w:val="auto"/>
              </w:rPr>
              <w:t>September 30, 2025 and 2024, and $22,365 and $15,335 in the</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nine months ended September 30, 2025 and 2024, respectively.</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0" w:type="dxa"/>
            <w:vAlign w:val="bottom"/>
          </w:tcPr>
          <w:p>
            <w:pPr>
              <w:spacing w:after="0"/>
              <w:rPr>
                <w:sz w:val="1"/>
                <w:szCs w:val="1"/>
                <w:color w:val="auto"/>
              </w:rPr>
            </w:pPr>
          </w:p>
        </w:tc>
      </w:tr>
      <w:tr>
        <w:trPr>
          <w:trHeight w:val="222"/>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673,546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651,720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(45,184)</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1,276,572</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(190,279)</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0" w:type="dxa"/>
            <w:vAlign w:val="bottom"/>
          </w:tcPr>
          <w:p>
            <w:pPr>
              <w:spacing w:after="0"/>
              <w:rPr>
                <w:sz w:val="1"/>
                <w:szCs w:val="1"/>
                <w:color w:val="auto"/>
              </w:rPr>
            </w:pPr>
          </w:p>
        </w:tc>
      </w:tr>
      <w:tr>
        <w:trPr>
          <w:trHeight w:val="222"/>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4,553,099</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5,640,985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534,987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561,503</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other invested assets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20,568</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29,942</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634,827</w:t>
            </w:r>
          </w:p>
        </w:tc>
        <w:tc>
          <w:tcPr>
            <w:tcW w:w="0" w:type="dxa"/>
            <w:vAlign w:val="bottom"/>
          </w:tcPr>
          <w:p>
            <w:pPr>
              <w:spacing w:after="0"/>
              <w:rPr>
                <w:sz w:val="1"/>
                <w:szCs w:val="1"/>
                <w:color w:val="auto"/>
              </w:rPr>
            </w:pPr>
          </w:p>
        </w:tc>
      </w:tr>
      <w:tr>
        <w:trPr>
          <w:trHeight w:val="90"/>
        </w:trPr>
        <w:tc>
          <w:tcPr>
            <w:tcW w:w="7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(101,900)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(1,094,973)</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maturity and paydowns of investments available for sale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328,950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298,571</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w:t>
            </w: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(599,021)</w:t>
            </w:r>
          </w:p>
        </w:tc>
        <w:tc>
          <w:tcPr>
            <w:tcW w:w="0" w:type="dxa"/>
            <w:vAlign w:val="bottom"/>
          </w:tcPr>
          <w:p>
            <w:pPr>
              <w:spacing w:after="0"/>
              <w:rPr>
                <w:sz w:val="1"/>
                <w:szCs w:val="1"/>
                <w:color w:val="auto"/>
              </w:rPr>
            </w:pPr>
          </w:p>
        </w:tc>
      </w:tr>
      <w:tr>
        <w:trPr>
          <w:trHeight w:val="90"/>
        </w:trPr>
        <w:tc>
          <w:tcPr>
            <w:tcW w:w="7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Issuance of senior notes</w:t>
            </w:r>
          </w:p>
        </w:tc>
        <w:tc>
          <w:tcPr>
            <w:tcW w:w="3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498,160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Credit facility repayments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(45,197)</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(92,585)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(88,656)</w:t>
            </w: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(68,287)</w:t>
            </w:r>
          </w:p>
        </w:tc>
        <w:tc>
          <w:tcPr>
            <w:tcW w:w="0" w:type="dxa"/>
            <w:vAlign w:val="bottom"/>
          </w:tcPr>
          <w:p>
            <w:pPr>
              <w:spacing w:after="0"/>
              <w:rPr>
                <w:sz w:val="1"/>
                <w:szCs w:val="1"/>
                <w:color w:val="auto"/>
              </w:rPr>
            </w:pPr>
          </w:p>
        </w:tc>
      </w:tr>
      <w:tr>
        <w:trPr>
          <w:trHeight w:val="90"/>
        </w:trPr>
        <w:tc>
          <w:tcPr>
            <w:tcW w:w="7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(90,531)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(72,338)</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w:t>
            </w:r>
          </w:p>
        </w:tc>
        <w:tc>
          <w:tcPr>
            <w:tcW w:w="0" w:type="dxa"/>
            <w:vAlign w:val="bottom"/>
          </w:tcPr>
          <w:p>
            <w:pPr>
              <w:spacing w:after="0"/>
              <w:rPr>
                <w:sz w:val="1"/>
                <w:szCs w:val="1"/>
                <w:color w:val="auto"/>
              </w:rPr>
            </w:pPr>
          </w:p>
        </w:tc>
      </w:tr>
      <w:tr>
        <w:trPr>
          <w:trHeight w:val="108"/>
        </w:trPr>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Excise taxes payable for share repurchases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&amp; equipment included in other liabilities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20" w:firstLine="646"/>
        <w:spacing w:after="0" w:line="280"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7" w:lineRule="exact"/>
        <w:rPr>
          <w:sz w:val="20"/>
          <w:szCs w:val="20"/>
          <w:color w:val="auto"/>
        </w:rPr>
      </w:pPr>
    </w:p>
    <w:p>
      <w:pPr>
        <w:ind w:right="220" w:firstLine="646"/>
        <w:spacing w:after="0" w:line="259"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0" w:lineRule="exact"/>
        <w:rPr>
          <w:sz w:val="20"/>
          <w:szCs w:val="20"/>
          <w:color w:val="auto"/>
        </w:rPr>
      </w:pPr>
    </w:p>
    <w:p>
      <w:pPr>
        <w:ind w:right="220" w:firstLine="646"/>
        <w:spacing w:after="0" w:line="287" w:lineRule="auto"/>
        <w:rPr>
          <w:sz w:val="20"/>
          <w:szCs w:val="20"/>
          <w:color w:val="auto"/>
        </w:rPr>
      </w:pPr>
      <w:r>
        <w:rPr>
          <w:rFonts w:ascii="Times New Roman" w:cs="Times New Roman" w:eastAsia="Times New Roman" w:hAnsi="Times New Roman"/>
          <w:sz w:val="17"/>
          <w:szCs w:val="17"/>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7" w:lineRule="exact"/>
        <w:rPr>
          <w:sz w:val="20"/>
          <w:szCs w:val="20"/>
          <w:color w:val="auto"/>
        </w:rPr>
      </w:pPr>
    </w:p>
    <w:p>
      <w:pPr>
        <w:ind w:right="200" w:firstLine="646"/>
        <w:spacing w:after="0" w:line="259"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Essent Re also provides insurance and reinsurance to Freddie Mac and Fannie Mae. The following table summarizes the quota share reinsurance coverage that Essent Re has provided to Essent Guaranty for the respective NIW periods: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96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9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9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80" w:firstLine="646"/>
        <w:spacing w:after="0" w:line="280" w:lineRule="auto"/>
        <w:rPr>
          <w:sz w:val="20"/>
          <w:szCs w:val="20"/>
          <w:color w:val="auto"/>
        </w:rPr>
      </w:pPr>
      <w:r>
        <w:rPr>
          <w:rFonts w:ascii="Times New Roman" w:cs="Times New Roman" w:eastAsia="Times New Roman" w:hAnsi="Times New Roman"/>
          <w:sz w:val="18"/>
          <w:szCs w:val="18"/>
          <w:color w:val="auto"/>
        </w:rPr>
        <w:t>In 2016, Essent Re formed Essent Agency (Bermuda) Ltd., a wholly-owned subsidiary, which provides underwriting consulting services to third-party reinsurers.</w:t>
      </w:r>
    </w:p>
    <w:p>
      <w:pPr>
        <w:spacing w:after="0" w:line="190"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also reinsured that portion of the risk that is in excess of 25% of the mortgage balance with respect to any loan insured prior to April 1, 2019, after consideration of other reinsurance, to Essent Guaranty of PA, Inc. (“Essent PA”), an affiliate domiciled in the state of Pennsylvania.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210" w:lineRule="exact"/>
        <w:rPr>
          <w:sz w:val="20"/>
          <w:szCs w:val="20"/>
          <w:color w:val="auto"/>
        </w:rPr>
      </w:pPr>
    </w:p>
    <w:p>
      <w:pPr>
        <w:ind w:right="380" w:firstLine="646"/>
        <w:spacing w:after="0" w:line="259"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10" w:lineRule="exact"/>
        <w:rPr>
          <w:sz w:val="20"/>
          <w:szCs w:val="20"/>
          <w:color w:val="auto"/>
        </w:rPr>
      </w:pPr>
    </w:p>
    <w:p>
      <w:pPr>
        <w:jc w:val="both"/>
        <w:ind w:right="340" w:firstLine="646"/>
        <w:spacing w:after="0" w:line="265" w:lineRule="auto"/>
        <w:rPr>
          <w:sz w:val="20"/>
          <w:szCs w:val="20"/>
          <w:color w:val="auto"/>
        </w:rPr>
      </w:pPr>
      <w:r>
        <w:rPr>
          <w:rFonts w:ascii="Times New Roman" w:cs="Times New Roman" w:eastAsia="Times New Roman" w:hAnsi="Times New Roman"/>
          <w:sz w:val="18"/>
          <w:szCs w:val="18"/>
          <w:color w:val="auto"/>
        </w:rPr>
        <w:t>As a result of our acquisitions of Agents National Title Insurance Company (renamed Essent Title Insurance, Inc. effective January 1, 2025) and Boston National Holdings LLC on July 1, 2023, we now offer title insurance products and title and settlement services. Our title insurance operations are headquartered in Radnor, Pennsylvania, with additional locations in Columbia, Missouri and Pittsburgh, Pennsylvania.</w:t>
      </w: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right="40" w:firstLine="404"/>
        <w:spacing w:after="0" w:line="276" w:lineRule="auto"/>
        <w:rPr>
          <w:sz w:val="20"/>
          <w:szCs w:val="20"/>
          <w:color w:val="auto"/>
        </w:rPr>
      </w:pPr>
      <w:r>
        <w:rPr>
          <w:rFonts w:ascii="Times New Roman" w:cs="Times New Roman" w:eastAsia="Times New Roman" w:hAnsi="Times New Roman"/>
          <w:sz w:val="17"/>
          <w:szCs w:val="17"/>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mortgage risk share”) and provide underwriting consulting services to third-party reinsurers.</w:t>
      </w:r>
    </w:p>
    <w:p>
      <w:pPr>
        <w:spacing w:after="0" w:line="87" w:lineRule="exact"/>
        <w:rPr>
          <w:sz w:val="20"/>
          <w:szCs w:val="20"/>
          <w:color w:val="auto"/>
        </w:rPr>
      </w:pPr>
    </w:p>
    <w:p>
      <w:pPr>
        <w:ind w:right="80" w:firstLine="646"/>
        <w:spacing w:after="0" w:line="253"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2024,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2025 prior to the issuance of these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45" w:lineRule="exact"/>
        <w:rPr>
          <w:sz w:val="20"/>
          <w:szCs w:val="20"/>
          <w:color w:val="auto"/>
        </w:rPr>
      </w:pPr>
    </w:p>
    <w:p>
      <w:pPr>
        <w:ind w:right="60" w:firstLine="404"/>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w:t>
      </w:r>
    </w:p>
    <w:p>
      <w:pPr>
        <w:spacing w:after="0" w:line="116"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 beginning after December 15, 2027. The Company is currently evaluating the impact that the ASU will have on our consolidated financial statements.</w:t>
      </w:r>
    </w:p>
    <w:p>
      <w:pPr>
        <w:spacing w:after="0" w:line="121"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Accounting Standard Update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 (In thousands)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4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388,029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1,256,150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646,318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1,970,553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488,453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640,076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6,283,239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6,089,865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4"/>
        </w:trPr>
        <w:tc>
          <w:tcPr>
            <w:tcW w:w="44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561,853</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(123,865)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(11,833)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1,887,647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(42,054)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(358,452)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1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6"/>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80" w:firstLine="646"/>
        <w:spacing w:after="0" w:line="259"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September 30, 2025,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3"/>
                <w:szCs w:val="13"/>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2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6"/>
                <w:szCs w:val="16"/>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137,943</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209,870</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22,195</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382,791</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89,416</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142,643</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361,341</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613,089</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63,142</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149,673</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618,712</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996,383</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166,152</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1,970,553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1,930,920</w:t>
            </w:r>
          </w:p>
        </w:tc>
        <w:tc>
          <w:tcPr>
            <w:tcW w:w="0" w:type="dxa"/>
            <w:vAlign w:val="bottom"/>
          </w:tcPr>
          <w:p>
            <w:pPr>
              <w:spacing w:after="0"/>
              <w:rPr>
                <w:sz w:val="1"/>
                <w:szCs w:val="1"/>
                <w:color w:val="auto"/>
              </w:rPr>
            </w:pPr>
          </w:p>
        </w:tc>
      </w:tr>
      <w:tr>
        <w:trPr>
          <w:trHeight w:val="222"/>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1,178,691</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463,344</w:t>
            </w:r>
          </w:p>
        </w:tc>
        <w:tc>
          <w:tcPr>
            <w:tcW w:w="0" w:type="dxa"/>
            <w:vAlign w:val="bottom"/>
          </w:tcPr>
          <w:p>
            <w:pPr>
              <w:spacing w:after="0"/>
              <w:rPr>
                <w:sz w:val="1"/>
                <w:szCs w:val="1"/>
                <w:color w:val="auto"/>
              </w:rPr>
            </w:pPr>
          </w:p>
        </w:tc>
      </w:tr>
      <w:tr>
        <w:trPr>
          <w:trHeight w:val="222"/>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817,812</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640,076</w:t>
            </w:r>
          </w:p>
        </w:tc>
        <w:tc>
          <w:tcPr>
            <w:tcW w:w="0" w:type="dxa"/>
            <w:vAlign w:val="bottom"/>
          </w:tcPr>
          <w:p>
            <w:pPr>
              <w:spacing w:after="0"/>
              <w:rPr>
                <w:sz w:val="1"/>
                <w:szCs w:val="1"/>
                <w:color w:val="auto"/>
              </w:rPr>
            </w:pPr>
          </w:p>
        </w:tc>
      </w:tr>
      <w:tr>
        <w:trPr>
          <w:trHeight w:val="247"/>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6,089,865</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60" w:firstLine="646"/>
        <w:spacing w:after="0" w:line="280"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 (In thousands)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(56,447)</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0" w:type="dxa"/>
            <w:vAlign w:val="bottom"/>
          </w:tcPr>
          <w:p>
            <w:pPr>
              <w:spacing w:after="0"/>
              <w:rPr>
                <w:sz w:val="1"/>
                <w:szCs w:val="1"/>
                <w:color w:val="auto"/>
              </w:rPr>
            </w:pPr>
          </w:p>
        </w:tc>
      </w:tr>
      <w:tr>
        <w:trPr>
          <w:trHeight w:val="22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2,458,107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3,004,753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(227,220)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24"/>
                <w:szCs w:val="24"/>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(105,665)</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22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2,567,865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(308,438)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4,522,160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(358,452)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At September 30, 2025 and December 31, 2024, we held 1,807 and 2,481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September 30, 2025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99% of the securities at September 30, 2025 had investment-grade ratings. We concluded that gross unrealized losses noted above were primarily associated with the changes in interest rates subsequent to purchase rather than due to credit impairment. There was less than $40 thousand of impairments recorded in the three and nine months ended September 30, 2025 and $0.5 million recorded during the three and nine months ended September 30, 2024, due to our intent to sell securities in an unrealized loss position.</w:t>
      </w:r>
    </w:p>
    <w:p>
      <w:pPr>
        <w:spacing w:after="0" w:line="216"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The Company's other invested assets at September 30, 2025 and December 31, 2024 totaled $370.1 million and $303.9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$178.1 million as of September 30, 2025 and $171.7 million as of December 31, 2024. The majority of these investments were in limited partnerships invested primarily in real estate and technology. At September 30, 2025, maximum future funding commitments were $42.5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consent from the general partner of individual limited partnerships.</w:t>
      </w:r>
    </w:p>
    <w:p>
      <w:pPr>
        <w:spacing w:after="0" w:line="215" w:lineRule="exact"/>
        <w:rPr>
          <w:sz w:val="20"/>
          <w:szCs w:val="20"/>
          <w:color w:val="auto"/>
        </w:rPr>
      </w:pPr>
    </w:p>
    <w:p>
      <w:pPr>
        <w:ind w:right="220" w:firstLine="646"/>
        <w:spacing w:after="0" w:line="257"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$8.7 million at September 30, 2025 and $9.3 million at December 31, 2024. In connection with its insurance and reinsurance activities, Essent Re is required to maintain assets in trusts for the benefit of its contractual counterparties. The fair value of the investments on deposit in these trusts was $1.0 billion at September 30, 2025 and $983.5 million at December 31, 2024. Essent Guaranty is also required to maintain assets on deposit for the benefit of the sponsor of a fixed income investment commitment. The fair value of the assets on deposit was $5.1 million at September 30, 2025 and $9.3 million at December 31, 2024.</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44,828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136,485</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13,786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58,614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169,244</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47"/>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7" w:lineRule="exact"/>
        <w:rPr>
          <w:sz w:val="20"/>
          <w:szCs w:val="20"/>
          <w:color w:val="auto"/>
        </w:rPr>
      </w:pPr>
    </w:p>
    <w:p>
      <w:pPr>
        <w:ind w:right="240" w:firstLine="646"/>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3"/>
        </w:trPr>
        <w:tc>
          <w:tcPr>
            <w:tcW w:w="2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9"/>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280,796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277,754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828,062</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819,595</w:t>
            </w:r>
          </w:p>
        </w:tc>
      </w:tr>
      <w:tr>
        <w:trPr>
          <w:trHeight w:val="229"/>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(38,968)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(106,475)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(92,524)</w:t>
            </w:r>
          </w:p>
        </w:tc>
      </w:tr>
      <w:tr>
        <w:trPr>
          <w:trHeight w:val="222"/>
        </w:trPr>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241,828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242,965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8"/>
                <w:szCs w:val="18"/>
                <w:color w:val="auto"/>
                <w:w w:val="99"/>
              </w:rPr>
              <w:t>721,587</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727,071</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6"/>
        </w:trPr>
        <w:tc>
          <w:tcPr>
            <w:tcW w:w="218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285,300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283,725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9"/>
              </w:rPr>
              <w:t>847,464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838,941</w:t>
            </w:r>
          </w:p>
        </w:tc>
      </w:tr>
      <w:tr>
        <w:trPr>
          <w:trHeight w:val="229"/>
        </w:trPr>
        <w:tc>
          <w:tcPr>
            <w:tcW w:w="52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(38,968)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w w:val="99"/>
              </w:rPr>
              <w:t>(106,475)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(92,524)</w:t>
            </w:r>
          </w:p>
        </w:tc>
      </w:tr>
      <w:tr>
        <w:trPr>
          <w:trHeight w:val="247"/>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246,332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248,936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9"/>
              </w:rPr>
              <w:t>740,989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746,417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4" w:lineRule="exact"/>
        <w:rPr>
          <w:sz w:val="20"/>
          <w:szCs w:val="20"/>
          <w:color w:val="auto"/>
        </w:rPr>
      </w:pPr>
    </w:p>
    <w:p>
      <w:pPr>
        <w:ind w:right="320" w:firstLine="179"/>
        <w:spacing w:after="0" w:line="276" w:lineRule="auto"/>
        <w:rPr>
          <w:sz w:val="20"/>
          <w:szCs w:val="20"/>
          <w:color w:val="auto"/>
        </w:rPr>
      </w:pPr>
      <w:r>
        <w:rPr>
          <w:rFonts w:ascii="Times New Roman" w:cs="Times New Roman" w:eastAsia="Times New Roman" w:hAnsi="Times New Roman"/>
          <w:sz w:val="17"/>
          <w:szCs w:val="17"/>
          <w:color w:val="auto"/>
        </w:rPr>
        <w:t>Essent Guaranty has entered into quota share reinsurance agreements with panels of third-party reinsurers ("QSR" agreements). Each of the third-party reinsurers has a financial strength rating of A- or better by S&amp;P Global Ratings, A.M. Best Ratings Services, Inc.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September 30, 2025:</w:t>
      </w:r>
    </w:p>
    <w:p>
      <w:pPr>
        <w:spacing w:after="0" w:line="27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8080" w:type="dxa"/>
            <w:vAlign w:val="bottom"/>
            <w:gridSpan w:val="3"/>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Ceding</w:t>
            </w:r>
          </w:p>
        </w:tc>
        <w:tc>
          <w:tcPr>
            <w:tcW w:w="0" w:type="dxa"/>
            <w:vAlign w:val="bottom"/>
          </w:tcPr>
          <w:p>
            <w:pPr>
              <w:spacing w:after="0"/>
              <w:rPr>
                <w:sz w:val="1"/>
                <w:szCs w:val="1"/>
                <w:color w:val="auto"/>
              </w:rPr>
            </w:pPr>
          </w:p>
        </w:tc>
      </w:tr>
      <w:tr>
        <w:trPr>
          <w:trHeight w:val="194"/>
        </w:trPr>
        <w:tc>
          <w:tcPr>
            <w:tcW w:w="1780" w:type="dxa"/>
            <w:vAlign w:val="bottom"/>
            <w:gridSpan w:val="2"/>
            <w:vMerge w:val="continue"/>
          </w:tcPr>
          <w:p>
            <w:pPr>
              <w:spacing w:after="0"/>
              <w:rPr>
                <w:sz w:val="16"/>
                <w:szCs w:val="16"/>
                <w:color w:val="auto"/>
              </w:rPr>
            </w:pPr>
          </w:p>
        </w:tc>
        <w:tc>
          <w:tcPr>
            <w:tcW w:w="8080" w:type="dxa"/>
            <w:vAlign w:val="bottom"/>
            <w:gridSpan w:val="3"/>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0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QSR-2022</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QSR-2023</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QSR-2024</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QSR-2025</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w:t>
      </w:r>
    </w:p>
    <w:p>
      <w:pPr>
        <w:spacing w:after="0" w:line="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Total risk in force (RIF) ceded under the QSR agreements was $9.9 billion as of September 30, 2025. During the first quarter of 2025, Essent also entered into a forward quota share transaction covering 25% of the risk of all eligible policies written by Essent Guaranty, Inc. in calendar year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4" w:lineRule="exact"/>
        <w:rPr>
          <w:sz w:val="20"/>
          <w:szCs w:val="20"/>
          <w:color w:val="auto"/>
        </w:rPr>
      </w:pPr>
    </w:p>
    <w:p>
      <w:pPr>
        <w:ind w:right="120" w:firstLine="646"/>
        <w:spacing w:after="0" w:line="252"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19" w:lineRule="exact"/>
        <w:rPr>
          <w:sz w:val="20"/>
          <w:szCs w:val="20"/>
          <w:color w:val="auto"/>
        </w:rPr>
      </w:pPr>
    </w:p>
    <w:p>
      <w:pPr>
        <w:ind w:right="200" w:firstLine="404"/>
        <w:spacing w:after="0" w:line="257" w:lineRule="auto"/>
        <w:rPr>
          <w:sz w:val="20"/>
          <w:szCs w:val="20"/>
          <w:color w:val="auto"/>
        </w:rPr>
      </w:pPr>
      <w:r>
        <w:rPr>
          <w:rFonts w:ascii="Times New Roman" w:cs="Times New Roman" w:eastAsia="Times New Roman" w:hAnsi="Times New Roman"/>
          <w:sz w:val="18"/>
          <w:szCs w:val="18"/>
          <w:color w:val="auto"/>
        </w:rPr>
        <w:t>Essent Guaranty has also entered into reinsurance agreements with panels of reinsurers that provide excess of loss coverage on new insurance written from January 1, 2018 through August 31, 2019 and from October 1, 2021 through December 31, 2025.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coverages and retentions provided by insurance linked notes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2"/>
                <w:szCs w:val="12"/>
                <w:color w:val="auto"/>
              </w:rPr>
            </w:pPr>
          </w:p>
        </w:tc>
        <w:tc>
          <w:tcPr>
            <w:tcW w:w="102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0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5"/>
        </w:trPr>
        <w:tc>
          <w:tcPr>
            <w:tcW w:w="1740" w:type="dxa"/>
            <w:vAlign w:val="bottom"/>
            <w:vMerge w:val="continue"/>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60" w:type="dxa"/>
            <w:vAlign w:val="bottom"/>
          </w:tcPr>
          <w:p>
            <w:pPr>
              <w:spacing w:after="0"/>
              <w:rPr>
                <w:sz w:val="16"/>
                <w:szCs w:val="16"/>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0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2021-1</w:t>
            </w: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 2020 - Mar.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19,739,682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5,468,250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276,517</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26, 2028</w:t>
            </w:r>
          </w:p>
        </w:tc>
        <w:tc>
          <w:tcPr>
            <w:tcW w:w="0" w:type="dxa"/>
            <w:vAlign w:val="bottom"/>
          </w:tcPr>
          <w:p>
            <w:pPr>
              <w:spacing w:after="0"/>
              <w:rPr>
                <w:sz w:val="1"/>
                <w:szCs w:val="1"/>
                <w:color w:val="auto"/>
              </w:rPr>
            </w:pPr>
          </w:p>
        </w:tc>
      </w:tr>
      <w:tr>
        <w:trPr>
          <w:trHeight w:val="213"/>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2021-2</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Apr. 2021 - Sep. 2021</w:t>
            </w:r>
          </w:p>
        </w:tc>
        <w:tc>
          <w:tcPr>
            <w:tcW w:w="1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25,483,612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7,221,803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273,314</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2027</w:t>
            </w:r>
          </w:p>
        </w:tc>
        <w:tc>
          <w:tcPr>
            <w:tcW w:w="0" w:type="dxa"/>
            <w:vAlign w:val="bottom"/>
          </w:tcPr>
          <w:p>
            <w:pPr>
              <w:spacing w:after="0"/>
              <w:rPr>
                <w:sz w:val="1"/>
                <w:szCs w:val="1"/>
                <w:color w:val="auto"/>
              </w:rPr>
            </w:pPr>
          </w:p>
        </w:tc>
      </w:tr>
      <w:tr>
        <w:trPr>
          <w:trHeight w:val="218"/>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2022-1</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 2021 - Jul. 2022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25,108,189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6,942,042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295,115</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2028</w:t>
            </w:r>
          </w:p>
        </w:tc>
        <w:tc>
          <w:tcPr>
            <w:tcW w:w="0" w:type="dxa"/>
            <w:vAlign w:val="bottom"/>
          </w:tcPr>
          <w:p>
            <w:pPr>
              <w:spacing w:after="0"/>
              <w:rPr>
                <w:sz w:val="1"/>
                <w:szCs w:val="1"/>
                <w:color w:val="auto"/>
              </w:rPr>
            </w:pPr>
          </w:p>
        </w:tc>
      </w:tr>
      <w:tr>
        <w:trPr>
          <w:trHeight w:val="213"/>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2023-1</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 2022 - Jun. 2023</w:t>
            </w:r>
          </w:p>
        </w:tc>
        <w:tc>
          <w:tcPr>
            <w:tcW w:w="1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25,659,356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7,054,365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274,987</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25, 2028</w:t>
            </w:r>
          </w:p>
        </w:tc>
        <w:tc>
          <w:tcPr>
            <w:tcW w:w="0" w:type="dxa"/>
            <w:vAlign w:val="bottom"/>
          </w:tcPr>
          <w:p>
            <w:pPr>
              <w:spacing w:after="0"/>
              <w:rPr>
                <w:sz w:val="1"/>
                <w:szCs w:val="1"/>
                <w:color w:val="auto"/>
              </w:rPr>
            </w:pPr>
          </w:p>
        </w:tc>
      </w:tr>
      <w:tr>
        <w:trPr>
          <w:trHeight w:val="215"/>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2024-1</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2023 - Jul. 2024</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26,433,237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7,318,400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255,938</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2029</w:t>
            </w:r>
          </w:p>
        </w:tc>
        <w:tc>
          <w:tcPr>
            <w:tcW w:w="0" w:type="dxa"/>
            <w:vAlign w:val="bottom"/>
          </w:tcPr>
          <w:p>
            <w:pPr>
              <w:spacing w:after="0"/>
              <w:rPr>
                <w:sz w:val="1"/>
                <w:szCs w:val="1"/>
                <w:color w:val="auto"/>
              </w:rPr>
            </w:pPr>
          </w:p>
        </w:tc>
      </w:tr>
      <w:tr>
        <w:trPr>
          <w:trHeight w:val="211"/>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122,424,076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34,004,860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973,915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1,375,871</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3"/>
                <w:szCs w:val="13"/>
                <w:color w:val="auto"/>
              </w:rPr>
            </w:pPr>
          </w:p>
        </w:tc>
        <w:tc>
          <w:tcPr>
            <w:tcW w:w="1000" w:type="dxa"/>
            <w:vAlign w:val="bottom"/>
          </w:tcPr>
          <w:p>
            <w:pPr>
              <w:jc w:val="center"/>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00" w:type="dxa"/>
            <w:vAlign w:val="bottom"/>
          </w:tcPr>
          <w:p>
            <w:pPr>
              <w:spacing w:after="0"/>
              <w:rPr>
                <w:sz w:val="11"/>
                <w:szCs w:val="11"/>
                <w:color w:val="auto"/>
              </w:rPr>
            </w:pPr>
          </w:p>
        </w:tc>
        <w:tc>
          <w:tcPr>
            <w:tcW w:w="11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1"/>
                <w:szCs w:val="11"/>
                <w:color w:val="auto"/>
              </w:rPr>
            </w:pPr>
          </w:p>
        </w:tc>
        <w:tc>
          <w:tcPr>
            <w:tcW w:w="1000" w:type="dxa"/>
            <w:vAlign w:val="bottom"/>
          </w:tcPr>
          <w:p>
            <w:pPr>
              <w:jc w:val="center"/>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0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88"/>
        </w:trPr>
        <w:tc>
          <w:tcPr>
            <w:tcW w:w="1660" w:type="dxa"/>
            <w:vAlign w:val="bottom"/>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60" w:type="dxa"/>
            <w:vAlign w:val="bottom"/>
          </w:tcPr>
          <w:p>
            <w:pPr>
              <w:spacing w:after="0"/>
              <w:rPr>
                <w:sz w:val="16"/>
                <w:szCs w:val="16"/>
                <w:color w:val="auto"/>
              </w:rPr>
            </w:pPr>
          </w:p>
        </w:tc>
        <w:tc>
          <w:tcPr>
            <w:tcW w:w="10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2019-1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 2018 - Dec. 2018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3,917,343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241,999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25, 2026</w:t>
            </w:r>
          </w:p>
        </w:tc>
        <w:tc>
          <w:tcPr>
            <w:tcW w:w="0" w:type="dxa"/>
            <w:vAlign w:val="bottom"/>
          </w:tcPr>
          <w:p>
            <w:pPr>
              <w:spacing w:after="0"/>
              <w:rPr>
                <w:sz w:val="1"/>
                <w:szCs w:val="1"/>
                <w:color w:val="auto"/>
              </w:rPr>
            </w:pPr>
          </w:p>
        </w:tc>
      </w:t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2020-1</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Jan. 2019 - Aug. 2019</w:t>
            </w: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5,062,931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210,860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25, 2027</w:t>
            </w:r>
          </w:p>
        </w:tc>
        <w:tc>
          <w:tcPr>
            <w:tcW w:w="0" w:type="dxa"/>
            <w:vAlign w:val="bottom"/>
          </w:tcPr>
          <w:p>
            <w:pPr>
              <w:spacing w:after="0"/>
              <w:rPr>
                <w:sz w:val="1"/>
                <w:szCs w:val="1"/>
                <w:color w:val="auto"/>
              </w:rPr>
            </w:pPr>
          </w:p>
        </w:tc>
      </w:tr>
      <w:tr>
        <w:trPr>
          <w:trHeight w:val="218"/>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2022-1</w:t>
            </w: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Oct. 2021 - Dec. 2022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57,047,820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15,687,589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141,992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480,893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2023-1</w:t>
            </w: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Jan. 2023 - Dec. 2023</w:t>
            </w: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33,592,906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9,329,166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361,520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2029</w:t>
            </w:r>
          </w:p>
        </w:tc>
        <w:tc>
          <w:tcPr>
            <w:tcW w:w="0" w:type="dxa"/>
            <w:vAlign w:val="bottom"/>
          </w:tcPr>
          <w:p>
            <w:pPr>
              <w:spacing w:after="0"/>
              <w:rPr>
                <w:sz w:val="1"/>
                <w:szCs w:val="1"/>
                <w:color w:val="auto"/>
              </w:rPr>
            </w:pPr>
          </w:p>
        </w:tc>
      </w:tr>
      <w:tr>
        <w:trPr>
          <w:trHeight w:val="218"/>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2024-1</w:t>
            </w:r>
          </w:p>
        </w:tc>
        <w:tc>
          <w:tcPr>
            <w:tcW w:w="2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Jan. 2024 - Dec. 2024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37,239,040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58,005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330,808</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2025-1</w:t>
            </w: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Jan. 2025 - Dec. 2025</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33,292,085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8,918,226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62,428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2031</w:t>
            </w:r>
          </w:p>
        </w:tc>
        <w:tc>
          <w:tcPr>
            <w:tcW w:w="0" w:type="dxa"/>
            <w:vAlign w:val="bottom"/>
          </w:tcPr>
          <w:p>
            <w:pPr>
              <w:spacing w:after="0"/>
              <w:rPr>
                <w:sz w:val="1"/>
                <w:szCs w:val="1"/>
                <w:color w:val="auto"/>
              </w:rPr>
            </w:pPr>
          </w:p>
        </w:tc>
      </w:tr>
      <w:tr>
        <w:trPr>
          <w:trHeight w:val="211"/>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170,152,125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46,553,622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404,348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1,891,780</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In April 2025, Essent entered into two excess of loss transactions, effective July 1 of each year, with panels of highly rated third-party reinsurers covering 20% of all eligible policies written by Essent Guaranty, Inc. in calendar years 2025 and 2026.</w:t>
      </w:r>
    </w:p>
    <w:p>
      <w:pPr>
        <w:spacing w:after="0" w:line="202" w:lineRule="exact"/>
        <w:rPr>
          <w:sz w:val="20"/>
          <w:szCs w:val="20"/>
          <w:color w:val="auto"/>
        </w:rPr>
      </w:pPr>
    </w:p>
    <w:p>
      <w:pPr>
        <w:ind w:right="160" w:firstLine="646"/>
        <w:spacing w:after="0" w:line="259"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210" w:lineRule="exact"/>
        <w:rPr>
          <w:sz w:val="20"/>
          <w:szCs w:val="20"/>
          <w:color w:val="auto"/>
        </w:rPr>
      </w:pPr>
    </w:p>
    <w:p>
      <w:pPr>
        <w:ind w:right="40" w:firstLine="646"/>
        <w:spacing w:after="0" w:line="252"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that could be potentially significant to these entities, the Radnor Re entities are not consolidated in these financial statements.</w:t>
      </w:r>
    </w:p>
    <w:p>
      <w:pPr>
        <w:spacing w:after="0" w:line="250" w:lineRule="exact"/>
        <w:rPr>
          <w:sz w:val="20"/>
          <w:szCs w:val="20"/>
          <w:color w:val="auto"/>
        </w:rPr>
      </w:pPr>
    </w:p>
    <w:p>
      <w:pPr>
        <w:ind w:right="120" w:firstLine="646"/>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September 30,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4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209,214</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140,407</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227,315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2024-1 Ltd.</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282,240</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973,915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40" w:firstLine="404"/>
        <w:spacing w:after="0" w:line="311" w:lineRule="auto"/>
        <w:rPr>
          <w:sz w:val="20"/>
          <w:szCs w:val="20"/>
          <w:color w:val="auto"/>
        </w:rPr>
      </w:pPr>
      <w:r>
        <w:rPr>
          <w:rFonts w:ascii="Times New Roman" w:cs="Times New Roman" w:eastAsia="Times New Roman" w:hAnsi="Times New Roman"/>
          <w:sz w:val="17"/>
          <w:szCs w:val="17"/>
          <w:color w:val="auto"/>
        </w:rPr>
        <w:t>The assets of the Radnor Re entities are the source of reinsurance claim payments to Essent Guaranty and provide capital relief under the PMIERs financial strength requirements (see Note 14). A decline in the assets available to pay claims would reduce the capital relief available to Essent Guaranty.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nine months ended September 30: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7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r>
      <w:tr>
        <w:trPr>
          <w:trHeight w:val="20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124,180</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(83,935)</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w:t>
            </w:r>
          </w:p>
        </w:tc>
      </w:tr>
      <w:tr>
        <w:trPr>
          <w:trHeight w:val="20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17,062</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r>
      <w:tr>
        <w:trPr>
          <w:trHeight w:val="22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257,350</w:t>
            </w: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30,966</w:t>
            </w:r>
          </w:p>
        </w:tc>
      </w:tr>
      <w:tr>
        <w:trPr>
          <w:trHeight w:val="22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288,316</w:t>
            </w: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right="160" w:firstLine="646"/>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2025, $35.4 million was paid for incurred claims and claim adjustment expenses attributable to insured events of prior years. There has been $66.2 million of favorable prior year development during the nine months ended September 30, 2025. Net reserves remaining as of September 30, 2025 for prior years are $190.6 million as a result of re-estimation of unpaid losses and loss adjustment expenses. For the nine months ended September 30, 2024, $17.1 million was paid for incurred claims and claim adjustment expenses attributable to insured events of prior years. There was $83.9 million of favorable prior year development during the nine months ended September 30, 2024. Net reserves remaining as of September 30, 2024 for prior years were $135.0 million as a result of re-estimation of unpaid losses and loss adjustment expenses. In both periods, the favorable prior years' loss development was the result of a re-estimation of amounts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95" w:lineRule="exact"/>
        <w:rPr>
          <w:sz w:val="20"/>
          <w:szCs w:val="20"/>
          <w:color w:val="auto"/>
        </w:rPr>
      </w:pPr>
    </w:p>
    <w:p>
      <w:pPr>
        <w:ind w:right="60" w:firstLine="404"/>
        <w:spacing w:after="0" w:line="252"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at December 31, 2024 included 2,119 defaults that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 As of September 30, 2025, the reserves established for the Hurricane Milton and Helene defaults are materially unchanged from December 31, 2024 as this amount continues to be our best estimate of the ultimate losses to be incurred for claims associated with those defaults.</w:t>
      </w:r>
    </w:p>
    <w:p>
      <w:pPr>
        <w:spacing w:after="0" w:line="109" w:lineRule="exact"/>
        <w:rPr>
          <w:sz w:val="20"/>
          <w:szCs w:val="20"/>
          <w:color w:val="auto"/>
        </w:rPr>
      </w:pPr>
    </w:p>
    <w:p>
      <w:pPr>
        <w:ind w:right="2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Our insurance in force in areas with Federal Emergency Management Agency ("FEMA") disaster declarations at the time these wildfires occurred was less than 0.1% of our total insurance in force. These wildfires have not materially affected our reserves as of September 30, 2025.</w:t>
      </w:r>
    </w:p>
    <w:p>
      <w:pPr>
        <w:spacing w:after="0" w:line="108" w:lineRule="exact"/>
        <w:rPr>
          <w:sz w:val="20"/>
          <w:szCs w:val="20"/>
          <w:color w:val="auto"/>
        </w:rPr>
      </w:pPr>
    </w:p>
    <w:p>
      <w:pPr>
        <w:ind w:right="60" w:firstLine="404"/>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reduced the target federal funds rate by 100 basis points in 2024 and by another 25 basis points in the three and nine months ended September 30, 2025. Mortgage interest rates remain elevated which has reduced home sale activity and may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54"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Through June 30, 2024, Essent Group and its subsidiaries, Essent Irish Intermediate Holdings Limited and Essent US Holdings, Inc. (collectively, the "Borrowers"), were parties to a five-year secured credit facility with a committed capacity of $825 million (the "Existing Credit Facility"). The Existing Credit Facility also provided for up to $175 million aggregate principal amount of uncommitted incremental term loan and/or revolving credit facilities that may be exercised at the Borrowers’ option so long as the Borrowers receive commitments from the lenders. Borrowings under the Existing Credit Facility may have been used for working capital and general corporate purposes, including, without limitation, capital contributions to Essent’s insurance and reinsurance subsidiaries. Borrowings accrued interest at a floating rate tied to a standard short-term borrowing index, selected at the Company’s option, plus an applicable margin. A commitment fee was due quarterly on the average daily amount of the undrawn revolving commitment. The applicable margin and the commitment fee were based on the senior unsecured debt rating or long-term issuer rating of Essent Group to the extent available, or the financial strength rating of Essent Guaranty. The obligations under the Existing Credit Facility were secured by certain assets of the Borrowers, excluding the stock and assets of its insurance and reinsurance subsidiaries. The Credit Facility contained several covenants, including financial covenants relating to minimum net worth, capital and liquidity levels, maximum debt to capitalization level and Essent Guaranty's compliance with the PMIERs (see Note 14). As of June 30, 2024, the Company was in compliance with the covenants and $425 million had been borrowed under the term loan portion of the Existing Credit Facility with a weighted average interest rate of 7.07%.</w:t>
      </w:r>
    </w:p>
    <w:p>
      <w:pPr>
        <w:spacing w:after="0" w:line="215" w:lineRule="exact"/>
        <w:rPr>
          <w:sz w:val="20"/>
          <w:szCs w:val="20"/>
          <w:color w:val="auto"/>
        </w:rPr>
      </w:pPr>
    </w:p>
    <w:p>
      <w:pPr>
        <w:ind w:right="140" w:firstLine="404"/>
        <w:spacing w:after="0" w:line="257" w:lineRule="auto"/>
        <w:rPr>
          <w:sz w:val="20"/>
          <w:szCs w:val="20"/>
          <w:color w:val="auto"/>
        </w:rPr>
      </w:pPr>
      <w:r>
        <w:rPr>
          <w:rFonts w:ascii="Times New Roman" w:cs="Times New Roman" w:eastAsia="Times New Roman" w:hAnsi="Times New Roman"/>
          <w:sz w:val="18"/>
          <w:szCs w:val="18"/>
          <w:color w:val="auto"/>
        </w:rPr>
        <w:t>On July 1, 2024, Essent Group completed an underwritten public offering of $500 million principal amount of 6.25% Senior Notes due 2029 (the “Senior Notes"). Interest on the Senior Notes will be payable semi-annually in arrears on January 1 and July 1 of each year, beginning on January 1, 2025. The Senior Notes will mature on July 1, 2029. At any time prior to June 1, 2029 (one month prior to the maturity date), the Company may redeem the Senior Notes, at its option, in whole or in part, at any time and from time to time, at a redemption price described in the Supplemental Indenture plus accrued and unpaid interest, if any, to, but excluding, the redemption date. At any time and from time to time on or after June 1, 2029, the Company may</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redeem, at its option, in whole or in part, the Senior Notes at a redemption price equal to 100% of the principal amount of the Senior Notes to be redeemed plus accrued and unpaid interest, if any, to, but excluding, the redemption date. The net proceeds from the sale of the Senior Notes, after deducting the underwriting discounts, commissions and offering expenses, were approximately $495.3 million. The Company used the net proceeds from the sale of the Senior Notes to repay all of the borrowings outstanding under the term loan portion of the Existing Credit Facility described above, and used the remaining net proceeds for general corporate purposes.</w:t>
      </w:r>
    </w:p>
    <w:p>
      <w:pPr>
        <w:spacing w:after="0" w:line="210" w:lineRule="exact"/>
        <w:rPr>
          <w:sz w:val="20"/>
          <w:szCs w:val="20"/>
          <w:color w:val="auto"/>
        </w:rPr>
      </w:pPr>
    </w:p>
    <w:p>
      <w:pPr>
        <w:ind w:right="20" w:firstLine="404"/>
        <w:spacing w:after="0" w:line="270" w:lineRule="auto"/>
        <w:rPr>
          <w:sz w:val="20"/>
          <w:szCs w:val="20"/>
          <w:color w:val="auto"/>
        </w:rPr>
      </w:pPr>
      <w:r>
        <w:rPr>
          <w:rFonts w:ascii="Times New Roman" w:cs="Times New Roman" w:eastAsia="Times New Roman" w:hAnsi="Times New Roman"/>
          <w:sz w:val="17"/>
          <w:szCs w:val="17"/>
          <w:color w:val="auto"/>
        </w:rPr>
        <w:t>On July 1, 2024, concurrently with the closing of the Offering of the Senior Notes and the repayment of all of the borrowings outstanding under the term loan portion of its Existing Credit Agreement, the Fourth Amended and Restated Credit Agreement (the “Revolving Credit Agreement”) became effective and amends and restates the Existing Credit Facility. Under the Revolving Credit Agreement, the Refinancing Agreement Revolving Lenders (as defined therein) agreed to provide the Company with a five-year unsecured revolving credit facility of up to $500 million of senior unsecured revolving loans (the “Revolving Credit Facility”). A commitment fee is due quarterly on the average daily amount of the undrawn revolving commitment. The annual commitment fee rate at September 30, 2025 was 0.175%, down from 0.225% as of June 30, 2025 due to the upgrade to our senior unsecured debt rating by Moody’s in August 2025. The Revolving Credit Facility also provides for an aggregate principal amount of up to $250 million in uncommitted incremental revolving credit facilities that may be exercised at the Company’s option, so long as the Company receives sufficient commitments from the bank lenders.</w:t>
      </w:r>
    </w:p>
    <w:p>
      <w:pPr>
        <w:spacing w:after="0" w:line="111" w:lineRule="exact"/>
        <w:rPr>
          <w:sz w:val="20"/>
          <w:szCs w:val="20"/>
          <w:color w:val="auto"/>
        </w:rPr>
      </w:pPr>
    </w:p>
    <w:p>
      <w:pPr>
        <w:ind w:right="460" w:firstLine="404"/>
        <w:spacing w:after="0" w:line="280" w:lineRule="auto"/>
        <w:rPr>
          <w:sz w:val="20"/>
          <w:szCs w:val="20"/>
          <w:color w:val="auto"/>
        </w:rPr>
      </w:pPr>
      <w:r>
        <w:rPr>
          <w:rFonts w:ascii="Times New Roman" w:cs="Times New Roman" w:eastAsia="Times New Roman" w:hAnsi="Times New Roman"/>
          <w:sz w:val="18"/>
          <w:szCs w:val="18"/>
          <w:color w:val="auto"/>
        </w:rPr>
        <w:t>The Senior Notes are presented on the consolidated balance sheets net of an unamortized issuance discount of $1.4 million and $1.7 million and deferred issuance costs of $3.7 million and $4.4 million as of September 30, 2025 and December 31, 2024,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7" w:lineRule="exact"/>
        <w:rPr>
          <w:sz w:val="20"/>
          <w:szCs w:val="20"/>
          <w:color w:val="auto"/>
        </w:rPr>
      </w:pPr>
    </w:p>
    <w:p>
      <w:pPr>
        <w:ind w:right="180" w:firstLine="646"/>
        <w:spacing w:after="0" w:line="273" w:lineRule="auto"/>
        <w:rPr>
          <w:sz w:val="20"/>
          <w:szCs w:val="20"/>
          <w:color w:val="auto"/>
        </w:rPr>
      </w:pPr>
      <w:r>
        <w:rPr>
          <w:rFonts w:ascii="Times New Roman" w:cs="Times New Roman" w:eastAsia="Times New Roman" w:hAnsi="Times New Roman"/>
          <w:sz w:val="17"/>
          <w:szCs w:val="17"/>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in the nine months ended September 30, 2025 and 2024, respectively. As of September 30, 2025, management believes any potential claims for indemnification related to contract underwriting services through September 30, 2025 are not material to our consolidated financial position or results of operations.</w:t>
      </w:r>
    </w:p>
    <w:p>
      <w:pPr>
        <w:spacing w:after="0" w:line="172" w:lineRule="exact"/>
        <w:rPr>
          <w:sz w:val="20"/>
          <w:szCs w:val="20"/>
          <w:color w:val="auto"/>
        </w:rPr>
      </w:pPr>
    </w:p>
    <w:p>
      <w:pPr>
        <w:ind w:firstLine="646"/>
        <w:spacing w:after="0" w:line="251"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2025,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7" w:lineRule="exact"/>
        <w:rPr>
          <w:sz w:val="20"/>
          <w:szCs w:val="20"/>
          <w:color w:val="auto"/>
        </w:rPr>
      </w:pPr>
    </w:p>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4"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7"/>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560" w:firstLine="646"/>
        <w:spacing w:after="0" w:line="280" w:lineRule="auto"/>
        <w:rPr>
          <w:sz w:val="20"/>
          <w:szCs w:val="20"/>
          <w:color w:val="auto"/>
        </w:rPr>
      </w:pPr>
      <w:r>
        <w:rPr>
          <w:rFonts w:ascii="Times New Roman" w:cs="Times New Roman" w:eastAsia="Times New Roman" w:hAnsi="Times New Roman"/>
          <w:sz w:val="18"/>
          <w:szCs w:val="18"/>
          <w:color w:val="auto"/>
        </w:rPr>
        <w:t>In November 2025, the Board of Directors declared a quarterly cash dividend of $0.31 per common share payable on December 10, 2025 to shareholders of record on December 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60" w:lineRule="exact"/>
        <w:rPr>
          <w:sz w:val="20"/>
          <w:szCs w:val="20"/>
          <w:color w:val="auto"/>
        </w:rPr>
      </w:pPr>
    </w:p>
    <w:p>
      <w:pPr>
        <w:ind w:right="60" w:firstLine="404"/>
        <w:spacing w:after="0" w:line="254"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plan that authorized the Company to repurchase $250 million of common shares in the open market between January 1, 2024 and December 31, 2025. Through the year ended December 31, 2024, the Company repurchased 1,859,695 common shares at a cost of $102.7 million. In February 2025, the Board of Directors approved a share repurchase plan that authorizes the Company to repurchase an additional $500 million of common shares in the open market through December 31, 2026. From January 1, 2025 through September 30, 2025 the Company purchased 7,816,739 common shares at a cost of $450.6 million. The shares repurchased were recorded at cost and included in treasury stock. All treasury stock has been cancelled as of September 30, 2025. In November 2025, the Board of Directors approved a share repurchase plan that authorizes the Company to repurchase an additional $500 million of common shares in the open market through December 31, 2027.</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7" w:lineRule="exact"/>
        <w:rPr>
          <w:sz w:val="20"/>
          <w:szCs w:val="20"/>
          <w:color w:val="auto"/>
        </w:rPr>
      </w:pPr>
    </w:p>
    <w:p>
      <w:pPr>
        <w:ind w:right="100" w:firstLine="646"/>
        <w:spacing w:after="0" w:line="253" w:lineRule="auto"/>
        <w:rPr>
          <w:sz w:val="20"/>
          <w:szCs w:val="20"/>
          <w:color w:val="auto"/>
        </w:rPr>
      </w:pPr>
      <w:r>
        <w:rPr>
          <w:rFonts w:ascii="Times New Roman" w:cs="Times New Roman" w:eastAsia="Times New Roman" w:hAnsi="Times New Roman"/>
          <w:sz w:val="18"/>
          <w:szCs w:val="18"/>
          <w:color w:val="auto"/>
        </w:rPr>
        <w:t xml:space="preserve">In 2013, Essent Group's Board of Directors adopted, and Essent Group's shareholders </w:t>
      </w:r>
      <w:r>
        <w:rPr>
          <w:rFonts w:ascii="Times New Roman" w:cs="Times New Roman" w:eastAsia="Times New Roman" w:hAnsi="Times New Roman"/>
          <w:sz w:val="18"/>
          <w:szCs w:val="18"/>
          <w:color w:val="242021"/>
        </w:rPr>
        <w:t>approved, the Essent Group Ltd. 2013 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September 30, 2025, there were 3.0 million common shares available for future grant under the 2013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nine months ended September 30, 2025:</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gridSpan w:val="3"/>
          </w:tcPr>
          <w:p>
            <w:pPr>
              <w:jc w:val="center"/>
              <w:ind w:right="6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1900" w:type="dxa"/>
            <w:vAlign w:val="bottom"/>
            <w:gridSpan w:val="5"/>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00" w:type="dxa"/>
            <w:vAlign w:val="bottom"/>
            <w:gridSpan w:val="5"/>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9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9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900" w:type="dxa"/>
            <w:vAlign w:val="bottom"/>
            <w:gridSpan w:val="5"/>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5"/>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8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1"/>
        </w:trPr>
        <w:tc>
          <w:tcPr>
            <w:tcW w:w="1720" w:type="dxa"/>
            <w:vAlign w:val="bottom"/>
            <w:tcBorders>
              <w:top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Outstanding at</w:t>
            </w: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6"/>
              </w:rPr>
              <w:t>763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78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w w:val="96"/>
              </w:rPr>
              <w:t>138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w w:val="97"/>
              </w:rPr>
              <w:t>(232)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8"/>
                <w:szCs w:val="18"/>
                <w:color w:val="auto"/>
                <w:w w:val="97"/>
              </w:rPr>
              <w:t>(117)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155"/>
        </w:trPr>
        <w:tc>
          <w:tcPr>
            <w:tcW w:w="1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7"/>
                <w:szCs w:val="17"/>
                <w:color w:val="auto"/>
              </w:rPr>
              <w:t>Outstanding at end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6"/>
              </w:rPr>
              <w:t>552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firstLine="444"/>
        <w:spacing w:after="0" w:line="255" w:lineRule="auto"/>
        <w:rPr>
          <w:sz w:val="20"/>
          <w:szCs w:val="20"/>
          <w:color w:val="auto"/>
        </w:rPr>
      </w:pPr>
      <w:r>
        <w:rPr>
          <w:rFonts w:ascii="Times New Roman" w:cs="Times New Roman" w:eastAsia="Times New Roman" w:hAnsi="Times New Roman"/>
          <w:sz w:val="18"/>
          <w:szCs w:val="18"/>
          <w:color w:val="auto"/>
        </w:rPr>
        <w:t>In February 2025, certain members of senior management were granted nonvested common shares under the 2013 Plan that are subject to time-based and performance-based vesting. The time-based share awards granted in February 2025 vest annually in three equal installments commencing on March 1 of the year following the grant year. The performance-based share awards granted in February 2025 vest based upon our compounded annual book value per share growth percentage and relative total shareholder return during a three-year performance period that commenced on January 1, 2025, and they vest on March 1, 2028. Shares were issued at the maximum 200% of target. The portion of these nonvested performance-based share awards that will be earned is as follows:</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Relative Total Shareholder Return</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50th percentile</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1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w:t>
            </w:r>
          </w:p>
        </w:tc>
        <w:tc>
          <w:tcPr>
            <w:tcW w:w="25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75%</w:t>
            </w:r>
          </w:p>
        </w:tc>
        <w:tc>
          <w:tcPr>
            <w:tcW w:w="25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49"/>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17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50%</w:t>
            </w:r>
          </w:p>
        </w:tc>
        <w:tc>
          <w:tcPr>
            <w:tcW w:w="2540" w:type="dxa"/>
            <w:vAlign w:val="bottom"/>
            <w:tcBorders>
              <w:bottom w:val="single" w:sz="8" w:color="CCEEFF"/>
            </w:tcBorders>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020" w:type="dxa"/>
            <w:vAlign w:val="bottom"/>
          </w:tcPr>
          <w:p>
            <w:pPr>
              <w:jc w:val="center"/>
              <w:ind w:right="590"/>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17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6"/>
              </w:rPr>
              <w:t>25%</w:t>
            </w:r>
          </w:p>
        </w:tc>
        <w:tc>
          <w:tcPr>
            <w:tcW w:w="254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6"/>
              </w:rPr>
              <w:t>75%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5"/>
        </w:trPr>
        <w:tc>
          <w:tcPr>
            <w:tcW w:w="20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20" w:type="dxa"/>
            <w:vAlign w:val="bottom"/>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1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Certain time-and-performance based share awards and units granted in 2022 and subsequent periods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spacing w:after="0" w:line="202"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3" w:lineRule="exact"/>
        <w:rPr>
          <w:sz w:val="20"/>
          <w:szCs w:val="20"/>
          <w:color w:val="auto"/>
        </w:rPr>
      </w:pPr>
    </w:p>
    <w:p>
      <w:pPr>
        <w:ind w:right="60" w:firstLine="444"/>
        <w:spacing w:after="0" w:line="280"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2024, in February 2025, time-based share units were issued to certain employees that vest in three equal installments on March 1, 2026, 2027 and 2028.</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340" w:firstLine="646"/>
        <w:spacing w:after="0" w:line="265"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2023, 2024 and 2025 contain a market condition and were valued based on analysis provided by a third-party valuation firm using a risk-neutral simulation taking into effect the vesting conditions of the grant.</w:t>
      </w:r>
    </w:p>
    <w:p>
      <w:pPr>
        <w:spacing w:after="0" w:line="202"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$33.0 million and $24.4 million for the nine months ended September 30, 2025 and 2024, respectively. As of September 30, 2025, there was $21.0 million of total unrecognized compensation expense related to nonvested shares or share units outstanding at September 30, 2025 and we expect to recognize the expense over a weighted average period of 2.18 years.</w:t>
      </w:r>
    </w:p>
    <w:p>
      <w:pPr>
        <w:spacing w:after="0" w:line="210" w:lineRule="exact"/>
        <w:rPr>
          <w:sz w:val="20"/>
          <w:szCs w:val="20"/>
          <w:color w:val="auto"/>
        </w:rPr>
      </w:pPr>
    </w:p>
    <w:p>
      <w:pPr>
        <w:ind w:right="260" w:firstLine="646"/>
        <w:spacing w:after="0" w:line="265"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207,560 in the nine months ended September 30, 2025. The tendered shares were recorded at cost and included in treasury stock. All treasury stock has been cancelled as of September 30, 2025.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and share units was as follows:</w:t>
      </w:r>
    </w:p>
    <w:p>
      <w:pPr>
        <w:spacing w:after="0" w:line="42"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0" w:type="dxa"/>
            <w:vAlign w:val="bottom"/>
          </w:tcPr>
          <w:p>
            <w:pPr>
              <w:spacing w:after="0"/>
              <w:rPr>
                <w:sz w:val="1"/>
                <w:szCs w:val="1"/>
                <w:color w:val="auto"/>
              </w:rPr>
            </w:pPr>
          </w:p>
        </w:tc>
      </w:tr>
      <w:tr>
        <w:trPr>
          <w:trHeight w:val="23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4" w:lineRule="exact"/>
        <w:rPr>
          <w:sz w:val="20"/>
          <w:szCs w:val="20"/>
          <w:color w:val="auto"/>
        </w:rPr>
      </w:pPr>
    </w:p>
    <w:p>
      <w:pPr>
        <w:ind w:right="40" w:firstLine="646"/>
        <w:spacing w:after="0" w:line="268" w:lineRule="auto"/>
        <w:rPr>
          <w:sz w:val="20"/>
          <w:szCs w:val="20"/>
          <w:color w:val="auto"/>
        </w:rPr>
      </w:pPr>
      <w:r>
        <w:rPr>
          <w:rFonts w:ascii="Times New Roman" w:cs="Times New Roman" w:eastAsia="Times New Roman" w:hAnsi="Times New Roman"/>
          <w:sz w:val="17"/>
          <w:szCs w:val="17"/>
          <w:color w:val="auto"/>
        </w:rPr>
        <w:t>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September 30, 2025, Essent Guaranty had unassigned surplus of approximately $432.3 million. As of September 30, 2025, Essent Guaranty could pay additional ordinary dividends in 2025 of $280.5 million. In the three and nine months ended September 30, 2025, Essent Guaranty paid dividends of</w:t>
      </w:r>
    </w:p>
    <w:p>
      <w:pPr>
        <w:ind w:right="20"/>
        <w:spacing w:after="0" w:line="259" w:lineRule="auto"/>
        <w:rPr>
          <w:sz w:val="20"/>
          <w:szCs w:val="20"/>
          <w:color w:val="auto"/>
        </w:rPr>
      </w:pPr>
      <w:r>
        <w:rPr>
          <w:rFonts w:ascii="Times New Roman" w:cs="Times New Roman" w:eastAsia="Times New Roman" w:hAnsi="Times New Roman"/>
          <w:sz w:val="18"/>
          <w:szCs w:val="18"/>
          <w:color w:val="auto"/>
        </w:rPr>
        <w:t>$85 million and $215 million, respectively, to its parent, Essent US Holdings, Inc. In the three and nine months ended September 30, 2024, Essent Guaranty paid dividends of $58 million and $165.5 million, respectively, to its parent, Essent US Holdings, Inc.</w:t>
      </w:r>
    </w:p>
    <w:p>
      <w:pPr>
        <w:spacing w:after="0" w:line="207"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2025, Essent Re had total equity of $1.7 billion. In the three and nine months ended September 30, 2025, Essent Re paid dividends of $120 million and $340 million, respectively, to its parent, Essent Group Ltd. In the three and nine months ended September 30, 2024, Essent Re paid dividends of $87.5 million and $212.5 million, respectively, to its parent, Essent Group Ltd.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2025,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7" w:lineRule="exact"/>
        <w:rPr>
          <w:sz w:val="20"/>
          <w:szCs w:val="20"/>
          <w:color w:val="auto"/>
        </w:rPr>
      </w:pPr>
    </w:p>
    <w:p>
      <w:pPr>
        <w:ind w:right="10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534,987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561,503</w:t>
            </w:r>
          </w:p>
        </w:tc>
      </w:tr>
      <w:tr>
        <w:trPr>
          <w:trHeight w:val="54"/>
        </w:trPr>
        <w:tc>
          <w:tcPr>
            <w:tcW w:w="5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105,539</w:t>
            </w:r>
          </w:p>
        </w:tc>
      </w:tr>
      <w:tr>
        <w:trPr>
          <w:trHeight w:val="22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106,700</w:t>
            </w:r>
          </w:p>
        </w:tc>
      </w:tr>
      <w:tr>
        <w:trPr>
          <w:trHeight w:val="54"/>
        </w:trPr>
        <w:tc>
          <w:tcPr>
            <w:tcW w:w="5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4"/>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bl>
    <w:p>
      <w:pPr>
        <w:spacing w:after="0" w:line="273" w:lineRule="exact"/>
        <w:rPr>
          <w:sz w:val="20"/>
          <w:szCs w:val="20"/>
          <w:color w:val="auto"/>
        </w:rPr>
      </w:pPr>
    </w:p>
    <w:p>
      <w:pPr>
        <w:ind w:right="400" w:firstLine="646"/>
        <w:spacing w:after="0" w:line="280" w:lineRule="auto"/>
        <w:rPr>
          <w:sz w:val="20"/>
          <w:szCs w:val="20"/>
          <w:color w:val="auto"/>
        </w:rPr>
      </w:pPr>
      <w:r>
        <w:rPr>
          <w:rFonts w:ascii="Times New Roman" w:cs="Times New Roman" w:eastAsia="Times New Roman" w:hAnsi="Times New Roman"/>
          <w:sz w:val="18"/>
          <w:szCs w:val="18"/>
          <w:color w:val="auto"/>
        </w:rPr>
        <w:t>There were 5,847 and 2,842 antidilutive shares for the three months ended September 30, 2025 and 2024, respectively, and 47,223 and 69,021 antidilutive shares for the nine months ended September 30, 2025 and 2024, respectively</w:t>
      </w:r>
    </w:p>
    <w:p>
      <w:pPr>
        <w:spacing w:after="0" w:line="163" w:lineRule="exact"/>
        <w:rPr>
          <w:sz w:val="20"/>
          <w:szCs w:val="20"/>
          <w:color w:val="auto"/>
        </w:rPr>
      </w:pPr>
    </w:p>
    <w:p>
      <w:pPr>
        <w:ind w:right="280" w:firstLine="646"/>
        <w:spacing w:after="0" w:line="259"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2025, 2024 and 2023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 Performance-Based</w:t>
            </w: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2022 Performance-Based</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740" w:type="dxa"/>
            <w:vAlign w:val="bottom"/>
          </w:tcPr>
          <w:p>
            <w:pPr>
              <w:spacing w:after="0"/>
              <w:rPr>
                <w:sz w:val="16"/>
                <w:szCs w:val="16"/>
                <w:color w:val="auto"/>
              </w:rPr>
            </w:pPr>
          </w:p>
        </w:tc>
        <w:tc>
          <w:tcPr>
            <w:tcW w:w="12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680" w:type="dxa"/>
            <w:vAlign w:val="bottom"/>
          </w:tcPr>
          <w:p>
            <w:pPr>
              <w:spacing w:after="0"/>
              <w:rPr>
                <w:sz w:val="16"/>
                <w:szCs w:val="16"/>
                <w:color w:val="auto"/>
              </w:rPr>
            </w:pPr>
          </w:p>
        </w:tc>
        <w:tc>
          <w:tcPr>
            <w:tcW w:w="120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760" w:type="dxa"/>
            <w:vAlign w:val="bottom"/>
          </w:tcPr>
          <w:p>
            <w:pPr>
              <w:spacing w:after="0"/>
              <w:rPr>
                <w:sz w:val="16"/>
                <w:szCs w:val="16"/>
                <w:color w:val="auto"/>
              </w:rPr>
            </w:pPr>
          </w:p>
        </w:tc>
        <w:tc>
          <w:tcPr>
            <w:tcW w:w="1200" w:type="dxa"/>
            <w:vAlign w:val="bottom"/>
            <w:gridSpan w:val="3"/>
          </w:tcPr>
          <w:p>
            <w:pPr>
              <w:jc w:val="center"/>
              <w:ind w:right="697"/>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jc w:val="center"/>
              <w:ind w:left="91"/>
              <w:spacing w:after="0" w:line="128"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jc w:val="center"/>
              <w:ind w:left="88"/>
              <w:spacing w:after="0" w:line="128"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jc w:val="center"/>
              <w:ind w:left="8"/>
              <w:spacing w:after="0" w:line="128"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ind w:left="71"/>
              <w:spacing w:after="0" w:line="128"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7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740" w:type="dxa"/>
            <w:vAlign w:val="bottom"/>
          </w:tcPr>
          <w:p>
            <w:pPr>
              <w:jc w:val="center"/>
              <w:ind w:left="10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680" w:type="dxa"/>
            <w:vAlign w:val="bottom"/>
          </w:tcPr>
          <w:p>
            <w:pPr>
              <w:jc w:val="center"/>
              <w:ind w:left="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760" w:type="dxa"/>
            <w:vAlign w:val="bottom"/>
          </w:tcPr>
          <w:p>
            <w:pPr>
              <w:jc w:val="center"/>
              <w:ind w:left="9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0" w:type="dxa"/>
            <w:vAlign w:val="bottom"/>
          </w:tcPr>
          <w:p>
            <w:pPr>
              <w:spacing w:after="0"/>
              <w:rPr>
                <w:sz w:val="1"/>
                <w:szCs w:val="1"/>
                <w:color w:val="auto"/>
              </w:rPr>
            </w:pPr>
          </w:p>
        </w:tc>
      </w:tr>
      <w:tr>
        <w:trPr>
          <w:trHeight w:val="121"/>
        </w:trPr>
        <w:tc>
          <w:tcPr>
            <w:tcW w:w="330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Reporting Date</w:t>
            </w:r>
          </w:p>
        </w:tc>
        <w:tc>
          <w:tcPr>
            <w:tcW w:w="80" w:type="dxa"/>
            <w:vAlign w:val="bottom"/>
            <w:vMerge w:val="restart"/>
          </w:tcPr>
          <w:p>
            <w:pPr>
              <w:spacing w:after="0"/>
              <w:rPr>
                <w:sz w:val="10"/>
                <w:szCs w:val="10"/>
                <w:color w:val="auto"/>
              </w:rPr>
            </w:pPr>
          </w:p>
        </w:tc>
        <w:tc>
          <w:tcPr>
            <w:tcW w:w="740" w:type="dxa"/>
            <w:vAlign w:val="bottom"/>
          </w:tcPr>
          <w:p>
            <w:pPr>
              <w:jc w:val="center"/>
              <w:ind w:left="91"/>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40" w:type="dxa"/>
            <w:vAlign w:val="bottom"/>
          </w:tcPr>
          <w:p>
            <w:pPr>
              <w:jc w:val="center"/>
              <w:ind w:left="88"/>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80" w:type="dxa"/>
            <w:vAlign w:val="bottom"/>
          </w:tcPr>
          <w:p>
            <w:pPr>
              <w:jc w:val="center"/>
              <w:ind w:left="28"/>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60" w:type="dxa"/>
            <w:vAlign w:val="bottom"/>
          </w:tcPr>
          <w:p>
            <w:pPr>
              <w:jc w:val="center"/>
              <w:ind w:left="71"/>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3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Issued</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Issued</w:t>
            </w:r>
          </w:p>
        </w:tc>
        <w:tc>
          <w:tcPr>
            <w:tcW w:w="0" w:type="dxa"/>
            <w:vAlign w:val="bottom"/>
          </w:tcPr>
          <w:p>
            <w:pPr>
              <w:spacing w:after="0"/>
              <w:rPr>
                <w:sz w:val="1"/>
                <w:szCs w:val="1"/>
                <w:color w:val="auto"/>
              </w:rPr>
            </w:pPr>
          </w:p>
        </w:tc>
      </w:tr>
      <w:tr>
        <w:trPr>
          <w:trHeight w:val="227"/>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2025</w:t>
            </w:r>
          </w:p>
        </w:tc>
        <w:tc>
          <w:tcPr>
            <w:tcW w:w="80" w:type="dxa"/>
            <w:vAlign w:val="bottom"/>
          </w:tcPr>
          <w:p>
            <w:pPr>
              <w:spacing w:after="0"/>
              <w:rPr>
                <w:sz w:val="19"/>
                <w:szCs w:val="19"/>
                <w:color w:val="auto"/>
              </w:rPr>
            </w:pPr>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200%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740" w:type="dxa"/>
            <w:vAlign w:val="bottom"/>
          </w:tcPr>
          <w:p>
            <w:pPr>
              <w:jc w:val="center"/>
              <w:ind w:left="88"/>
              <w:spacing w:after="0"/>
              <w:rPr>
                <w:sz w:val="20"/>
                <w:szCs w:val="20"/>
                <w:color w:val="auto"/>
              </w:rPr>
            </w:pPr>
            <w:r>
              <w:rPr>
                <w:rFonts w:ascii="Times New Roman" w:cs="Times New Roman" w:eastAsia="Times New Roman" w:hAnsi="Times New Roman"/>
                <w:sz w:val="18"/>
                <w:szCs w:val="18"/>
                <w:color w:val="auto"/>
                <w:w w:val="99"/>
              </w:rPr>
              <w:t>134%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68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w w:val="99"/>
              </w:rPr>
              <w:t>197%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w:t>
            </w:r>
          </w:p>
        </w:tc>
        <w:tc>
          <w:tcPr>
            <w:tcW w:w="1200" w:type="dxa"/>
            <w:vAlign w:val="bottom"/>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30, 2024</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8"/>
                <w:szCs w:val="18"/>
                <w:color w:val="auto"/>
                <w:w w:val="99"/>
              </w:rPr>
              <w:t>181%</w:t>
            </w:r>
          </w:p>
        </w:tc>
        <w:tc>
          <w:tcPr>
            <w:tcW w:w="11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8"/>
                <w:szCs w:val="18"/>
                <w:color w:val="auto"/>
                <w:w w:val="99"/>
              </w:rPr>
              <w:t>200%</w:t>
            </w:r>
          </w:p>
        </w:tc>
        <w:tc>
          <w:tcPr>
            <w:tcW w:w="11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3"/>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The 2022 performance based awards vested at 168% relative to target on March 1, 2025.</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42" w:lineRule="exact"/>
        <w:rPr>
          <w:rFonts w:ascii="Times New Roman" w:cs="Times New Roman" w:eastAsia="Times New Roman" w:hAnsi="Times New Roman"/>
          <w:sz w:val="14"/>
          <w:szCs w:val="14"/>
          <w:b w:val="1"/>
          <w:bCs w:val="1"/>
          <w:color w:val="auto"/>
        </w:rPr>
      </w:pPr>
    </w:p>
    <w:p>
      <w:pPr>
        <w:ind w:left="55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7" w:lineRule="exact"/>
        <w:rPr>
          <w:sz w:val="20"/>
          <w:szCs w:val="20"/>
          <w:color w:val="auto"/>
        </w:rPr>
      </w:pPr>
    </w:p>
    <w:p>
      <w:pPr>
        <w:ind w:right="24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loss for the three and nine months ended September 30, 2025 and 2024: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2"/>
        </w:trPr>
        <w:tc>
          <w:tcPr>
            <w:tcW w:w="2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4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(252,615)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36,949</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(215,666)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(354,847)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(307,637)</w:t>
            </w:r>
          </w:p>
        </w:tc>
      </w:tr>
      <w:tr>
        <w:trPr>
          <w:trHeight w:val="20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60" w:type="dxa"/>
            <w:vAlign w:val="bottom"/>
            <w:gridSpan w:val="3"/>
          </w:tcPr>
          <w:p>
            <w:pPr>
              <w:ind w:left="220"/>
              <w:spacing w:after="0" w:line="175"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9"/>
        </w:trPr>
        <w:tc>
          <w:tcPr>
            <w:tcW w:w="3860" w:type="dxa"/>
            <w:vAlign w:val="bottom"/>
            <w:gridSpan w:val="3"/>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2"/>
        </w:trPr>
        <w:tc>
          <w:tcPr>
            <w:tcW w:w="3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during the period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117,411</w:t>
            </w:r>
          </w:p>
        </w:tc>
      </w:tr>
      <w:tr>
        <w:trPr>
          <w:trHeight w:val="175"/>
        </w:trPr>
        <w:tc>
          <w:tcPr>
            <w:tcW w:w="3860" w:type="dxa"/>
            <w:vAlign w:val="bottom"/>
            <w:gridSpan w:val="3"/>
          </w:tcPr>
          <w:p>
            <w:pPr>
              <w:ind w:left="340"/>
              <w:spacing w:after="0" w:line="175"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2"/>
        </w:trPr>
        <w:tc>
          <w:tcPr>
            <w:tcW w:w="386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2"/>
        </w:trPr>
        <w:tc>
          <w:tcPr>
            <w:tcW w:w="3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117,358</w:t>
            </w:r>
          </w:p>
        </w:tc>
      </w:tr>
      <w:tr>
        <w:trPr>
          <w:trHeight w:val="222"/>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w:t>
            </w:r>
          </w:p>
        </w:tc>
      </w:tr>
      <w:tr>
        <w:trPr>
          <w:trHeight w:val="247"/>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92"/>
        </w:trPr>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2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4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(280,496)</w:t>
            </w:r>
          </w:p>
        </w:tc>
      </w:tr>
      <w:tr>
        <w:trPr>
          <w:trHeight w:val="20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60" w:type="dxa"/>
            <w:vAlign w:val="bottom"/>
            <w:gridSpan w:val="3"/>
          </w:tcPr>
          <w:p>
            <w:pPr>
              <w:ind w:left="220"/>
              <w:spacing w:after="0" w:line="175"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9"/>
        </w:trPr>
        <w:tc>
          <w:tcPr>
            <w:tcW w:w="3860" w:type="dxa"/>
            <w:vAlign w:val="bottom"/>
            <w:gridSpan w:val="3"/>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2"/>
        </w:trPr>
        <w:tc>
          <w:tcPr>
            <w:tcW w:w="3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during the period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r>
      <w:tr>
        <w:trPr>
          <w:trHeight w:val="175"/>
        </w:trPr>
        <w:tc>
          <w:tcPr>
            <w:tcW w:w="3860" w:type="dxa"/>
            <w:vAlign w:val="bottom"/>
            <w:gridSpan w:val="3"/>
          </w:tcPr>
          <w:p>
            <w:pPr>
              <w:ind w:left="340"/>
              <w:spacing w:after="0" w:line="175"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2"/>
        </w:trPr>
        <w:tc>
          <w:tcPr>
            <w:tcW w:w="386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2"/>
        </w:trPr>
        <w:tc>
          <w:tcPr>
            <w:tcW w:w="3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90,217</w:t>
            </w:r>
          </w:p>
        </w:tc>
      </w:tr>
      <w:tr>
        <w:trPr>
          <w:trHeight w:val="222"/>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90,217</w:t>
            </w:r>
          </w:p>
        </w:tc>
      </w:tr>
      <w:tr>
        <w:trPr>
          <w:trHeight w:val="247"/>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5"/>
        </w:trPr>
        <w:tc>
          <w:tcPr>
            <w:tcW w:w="218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net realized investment losses on our condensed consolidated statements of comprehensive income.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7"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7" w:lineRule="exact"/>
        <w:rPr>
          <w:sz w:val="20"/>
          <w:szCs w:val="20"/>
          <w:color w:val="auto"/>
        </w:rPr>
      </w:pPr>
    </w:p>
    <w:p>
      <w:pPr>
        <w:ind w:right="280" w:firstLine="646"/>
        <w:spacing w:after="0" w:line="259"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3" w:lineRule="exact"/>
        <w:rPr>
          <w:rFonts w:ascii="Times New Roman" w:cs="Times New Roman" w:eastAsia="Times New Roman" w:hAnsi="Times New Roman"/>
          <w:sz w:val="18"/>
          <w:szCs w:val="18"/>
          <w:color w:val="auto"/>
        </w:rPr>
      </w:pPr>
    </w:p>
    <w:p>
      <w:pPr>
        <w:jc w:val="both"/>
        <w:ind w:left="660" w:right="80" w:hanging="330"/>
        <w:spacing w:after="0" w:line="26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2"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7" w:lineRule="exact"/>
        <w:rPr>
          <w:sz w:val="20"/>
          <w:szCs w:val="20"/>
          <w:color w:val="auto"/>
        </w:rPr>
      </w:pPr>
    </w:p>
    <w:p>
      <w:pPr>
        <w:ind w:right="120" w:firstLine="646"/>
        <w:spacing w:after="0" w:line="276" w:lineRule="auto"/>
        <w:rPr>
          <w:sz w:val="20"/>
          <w:szCs w:val="20"/>
          <w:color w:val="auto"/>
        </w:rPr>
      </w:pPr>
      <w:r>
        <w:rPr>
          <w:rFonts w:ascii="Times New Roman" w:cs="Times New Roman" w:eastAsia="Times New Roman" w:hAnsi="Times New Roman"/>
          <w:sz w:val="17"/>
          <w:szCs w:val="17"/>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50" w:lineRule="exact"/>
        <w:rPr>
          <w:sz w:val="20"/>
          <w:szCs w:val="20"/>
          <w:color w:val="auto"/>
        </w:rPr>
      </w:pPr>
    </w:p>
    <w:p>
      <w:pPr>
        <w:ind w:left="660" w:right="20" w:hanging="330"/>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7" w:lineRule="exact"/>
        <w:rPr>
          <w:sz w:val="20"/>
          <w:szCs w:val="20"/>
          <w:color w:val="auto"/>
        </w:rPr>
      </w:pPr>
    </w:p>
    <w:p>
      <w:pPr>
        <w:ind w:right="40" w:firstLine="646"/>
        <w:spacing w:after="0" w:line="280"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 (In thousands)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382,791</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1,178,691</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613,089</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63,142</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1,930,920</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463,344</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817,812</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640,076</w:t>
            </w:r>
          </w:p>
        </w:tc>
        <w:tc>
          <w:tcPr>
            <w:tcW w:w="0" w:type="dxa"/>
            <w:vAlign w:val="bottom"/>
          </w:tcPr>
          <w:p>
            <w:pPr>
              <w:spacing w:after="0"/>
              <w:rPr>
                <w:sz w:val="1"/>
                <w:szCs w:val="1"/>
                <w:color w:val="auto"/>
              </w:rPr>
            </w:pPr>
          </w:p>
        </w:tc>
      </w:tr>
      <w:tr>
        <w:trPr>
          <w:trHeight w:val="247"/>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6,089,865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47"/>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18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0" w:hanging="330"/>
        <w:spacing w:after="0" w:line="26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ind w:left="660" w:right="280" w:hanging="330"/>
        <w:spacing w:after="0" w:line="259"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2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Our senior notes are carried at amortized cost, net of issuance costs, on our condensed consolidated balance sheets. The carrying amount and estimated fair value of our senior notes was $495.0 million and $524.1 million, respectively, as of September 30, 2025. The carrying amount and estimated fair value of our senior notes was $494.0 million and $510.8 million, respectively, as of December 31, 2024. The fair value of our senior notes is estimated based on quoted market prices.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7"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statutory net income for the nine months ended September 30, 2025 and 2024 as well as statutory surplus and contingency reserve liability at September 30, 2025 and December 31, 2024:</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4420" w:type="dxa"/>
            <w:vAlign w:val="bottom"/>
            <w:gridSpan w:val="2"/>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80" w:type="dxa"/>
            <w:vAlign w:val="bottom"/>
            <w:vMerge w:val="continue"/>
          </w:tcPr>
          <w:p>
            <w:pPr>
              <w:spacing w:after="0"/>
              <w:rPr>
                <w:sz w:val="15"/>
                <w:szCs w:val="15"/>
                <w:color w:val="auto"/>
              </w:rPr>
            </w:pPr>
          </w:p>
        </w:tc>
        <w:tc>
          <w:tcPr>
            <w:tcW w:w="222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56120" cy="153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6120" cy="15367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Essent Guaranty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361,056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377,737</w:t>
            </w:r>
          </w:p>
        </w:tc>
      </w:tr>
      <w:tr>
        <w:trPr>
          <w:trHeight w:val="521"/>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24"/>
                <w:szCs w:val="24"/>
                <w:color w:val="auto"/>
              </w:rPr>
            </w:pPr>
          </w:p>
        </w:tc>
        <w:tc>
          <w:tcPr>
            <w:tcW w:w="17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1780" w:type="dxa"/>
            <w:vAlign w:val="bottom"/>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Essent Guaranty</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1,101,894</w:t>
            </w: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2,492,487</w:t>
            </w:r>
          </w:p>
        </w:tc>
      </w:tr>
    </w:tbl>
    <w:p>
      <w:pPr>
        <w:spacing w:after="0" w:line="318"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was no longer an insurance subsidiary of Essent Group Ltd. as of December 31, 2024.</w:t>
      </w:r>
    </w:p>
    <w:p>
      <w:pPr>
        <w:spacing w:after="0" w:line="210" w:lineRule="exact"/>
        <w:rPr>
          <w:sz w:val="20"/>
          <w:szCs w:val="20"/>
          <w:color w:val="auto"/>
        </w:rPr>
      </w:pPr>
    </w:p>
    <w:p>
      <w:pPr>
        <w:ind w:right="180" w:firstLine="646"/>
        <w:spacing w:after="0" w:line="275" w:lineRule="auto"/>
        <w:rPr>
          <w:sz w:val="20"/>
          <w:szCs w:val="20"/>
          <w:color w:val="auto"/>
        </w:rPr>
      </w:pPr>
      <w:r>
        <w:rPr>
          <w:rFonts w:ascii="Times New Roman" w:cs="Times New Roman" w:eastAsia="Times New Roman" w:hAnsi="Times New Roman"/>
          <w:sz w:val="17"/>
          <w:szCs w:val="17"/>
          <w:color w:val="auto"/>
        </w:rPr>
        <w:t>Net income determined in accordance with statutory accounting practices differs from GAAP. In 2025 and 2024, the more significant differences between net income determined under statutory accounting practices and GAAP for Essent Guaranty relate to policy acquisition costs and income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as a result, increases statutory net income and surplus as compared to net income and equity determined in accordance with GAAP.</w:t>
      </w:r>
    </w:p>
    <w:p>
      <w:pPr>
        <w:spacing w:after="0" w:line="217" w:lineRule="exact"/>
        <w:rPr>
          <w:sz w:val="20"/>
          <w:szCs w:val="20"/>
          <w:color w:val="auto"/>
        </w:rPr>
      </w:pPr>
    </w:p>
    <w:p>
      <w:pPr>
        <w:ind w:right="400" w:firstLine="646"/>
        <w:spacing w:after="0" w:line="280" w:lineRule="auto"/>
        <w:rPr>
          <w:sz w:val="20"/>
          <w:szCs w:val="20"/>
          <w:color w:val="auto"/>
        </w:rPr>
      </w:pPr>
      <w:r>
        <w:rPr>
          <w:rFonts w:ascii="Times New Roman" w:cs="Times New Roman" w:eastAsia="Times New Roman" w:hAnsi="Times New Roman"/>
          <w:sz w:val="18"/>
          <w:szCs w:val="18"/>
          <w:color w:val="auto"/>
        </w:rPr>
        <w:t>At September 30, 2025 and December 31, 2024, the statutory capital of Essent Guaranty, which is defined as the total of statutory surplus and contingency reserves, was in excess of the statutory capital necessary to satisfy its regulatory requirements.</w:t>
      </w:r>
    </w:p>
    <w:p>
      <w:pPr>
        <w:spacing w:after="0" w:line="190"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Fannie Mae and Freddie Mac, at the direction of the Federal Housing Finance Agency,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performance expectations and define remedial actions that apply should an approved insurer fail to comply with these requirements. In August 2024, the GSEs issued updates to the PMIERs calculation of Available Assets. The updated PMIERs Available Asset requirements are subject to a phased-in implementation beginning with the quarter ending March 31, 2025, and will become fully effective on September 30, 2026. As of September 30, 2025, Essent Guaranty, our GSE-approved mortgage insurance company, was in compliance with the PMIERs.</w:t>
      </w:r>
    </w:p>
    <w:p>
      <w:pPr>
        <w:spacing w:after="0" w:line="208"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nine months ended September 30, 2025, Essent Guaranty increased its contingency reserve by $102.4 million. During the nine months ended September 30, 2025 and 2024, Essent Guaranty released contingency reserves of $107.7 million and $69.9 million, respectively, to unassigned funds upon completion of the 120 month holding period.</w:t>
      </w:r>
    </w:p>
    <w:p>
      <w:pPr>
        <w:spacing w:after="0" w:line="211"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September 30, 2025, all such requirements were met.</w:t>
      </w:r>
    </w:p>
    <w:p>
      <w:pPr>
        <w:spacing w:after="0" w:line="210" w:lineRule="exact"/>
        <w:rPr>
          <w:sz w:val="20"/>
          <w:szCs w:val="20"/>
          <w:color w:val="auto"/>
        </w:rPr>
      </w:pPr>
    </w:p>
    <w:p>
      <w:pPr>
        <w:ind w:right="20" w:firstLine="646"/>
        <w:spacing w:after="0" w:line="259" w:lineRule="auto"/>
        <w:rPr>
          <w:sz w:val="20"/>
          <w:szCs w:val="20"/>
          <w:color w:val="auto"/>
        </w:rPr>
      </w:pPr>
      <w:r>
        <w:rPr>
          <w:rFonts w:ascii="Times New Roman" w:cs="Times New Roman" w:eastAsia="Times New Roman" w:hAnsi="Times New Roman"/>
          <w:sz w:val="18"/>
          <w:szCs w:val="18"/>
          <w:color w:val="auto"/>
        </w:rPr>
        <w:t>Essent Re's statutory capital and surplus was $1.7 billion as of September 30, 2025 and $1.8 billion as of December 31, 2024. Essent Re's statutory net income was $235.4 million and $248.8 million for the nine months ended September 30, 2025 and 2024, respectively. Statutory capital and surplus as of September 30, 2025 and December 31, 2024 and statutory net income in the nine months ended September 30, 2025 and 2024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160"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mortgage risk share”) and provide underwriting consulting services to third-party reinsurers. Our U.S. mortgage insurance business and GSE and other mortgage risk share business each represent operating segments that we have aggregated as one reportable segment based on their shared economic characteristics and the similarities between the two operating segments.</w:t>
      </w:r>
    </w:p>
    <w:p>
      <w:pPr>
        <w:spacing w:after="0" w:line="108" w:lineRule="exact"/>
        <w:rPr>
          <w:sz w:val="20"/>
          <w:szCs w:val="20"/>
          <w:color w:val="auto"/>
        </w:rPr>
      </w:pPr>
    </w:p>
    <w:p>
      <w:pPr>
        <w:ind w:right="180" w:firstLine="404"/>
        <w:spacing w:after="0" w:line="259" w:lineRule="auto"/>
        <w:rPr>
          <w:sz w:val="20"/>
          <w:szCs w:val="20"/>
          <w:color w:val="auto"/>
        </w:rPr>
      </w:pPr>
      <w:r>
        <w:rPr>
          <w:rFonts w:ascii="Times New Roman" w:cs="Times New Roman" w:eastAsia="Times New Roman" w:hAnsi="Times New Roman"/>
          <w:sz w:val="18"/>
          <w:szCs w:val="18"/>
          <w:color w:val="auto"/>
        </w:rPr>
        <w:t>In addition, our "Corporate &amp; Other" category is used to reconcile our reportable segment to consolidated results and includes business activities associated with our title insurance operations, income and losses from holding company treasury operations and general corporate operating expenses not attributable to our operating segments. Our title insurance operations are an operating segment that does not meet the quantitative thresholds of a separate reportable segment.</w:t>
      </w:r>
    </w:p>
    <w:p>
      <w:pPr>
        <w:spacing w:after="0" w:line="115" w:lineRule="exact"/>
        <w:rPr>
          <w:sz w:val="20"/>
          <w:szCs w:val="20"/>
          <w:color w:val="auto"/>
        </w:rPr>
      </w:pPr>
    </w:p>
    <w:p>
      <w:pPr>
        <w:jc w:val="both"/>
        <w:ind w:right="60" w:firstLine="404"/>
        <w:spacing w:after="0" w:line="265" w:lineRule="auto"/>
        <w:rPr>
          <w:sz w:val="20"/>
          <w:szCs w:val="20"/>
          <w:color w:val="auto"/>
        </w:rPr>
      </w:pPr>
      <w:r>
        <w:rPr>
          <w:rFonts w:ascii="Times New Roman" w:cs="Times New Roman" w:eastAsia="Times New Roman" w:hAnsi="Times New Roman"/>
          <w:sz w:val="18"/>
          <w:szCs w:val="18"/>
          <w:color w:val="auto"/>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spacing w:after="0" w:line="108" w:lineRule="exact"/>
        <w:rPr>
          <w:sz w:val="20"/>
          <w:szCs w:val="20"/>
          <w:color w:val="auto"/>
        </w:rPr>
      </w:pPr>
    </w:p>
    <w:p>
      <w:pPr>
        <w:ind w:right="80" w:firstLine="404"/>
        <w:spacing w:after="0" w:line="259" w:lineRule="auto"/>
        <w:rPr>
          <w:sz w:val="20"/>
          <w:szCs w:val="20"/>
          <w:color w:val="auto"/>
        </w:rPr>
      </w:pPr>
      <w:r>
        <w:rPr>
          <w:rFonts w:ascii="Times New Roman" w:cs="Times New Roman" w:eastAsia="Times New Roman" w:hAnsi="Times New Roman"/>
          <w:sz w:val="18"/>
          <w:szCs w:val="18"/>
          <w:color w:val="auto"/>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segment through analysis of the loss ratio, expense ratio and combined ratio. We do not manage our segments by assets.</w:t>
      </w:r>
    </w:p>
    <w:p>
      <w:pPr>
        <w:spacing w:after="0" w:line="102" w:lineRule="exact"/>
        <w:rPr>
          <w:sz w:val="20"/>
          <w:szCs w:val="20"/>
          <w:color w:val="auto"/>
        </w:rPr>
      </w:pPr>
    </w:p>
    <w:p>
      <w:pPr>
        <w:jc w:val="both"/>
        <w:ind w:right="400" w:firstLine="404"/>
        <w:spacing w:after="0" w:line="265" w:lineRule="auto"/>
        <w:rPr>
          <w:sz w:val="20"/>
          <w:szCs w:val="20"/>
          <w:color w:val="auto"/>
        </w:rPr>
      </w:pPr>
      <w:r>
        <w:rPr>
          <w:rFonts w:ascii="Times New Roman" w:cs="Times New Roman" w:eastAsia="Times New Roman" w:hAnsi="Times New Roman"/>
          <w:sz w:val="18"/>
          <w:szCs w:val="18"/>
          <w:color w:val="auto"/>
        </w:rPr>
        <w:t>As of September 30, 2025 and December 31, 2024, all goodwill is assigned to our Title operating segment, which is included in our Corporate &amp; Other category. Goodwill was $48.8 million at both September 30, 2025 and December 31, 2024. Goodwill decreased by $1.2 million during the nine months ended September 30, 2024 as a result of measurement period adjustments.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Segment Information: Profit &amp; Loss</w:t>
      </w:r>
    </w:p>
    <w:p>
      <w:pPr>
        <w:spacing w:after="0" w:line="158"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The following table reconciles the components of reportable segment profit and loss to consolidated profit and loss for the periods presented. Within the tables, we have disclosed significant segment expenses at a level of disaggregation that coincides with what is regularly provided to the CODM. Other underwriting and operating expenses in the Mortgage Insurance segment include software, professional fees, travel, and occupancy costs. The accounting policies of our operating segments are the same as those described in the summary of significant accounting policies in our Form 10-K. We do not have inter-segment transactions.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0" w:type="dxa"/>
            <w:vAlign w:val="bottom"/>
          </w:tcPr>
          <w:p>
            <w:pPr>
              <w:spacing w:after="0"/>
              <w:rPr>
                <w:sz w:val="1"/>
                <w:szCs w:val="1"/>
                <w:color w:val="auto"/>
              </w:rPr>
            </w:pPr>
          </w:p>
        </w:tc>
      </w:tr>
      <w:tr>
        <w:trPr>
          <w:trHeight w:val="158"/>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10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3"/>
                <w:szCs w:val="13"/>
                <w:color w:val="auto"/>
              </w:rPr>
            </w:pPr>
          </w:p>
        </w:tc>
        <w:tc>
          <w:tcPr>
            <w:tcW w:w="106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2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premiums earned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231,628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246,332</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231,249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248,936</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57,340</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Realized investment gains (losses), net</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0" w:type="dxa"/>
            <w:vAlign w:val="bottom"/>
          </w:tcPr>
          <w:p>
            <w:pPr>
              <w:spacing w:after="0"/>
              <w:rPr>
                <w:sz w:val="1"/>
                <w:szCs w:val="1"/>
                <w:color w:val="auto"/>
              </w:rPr>
            </w:pPr>
          </w:p>
        </w:tc>
      </w:tr>
      <w:tr>
        <w:trPr>
          <w:trHeight w:val="209"/>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282,555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311,830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284,401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316,578</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and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losses and LAE</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30,666</w:t>
            </w:r>
          </w:p>
        </w:tc>
        <w:tc>
          <w:tcPr>
            <w:tcW w:w="0" w:type="dxa"/>
            <w:vAlign w:val="bottom"/>
          </w:tcPr>
          <w:p>
            <w:pPr>
              <w:spacing w:after="0"/>
              <w:rPr>
                <w:sz w:val="1"/>
                <w:szCs w:val="1"/>
                <w:color w:val="auto"/>
              </w:rPr>
            </w:pPr>
          </w:p>
        </w:tc>
      </w:tr>
      <w:tr>
        <w:trPr>
          <w:trHeight w:val="151"/>
        </w:trPr>
        <w:tc>
          <w:tcPr>
            <w:tcW w:w="3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 and other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underwriting and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10,949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33,227</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expenses before allocations</w:t>
            </w: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26,593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27,884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66,881</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expense allocations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expenses after allocations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34,176</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59,498</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38,556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66,881</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w:t>
            </w:r>
          </w:p>
        </w:tc>
        <w:tc>
          <w:tcPr>
            <w:tcW w:w="0" w:type="dxa"/>
            <w:vAlign w:val="bottom"/>
          </w:tcPr>
          <w:p>
            <w:pPr>
              <w:spacing w:after="0"/>
              <w:rPr>
                <w:sz w:val="1"/>
                <w:szCs w:val="1"/>
                <w:color w:val="auto"/>
              </w:rPr>
            </w:pPr>
          </w:p>
        </w:tc>
      </w:tr>
      <w:tr>
        <w:trPr>
          <w:trHeight w:val="20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204,202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199,159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216,029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207,574</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ratio (1)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 ratio (2)</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Combined ratio</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20" w:hanging="195"/>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195"/>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08977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9775" cy="12827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0" w:type="dxa"/>
            <w:vAlign w:val="bottom"/>
          </w:tcPr>
          <w:p>
            <w:pPr>
              <w:spacing w:after="0"/>
              <w:rPr>
                <w:sz w:val="1"/>
                <w:szCs w:val="1"/>
                <w:color w:val="auto"/>
              </w:rPr>
            </w:pPr>
          </w:p>
        </w:tc>
      </w:tr>
      <w:tr>
        <w:trPr>
          <w:trHeight w:val="158"/>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10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3"/>
                <w:szCs w:val="13"/>
                <w:color w:val="auto"/>
              </w:rPr>
            </w:pPr>
          </w:p>
        </w:tc>
        <w:tc>
          <w:tcPr>
            <w:tcW w:w="106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2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premiums earned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699,165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740,989</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696,813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746,417</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146,090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165,511</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10,415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17,699</w:t>
            </w:r>
          </w:p>
        </w:tc>
        <w:tc>
          <w:tcPr>
            <w:tcW w:w="0" w:type="dxa"/>
            <w:vAlign w:val="bottom"/>
          </w:tcPr>
          <w:p>
            <w:pPr>
              <w:spacing w:after="0"/>
              <w:rPr>
                <w:sz w:val="1"/>
                <w:szCs w:val="1"/>
                <w:color w:val="auto"/>
              </w:rPr>
            </w:pPr>
          </w:p>
        </w:tc>
      </w:tr>
      <w:tr>
        <w:trPr>
          <w:trHeight w:val="209"/>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861,241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948,531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846,254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927,877</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and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losses and LAE</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40,245</w:t>
            </w:r>
          </w:p>
        </w:tc>
        <w:tc>
          <w:tcPr>
            <w:tcW w:w="0" w:type="dxa"/>
            <w:vAlign w:val="bottom"/>
          </w:tcPr>
          <w:p>
            <w:pPr>
              <w:spacing w:after="0"/>
              <w:rPr>
                <w:sz w:val="1"/>
                <w:szCs w:val="1"/>
                <w:color w:val="auto"/>
              </w:rPr>
            </w:pPr>
          </w:p>
        </w:tc>
      </w:tr>
      <w:tr>
        <w:trPr>
          <w:trHeight w:val="151"/>
        </w:trPr>
        <w:tc>
          <w:tcPr>
            <w:tcW w:w="3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101,865</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 and other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17,967</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(20,360)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(17,701)</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underwriting and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33,714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97,792</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expenses before allocations</w:t>
            </w: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84,197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193,387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86,507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199,923</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expense allocations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expenses after allocations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114,035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79,352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193,387</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119,637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80,286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199,923</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27,168</w:t>
            </w:r>
          </w:p>
        </w:tc>
        <w:tc>
          <w:tcPr>
            <w:tcW w:w="0" w:type="dxa"/>
            <w:vAlign w:val="bottom"/>
          </w:tcPr>
          <w:p>
            <w:pPr>
              <w:spacing w:after="0"/>
              <w:rPr>
                <w:sz w:val="1"/>
                <w:szCs w:val="1"/>
                <w:color w:val="auto"/>
              </w:rPr>
            </w:pPr>
          </w:p>
        </w:tc>
      </w:tr>
      <w:tr>
        <w:trPr>
          <w:trHeight w:val="20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656,948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637,333</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688,689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(28,148)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660,541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ratio (1)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 ratio (2)</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Combined ratio</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20" w:hanging="195"/>
        <w:spacing w:after="0"/>
        <w:tabs>
          <w:tab w:leader="none" w:pos="2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195"/>
        <w:spacing w:after="0"/>
        <w:tabs>
          <w:tab w:leader="none" w:pos="2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08977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77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2024 as filed with the Securities and Exchange Commission and referred to herein as the “Annual Report,” and our condensed consolidated financial statements and related notes as of and for the three and nine months ended September 30, 2025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360" w:firstLine="646"/>
        <w:spacing w:after="0" w:line="265"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and reinsurance, title insurance and settlement services to mortgage lenders, borrowers and investors to support homeownership. We have one reportable segment: Mortgage Insurance.</w:t>
      </w:r>
    </w:p>
    <w:p>
      <w:pPr>
        <w:spacing w:after="0" w:line="202" w:lineRule="exact"/>
        <w:rPr>
          <w:sz w:val="20"/>
          <w:szCs w:val="20"/>
          <w:color w:val="auto"/>
        </w:rPr>
      </w:pPr>
    </w:p>
    <w:p>
      <w:pPr>
        <w:ind w:firstLine="646"/>
        <w:spacing w:after="0" w:line="246"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$12.2 billion and $34.7 billion for the three and nine months ended September 30, 2025, respectively, compared to approximately $12.5 billion and $33.3 billion for the three and nine months ended September 30, 2024, respectively. The financial strength ratings of Essent Guaranty are A2 with a stable outlook by Moody’s Ratings (“Moody's”), A- with a stable outlook by S&amp;P Global Ratings (“S&amp;P”) and A (Excellent) with a stable outlook by A.M. Best Ratings Services, Inc. ("AM Best").</w:t>
      </w:r>
    </w:p>
    <w:p>
      <w:pPr>
        <w:spacing w:after="0" w:line="113"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Through our wholly-owned Bermuda-based subsidiary, Essent Reinsurance Ltd., which we refer to as "Essent Re", we reinsure U.S. mortgage risk in the GSE credit risk transfer market and provide underwriting consulting services to third-party reinsurers. As of September 30, 2025, Essent Re provided insurance or reinsurance relating to GSE and other mortgage risk share and other reinsurance transactions covering approximately $2.2 billion of risk. Essent Re also reinsures Essent Guaranty’s NIW under a quota share reinsurance agreement. The financial strength ratings of Essent Re are A- with a stable outlook by S&amp;P and A (Excellent) with a stable outlook by AM Best.</w:t>
      </w:r>
    </w:p>
    <w:p>
      <w:pPr>
        <w:spacing w:after="0" w:line="102" w:lineRule="exact"/>
        <w:rPr>
          <w:sz w:val="20"/>
          <w:szCs w:val="20"/>
          <w:color w:val="auto"/>
        </w:rPr>
      </w:pPr>
    </w:p>
    <w:p>
      <w:pPr>
        <w:ind w:right="480" w:firstLine="404"/>
        <w:spacing w:after="0" w:line="259"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as well as title and settlement services. This operating segment was established upon our acquisitions of Agents National Title Insurance Company (renamed Essent Title Insurance, Inc. effective January 1, 2025), a title insurance underwriter, and Boston National Title, a national title agency, which was effective July 1, 2023. Title insurance operations are included in the Corporate &amp; Other category.</w:t>
      </w:r>
    </w:p>
    <w:p>
      <w:pPr>
        <w:spacing w:after="0" w:line="115" w:lineRule="exact"/>
        <w:rPr>
          <w:sz w:val="20"/>
          <w:szCs w:val="20"/>
          <w:color w:val="auto"/>
        </w:rPr>
      </w:pPr>
    </w:p>
    <w:p>
      <w:pPr>
        <w:ind w:right="240" w:firstLine="646"/>
        <w:spacing w:after="0" w:line="280" w:lineRule="auto"/>
        <w:rPr>
          <w:sz w:val="20"/>
          <w:szCs w:val="20"/>
          <w:color w:val="auto"/>
        </w:rPr>
      </w:pPr>
      <w:r>
        <w:rPr>
          <w:rFonts w:ascii="Times New Roman" w:cs="Times New Roman" w:eastAsia="Times New Roman" w:hAnsi="Times New Roman"/>
          <w:sz w:val="18"/>
          <w:szCs w:val="18"/>
          <w:color w:val="auto"/>
        </w:rPr>
        <w:t>We have a highly experienced, talented team with 510 employees as of September 30, 2025. Our holding company and reinsurance business are domiciled in Bermuda. Our U.S. mortgage insurance and title insurance operations are headquartered in Radnor, Pennsylvania.</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w:t>
      </w:r>
    </w:p>
    <w:p>
      <w:pPr>
        <w:spacing w:after="0" w:line="147" w:lineRule="exact"/>
        <w:rPr>
          <w:sz w:val="20"/>
          <w:szCs w:val="20"/>
          <w:color w:val="auto"/>
        </w:rPr>
      </w:pPr>
    </w:p>
    <w:p>
      <w:pPr>
        <w:ind w:right="160" w:firstLine="404"/>
        <w:spacing w:after="0" w:line="276" w:lineRule="auto"/>
        <w:rPr>
          <w:sz w:val="20"/>
          <w:szCs w:val="20"/>
          <w:color w:val="auto"/>
        </w:rPr>
      </w:pPr>
      <w:r>
        <w:rPr>
          <w:rFonts w:ascii="Times New Roman" w:cs="Times New Roman" w:eastAsia="Times New Roman" w:hAnsi="Times New Roman"/>
          <w:sz w:val="17"/>
          <w:szCs w:val="17"/>
          <w:color w:val="auto"/>
        </w:rPr>
        <w:t>The Federal Reserve increased the target federal funds rate several times during 2022 and 2023 in an effort to reduce consumer price inflation. As a result of progress on inflation, the Federal Reserve reduced the target federal funds rate by 100 basis points in 2024 and by another 25 basis points in the three and nine months ended September 30, 2025. Mortgage interest rates, however, remain elevated,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spacing w:after="0" w:line="100" w:lineRule="exact"/>
        <w:rPr>
          <w:sz w:val="20"/>
          <w:szCs w:val="20"/>
          <w:color w:val="auto"/>
        </w:rPr>
      </w:pPr>
    </w:p>
    <w:p>
      <w:pPr>
        <w:ind w:right="180" w:firstLine="404"/>
        <w:spacing w:after="0" w:line="257"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Based on prior industry experience, we expect the ultimate number of hurricane-related defaults that result in claims will be less than the default-to-claim experience of non-hurricane-related defaults. The impact on our reserves in future periods will be dependent upon the performance of the hurricane-related defaults and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for the amount of ultimate losses on these delinquencies.</w:t>
      </w:r>
    </w:p>
    <w:p>
      <w:pPr>
        <w:spacing w:after="0" w:line="143"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Our insurance in force in areas with Federal Emergency Management Agency (FEMA) disaster declarations at the time of these wildfires was less than 0.1% of our total insurance in force. These wildfires are not expected to have a material impact on our reserves.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7" w:lineRule="exact"/>
        <w:rPr>
          <w:sz w:val="20"/>
          <w:szCs w:val="20"/>
          <w:color w:val="auto"/>
        </w:rPr>
      </w:pPr>
    </w:p>
    <w:p>
      <w:pPr>
        <w:ind w:right="20" w:firstLine="646"/>
        <w:spacing w:after="0" w:line="259"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Tax Reform</w:t>
      </w:r>
    </w:p>
    <w:p>
      <w:pPr>
        <w:spacing w:after="0" w:line="254"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210"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On July 4, 2025, a budget reconciliation package known as the One Big Beautiful Bill Act of 2025 (“OBBBA”) was enacted which includes both tax and non-tax provisions. Based on our current analysis of the provisions, we do not expect the OBBBA to have a material impact on our financial position or results of operations.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160" w:lineRule="exact"/>
        <w:rPr>
          <w:sz w:val="20"/>
          <w:szCs w:val="20"/>
          <w:color w:val="auto"/>
        </w:rPr>
      </w:pPr>
    </w:p>
    <w:p>
      <w:pPr>
        <w:ind w:right="20" w:firstLine="646"/>
        <w:spacing w:after="0" w:line="265"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95"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7"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60" w:right="160" w:hanging="330"/>
        <w:spacing w:after="0" w:line="26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right="4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2" w:lineRule="exact"/>
        <w:rPr>
          <w:rFonts w:ascii="Times New Roman" w:cs="Times New Roman" w:eastAsia="Times New Roman" w:hAnsi="Times New Roman"/>
          <w:sz w:val="18"/>
          <w:szCs w:val="18"/>
          <w:color w:val="auto"/>
        </w:rPr>
      </w:pPr>
    </w:p>
    <w:p>
      <w:pPr>
        <w:ind w:left="660" w:right="26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23"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2025 were non-refundable. Premiums collected on annual policies are recognized as net premiums earned on a straight-line basis over the year of coverage. For the nine months ended September 30, 2025 and 2024, monthly premium policies comprised 99% and 98% of our NIW, respectively.</w:t>
      </w:r>
    </w:p>
    <w:p>
      <w:pPr>
        <w:spacing w:after="0" w:line="213" w:lineRule="exact"/>
        <w:rPr>
          <w:sz w:val="20"/>
          <w:szCs w:val="20"/>
          <w:color w:val="auto"/>
        </w:rPr>
      </w:pPr>
    </w:p>
    <w:p>
      <w:pPr>
        <w:ind w:right="400" w:firstLine="646"/>
        <w:spacing w:after="0" w:line="280" w:lineRule="auto"/>
        <w:rPr>
          <w:sz w:val="20"/>
          <w:szCs w:val="20"/>
          <w:color w:val="auto"/>
        </w:rPr>
      </w:pPr>
      <w:r>
        <w:rPr>
          <w:rFonts w:ascii="Times New Roman" w:cs="Times New Roman" w:eastAsia="Times New Roman" w:hAnsi="Times New Roman"/>
          <w:sz w:val="18"/>
          <w:szCs w:val="18"/>
          <w:color w:val="auto"/>
        </w:rPr>
        <w:t>Premiums associated with our GSE and other mortgage risk share transactions are based on the level of risk in force and premium rates on the transactions.</w:t>
      </w:r>
    </w:p>
    <w:p>
      <w:pPr>
        <w:spacing w:after="0" w:line="190" w:lineRule="exact"/>
        <w:rPr>
          <w:sz w:val="20"/>
          <w:szCs w:val="20"/>
          <w:color w:val="auto"/>
        </w:rPr>
      </w:pPr>
    </w:p>
    <w:p>
      <w:pPr>
        <w:ind w:right="180" w:firstLine="646"/>
        <w:spacing w:after="0" w:line="280"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86.0% at September 30, 2025. Generally, higher prepayment speeds lead to lower persistency.</w:t>
      </w:r>
    </w:p>
    <w:p>
      <w:pPr>
        <w:spacing w:after="0" w:line="202" w:lineRule="exact"/>
        <w:rPr>
          <w:sz w:val="20"/>
          <w:szCs w:val="20"/>
          <w:color w:val="auto"/>
        </w:rPr>
      </w:pPr>
    </w:p>
    <w:p>
      <w:pPr>
        <w:ind w:right="20" w:firstLine="691"/>
        <w:spacing w:after="0" w:line="255"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7" w:lineRule="exact"/>
        <w:rPr>
          <w:sz w:val="20"/>
          <w:szCs w:val="20"/>
          <w:color w:val="auto"/>
        </w:rPr>
      </w:pPr>
    </w:p>
    <w:p>
      <w:pPr>
        <w:ind w:right="60" w:firstLine="646"/>
        <w:spacing w:after="0" w:line="254"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September 30, 2025.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4" w:lineRule="exact"/>
        <w:rPr>
          <w:sz w:val="20"/>
          <w:szCs w:val="20"/>
          <w:color w:val="auto"/>
        </w:rPr>
      </w:pPr>
    </w:p>
    <w:p>
      <w:pPr>
        <w:ind w:right="120" w:firstLine="646"/>
        <w:spacing w:after="0" w:line="255"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7" w:lineRule="exact"/>
        <w:rPr>
          <w:sz w:val="20"/>
          <w:szCs w:val="20"/>
          <w:color w:val="auto"/>
        </w:rPr>
      </w:pPr>
    </w:p>
    <w:p>
      <w:pPr>
        <w:jc w:val="both"/>
        <w:ind w:right="220" w:firstLine="646"/>
        <w:spacing w:after="0" w:line="257"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spacing w:after="0" w:line="210" w:lineRule="exact"/>
        <w:rPr>
          <w:sz w:val="20"/>
          <w:szCs w:val="20"/>
          <w:color w:val="auto"/>
        </w:rPr>
      </w:pPr>
    </w:p>
    <w:p>
      <w:pPr>
        <w:ind w:right="140" w:firstLine="646"/>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183" w:lineRule="exact"/>
        <w:rPr>
          <w:sz w:val="20"/>
          <w:szCs w:val="20"/>
          <w:color w:val="auto"/>
        </w:rPr>
      </w:pPr>
    </w:p>
    <w:p>
      <w:pPr>
        <w:ind w:firstLine="169"/>
        <w:spacing w:after="0" w:line="265"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7"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3" w:lineRule="exact"/>
        <w:rPr>
          <w:sz w:val="20"/>
          <w:szCs w:val="20"/>
          <w:color w:val="auto"/>
        </w:rPr>
      </w:pPr>
    </w:p>
    <w:p>
      <w:pPr>
        <w:ind w:left="660" w:right="200" w:hanging="330"/>
        <w:spacing w:after="0" w:line="28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2" w:lineRule="exact"/>
        <w:rPr>
          <w:rFonts w:ascii="Times New Roman" w:cs="Times New Roman" w:eastAsia="Times New Roman" w:hAnsi="Times New Roman"/>
          <w:sz w:val="18"/>
          <w:szCs w:val="18"/>
          <w:color w:val="auto"/>
        </w:rPr>
      </w:pPr>
    </w:p>
    <w:p>
      <w:pPr>
        <w:ind w:left="660" w:right="220" w:hanging="330"/>
        <w:spacing w:after="0" w:line="311"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5" w:lineRule="exact"/>
        <w:rPr>
          <w:rFonts w:ascii="Times New Roman" w:cs="Times New Roman" w:eastAsia="Times New Roman" w:hAnsi="Times New Roman"/>
          <w:sz w:val="17"/>
          <w:szCs w:val="17"/>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660" w:right="160" w:hanging="330"/>
        <w:spacing w:after="0" w:line="26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2" w:lineRule="exact"/>
        <w:rPr>
          <w:rFonts w:ascii="Times New Roman" w:cs="Times New Roman" w:eastAsia="Times New Roman" w:hAnsi="Times New Roman"/>
          <w:sz w:val="18"/>
          <w:szCs w:val="18"/>
          <w:color w:val="auto"/>
        </w:rPr>
      </w:pPr>
    </w:p>
    <w:p>
      <w:pPr>
        <w:ind w:left="660" w:right="40" w:hanging="330"/>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September 30, 2025, 45% of our IIF relates to business written since January 1, 2023 and was less than three years old. As a result, based on historical industry performance, we expect the number of defaults and claims we experience, as well as our provision for losses and loss adjustment expenses ("LAE"), to increase as our portfolio continues to season. See “— Mortgage Insurance Earnings and Cash Flow Cycle” below.</w:t>
      </w:r>
    </w:p>
    <w:p>
      <w:pPr>
        <w:spacing w:after="0" w:line="183" w:lineRule="exact"/>
        <w:rPr>
          <w:sz w:val="20"/>
          <w:szCs w:val="20"/>
          <w:color w:val="auto"/>
        </w:rPr>
      </w:pPr>
    </w:p>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7" w:lineRule="exact"/>
        <w:rPr>
          <w:sz w:val="20"/>
          <w:szCs w:val="20"/>
          <w:color w:val="auto"/>
        </w:rPr>
      </w:pPr>
    </w:p>
    <w:p>
      <w:pPr>
        <w:ind w:right="20" w:firstLine="646"/>
        <w:spacing w:after="0" w:line="261" w:lineRule="auto"/>
        <w:rPr>
          <w:sz w:val="20"/>
          <w:szCs w:val="20"/>
          <w:color w:val="auto"/>
        </w:rPr>
      </w:pPr>
      <w:r>
        <w:rPr>
          <w:rFonts w:ascii="Times New Roman" w:cs="Times New Roman" w:eastAsia="Times New Roman" w:hAnsi="Times New Roman"/>
          <w:sz w:val="17"/>
          <w:szCs w:val="17"/>
          <w:color w:val="auto"/>
        </w:rPr>
        <w:t>Based upon our experience and industry data, claims incidence for mortgage insurance is generally highest in the third through sixth years after loan origination. As of September 30, 2025, 45% of our IIF relates to business written since January 1, 2023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86" w:lineRule="exact"/>
        <w:rPr>
          <w:sz w:val="20"/>
          <w:szCs w:val="20"/>
          <w:color w:val="auto"/>
        </w:rPr>
      </w:pPr>
    </w:p>
    <w:p>
      <w:pPr>
        <w:ind w:firstLine="404"/>
        <w:spacing w:after="0"/>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subsequent reductions in inflation rates, the Federal Reserve reduced the target federal funds rate by 100 basis points in 2024 and by another 25 basis points in the three and nine months ended September 30, 2025.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103" w:lineRule="exact"/>
        <w:rPr>
          <w:sz w:val="20"/>
          <w:szCs w:val="20"/>
          <w:color w:val="auto"/>
        </w:rPr>
      </w:pPr>
    </w:p>
    <w:p>
      <w:pPr>
        <w:ind w:right="60" w:firstLine="404"/>
        <w:spacing w:after="0" w:line="235"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at December 31, 2024 included 2,119 defaults that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 As of September 30, 2025, the reserves established for the Hurricane Milton and Helene defaults are materially unchanged from December 31, 2024 as this amount continues to be our best estimate of the ultimate losses to be incurred for claims associated with those defaults.</w:t>
      </w:r>
    </w:p>
    <w:p>
      <w:pPr>
        <w:spacing w:after="0" w:line="137"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Our insurance in force in areas with Federal Emergency Management Agency (FEMA) disaster declarations at the time of these wildfires was less than 0.1% of our total insurance in force. These wildfires are not expected to have a material impact on our reserves.</w:t>
      </w:r>
    </w:p>
    <w:p>
      <w:pPr>
        <w:spacing w:after="0" w:line="108" w:lineRule="exact"/>
        <w:rPr>
          <w:sz w:val="20"/>
          <w:szCs w:val="20"/>
          <w:color w:val="auto"/>
        </w:rPr>
      </w:pPr>
    </w:p>
    <w:p>
      <w:pPr>
        <w:ind w:right="40" w:firstLine="444"/>
        <w:spacing w:after="0" w:line="257"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at September 30, 2025, we had approximately $1.4 billion of excess of loss reinsurance covering NIW from January 1, 2018 through August 31, 2019 and August 1, 2020 through December 31, 2025 and quota share reinsurance on portions of our NIW effective September 1, 2019 through December 31, 2020 and January 1, 2022 through December 31, 2025. The impact on our reserves in future periods will be dependent upon the amount of delinquent notices received from loan servicers, the performance of defaults and our expectations for the amount of ultimate losses on these delinquencies.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Title Insurance</w:t>
      </w:r>
    </w:p>
    <w:p>
      <w:pPr>
        <w:spacing w:after="0" w:line="145" w:lineRule="exact"/>
        <w:rPr>
          <w:sz w:val="20"/>
          <w:szCs w:val="20"/>
          <w:color w:val="auto"/>
        </w:rPr>
      </w:pPr>
    </w:p>
    <w:p>
      <w:pPr>
        <w:ind w:right="160" w:firstLine="404"/>
        <w:spacing w:after="0" w:line="257"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116" w:lineRule="exact"/>
        <w:rPr>
          <w:sz w:val="20"/>
          <w:szCs w:val="20"/>
          <w:color w:val="auto"/>
        </w:rPr>
      </w:pPr>
    </w:p>
    <w:p>
      <w:pPr>
        <w:ind w:right="20" w:firstLine="404"/>
        <w:spacing w:after="0" w:line="259"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47"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0" w:lineRule="exact"/>
        <w:rPr>
          <w:sz w:val="20"/>
          <w:szCs w:val="20"/>
          <w:color w:val="auto"/>
        </w:rPr>
      </w:pPr>
    </w:p>
    <w:p>
      <w:pPr>
        <w:ind w:right="440" w:firstLine="646"/>
        <w:spacing w:after="0" w:line="280"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mortgage insurance NIW, title insurance policies issued and settlement services provided.</w:t>
      </w:r>
    </w:p>
    <w:p>
      <w:pPr>
        <w:spacing w:after="0" w:line="82" w:lineRule="exact"/>
        <w:rPr>
          <w:sz w:val="20"/>
          <w:szCs w:val="20"/>
          <w:color w:val="auto"/>
        </w:rPr>
      </w:pPr>
    </w:p>
    <w:p>
      <w:pPr>
        <w:ind w:right="180" w:firstLine="691"/>
        <w:spacing w:after="0" w:line="259"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49% and 51% of other underwriting and operating expenses for the three and nine months ended September 30, 2025, respectively, compared to 51% and 51% of other underwriting and operating expenses for the three and nine months ended September 30, 2024, respectively. Compensation and benefits expense includes base and incentive cash compensation, stock compensation expense, benefits and payroll taxes.</w:t>
      </w:r>
    </w:p>
    <w:p>
      <w:pPr>
        <w:spacing w:after="0" w:line="115"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spacing w:after="0" w:line="108" w:lineRule="exact"/>
        <w:rPr>
          <w:sz w:val="20"/>
          <w:szCs w:val="20"/>
          <w:color w:val="auto"/>
        </w:rPr>
      </w:pPr>
    </w:p>
    <w:p>
      <w:pPr>
        <w:ind w:right="280" w:firstLine="646"/>
        <w:spacing w:after="0" w:line="265" w:lineRule="auto"/>
        <w:rPr>
          <w:sz w:val="20"/>
          <w:szCs w:val="20"/>
          <w:color w:val="auto"/>
        </w:rPr>
      </w:pPr>
      <w:r>
        <w:rPr>
          <w:rFonts w:ascii="Times New Roman" w:cs="Times New Roman" w:eastAsia="Times New Roman" w:hAnsi="Times New Roman"/>
          <w:sz w:val="18"/>
          <w:szCs w:val="18"/>
          <w:color w:val="auto"/>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vary according to regional differences in real estate closing practices and state regulations.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0" w:lineRule="exact"/>
        <w:rPr>
          <w:sz w:val="20"/>
          <w:szCs w:val="20"/>
          <w:color w:val="auto"/>
        </w:rPr>
      </w:pPr>
    </w:p>
    <w:p>
      <w:pPr>
        <w:ind w:right="60" w:firstLine="646"/>
        <w:spacing w:after="0" w:line="255" w:lineRule="auto"/>
        <w:rPr>
          <w:sz w:val="20"/>
          <w:szCs w:val="20"/>
          <w:color w:val="auto"/>
        </w:rPr>
      </w:pPr>
      <w:r>
        <w:rPr>
          <w:rFonts w:ascii="Times New Roman" w:cs="Times New Roman" w:eastAsia="Times New Roman" w:hAnsi="Times New Roman"/>
          <w:sz w:val="18"/>
          <w:szCs w:val="18"/>
          <w:color w:val="auto"/>
        </w:rPr>
        <w:t>Through June 30, 2024, interest expense was incurred as a result of borrowings under our secured credit facility (the “Existing Credit Facility”). Borrowings accrued interest at a floating rate tied to a standard short-term borrowing index, selected at the Company’s option, plus an applicable margin. On July 1, 2024, we completed an underwritten public offering of $500 million of 6.25% Senior Notes due in 2029 and used approximately $425 million of the net proceeds to repay all of the borrowings outstanding under the term loan portion of the Existing Credit Facility. Concurrently, on July 1, 2024, the Fourth Amended and Restated Credit Agreement (the “Revolving Credit Agreement”) became effective providing for an effective increase in the Company’s revolving credit facility borrowing capacity from $400 million to $500 million. See Note 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96" w:lineRule="exact"/>
        <w:rPr>
          <w:sz w:val="20"/>
          <w:szCs w:val="20"/>
          <w:color w:val="auto"/>
        </w:rPr>
      </w:pPr>
    </w:p>
    <w:p>
      <w:pPr>
        <w:ind w:right="140" w:firstLine="646"/>
        <w:spacing w:after="0" w:line="239"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and their income is currently not subject to a corporate income tax. See "—Legislative and Regulatory Developments—Bermuda Corporate Income Tax" above. Under a quota share reinsurance agreement, Essent Re reinsures 25% of Essent Guaranty’s NIW through December 31, 2020 and 35% of Essent Guaranty’s NIW after December 31, 2020. In April 2025, Essent Guaranty and Essent Re agreed to increase the quota share reinsurance coverage of Essent Guaranty’s NIW provided by Essent Re to 50% effective January 1, 2025. The quota share reinsurance coverage provided by Essent Re for Essent Guaranty’s NIW prior to January 1, 2025 will continue at the quota share percentage in effect at the time NIW was first ceded. Essent Re also provides insurance and reinsurance to Freddie Mac and Fannie Mae.</w:t>
      </w:r>
    </w:p>
    <w:p>
      <w:pPr>
        <w:spacing w:after="0" w:line="212" w:lineRule="exact"/>
        <w:rPr>
          <w:sz w:val="20"/>
          <w:szCs w:val="20"/>
          <w:color w:val="auto"/>
        </w:rPr>
      </w:pPr>
    </w:p>
    <w:p>
      <w:pPr>
        <w:ind w:right="380" w:firstLine="646"/>
        <w:spacing w:after="0" w:line="280"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7" w:lineRule="exact"/>
        <w:rPr>
          <w:sz w:val="20"/>
          <w:szCs w:val="20"/>
          <w:color w:val="auto"/>
        </w:rPr>
      </w:pPr>
    </w:p>
    <w:p>
      <w:pPr>
        <w:ind w:right="80" w:firstLine="646"/>
        <w:spacing w:after="0" w:line="257"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7" w:lineRule="exact"/>
        <w:rPr>
          <w:sz w:val="20"/>
          <w:szCs w:val="20"/>
          <w:color w:val="auto"/>
        </w:rPr>
      </w:pPr>
    </w:p>
    <w:p>
      <w:pPr>
        <w:ind w:right="220" w:firstLine="646"/>
        <w:spacing w:after="0" w:line="265"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three and nine months ended September 30, 2025 and 2024 for our U.S. mortgage insurance portfolio. In addition, this table includes our RIF at the end of each period.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246,797,619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240,669,165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12,233,252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12,513,695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34,723,319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33,340,364</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(10,206,817)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(29,560,401)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(29,442,583)</w:t>
            </w:r>
          </w:p>
        </w:tc>
        <w:tc>
          <w:tcPr>
            <w:tcW w:w="0" w:type="dxa"/>
            <w:vAlign w:val="bottom"/>
          </w:tcPr>
          <w:p>
            <w:pPr>
              <w:spacing w:after="0"/>
              <w:rPr>
                <w:sz w:val="1"/>
                <w:szCs w:val="1"/>
                <w:color w:val="auto"/>
              </w:rPr>
            </w:pPr>
          </w:p>
        </w:tc>
      </w:tr>
      <w:tr>
        <w:trPr>
          <w:trHeight w:val="22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248,808,341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242,976,043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248,808,341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242,976,043</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247,821,046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242,065,632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245,880,738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240,165,132</w:t>
            </w: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56,940,929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55,915,640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56,940,929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55,915,640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IIF at September 30, 2025 by vintage: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6"/>
                <w:szCs w:val="16"/>
                <w:color w:val="auto"/>
              </w:rPr>
            </w:pPr>
          </w:p>
        </w:tc>
        <w:tc>
          <w:tcPr>
            <w:tcW w:w="12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
        </w:trPr>
        <w:tc>
          <w:tcPr>
            <w:tcW w:w="7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(through September 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33,356,600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40,106,430</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37,383,517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46,918,955</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42,983,766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29,520,352</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and prior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18,538,721</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r>
      <w:tr>
        <w:trPr>
          <w:trHeight w:val="222"/>
        </w:trPr>
        <w:tc>
          <w:tcPr>
            <w:tcW w:w="7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248,808,341</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7"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w:t>
      </w:r>
    </w:p>
    <w:p>
      <w:pPr>
        <w:spacing w:after="0" w:line="2" w:lineRule="exact"/>
        <w:rPr>
          <w:sz w:val="20"/>
          <w:szCs w:val="20"/>
          <w:color w:val="auto"/>
        </w:rPr>
      </w:pPr>
    </w:p>
    <w:p>
      <w:pPr>
        <w:ind w:right="620" w:firstLine="8"/>
        <w:spacing w:after="0" w:line="259"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for NIW; and (5) premiums ceded under third-party reinsurance agreements. The following table presents the average net premium rate for our U.S. mortgage insurance portfolio:</w:t>
      </w:r>
    </w:p>
    <w:p>
      <w:pPr>
        <w:sectPr>
          <w:pgSz w:w="11900" w:h="16838" w:orient="portrait"/>
          <w:cols w:equalWidth="0" w:num="1">
            <w:col w:w="11220"/>
          </w:cols>
          <w:pgMar w:left="320" w:top="121" w:right="359" w:bottom="1440" w:gutter="0" w:footer="0" w:header="0"/>
        </w:sectPr>
      </w:pPr>
    </w:p>
    <w:p>
      <w:pPr>
        <w:spacing w:after="0" w:line="24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33020</wp:posOffset>
            </wp:positionV>
            <wp:extent cx="1964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34" w:lineRule="exact"/>
        <w:rPr>
          <w:sz w:val="20"/>
          <w:szCs w:val="20"/>
          <w:color w:val="auto"/>
        </w:rPr>
      </w:pPr>
    </w:p>
    <w:p>
      <w:pPr>
        <w:ind w:left="550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33020</wp:posOffset>
            </wp:positionV>
            <wp:extent cx="1981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pacing w:after="0" w:line="34"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2" w:lineRule="exact"/>
        <w:rPr>
          <w:sz w:val="20"/>
          <w:szCs w:val="20"/>
          <w:color w:val="auto"/>
        </w:rPr>
      </w:pPr>
    </w:p>
    <w:p>
      <w:pPr>
        <w:sectPr>
          <w:pgSz w:w="11900" w:h="16838" w:orient="portrait"/>
          <w:cols w:equalWidth="0" w:num="2">
            <w:col w:w="7860" w:space="720"/>
            <w:col w:w="264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4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r>
      <w:tr>
        <w:trPr>
          <w:trHeight w:val="247"/>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right="60" w:firstLine="646"/>
        <w:spacing w:after="0" w:line="280" w:lineRule="auto"/>
        <w:rPr>
          <w:sz w:val="20"/>
          <w:szCs w:val="20"/>
          <w:color w:val="auto"/>
        </w:rPr>
      </w:pPr>
      <w:r>
        <w:rPr>
          <w:rFonts w:ascii="Times New Roman" w:cs="Times New Roman" w:eastAsia="Times New Roman" w:hAnsi="Times New Roman"/>
          <w:sz w:val="18"/>
          <w:szCs w:val="18"/>
          <w:color w:val="auto"/>
        </w:rPr>
        <w:t>The continued use of third-party reinsurance along with changes to the level of future cancellations of non-refundable single premium policies and mix of IIF may impact our average net premium rate in future periods.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7" w:lineRule="exact"/>
        <w:rPr>
          <w:sz w:val="20"/>
          <w:szCs w:val="20"/>
          <w:color w:val="auto"/>
        </w:rPr>
      </w:pPr>
    </w:p>
    <w:p>
      <w:pPr>
        <w:jc w:val="both"/>
        <w:ind w:right="260" w:firstLine="646"/>
        <w:spacing w:after="0" w:line="265"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7" w:lineRule="exact"/>
        <w:rPr>
          <w:sz w:val="20"/>
          <w:szCs w:val="20"/>
          <w:color w:val="auto"/>
        </w:rPr>
      </w:pPr>
    </w:p>
    <w:p>
      <w:pPr>
        <w:ind w:right="120" w:firstLine="646"/>
        <w:spacing w:after="0" w:line="259"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3"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As of September 30, 2025, the net risk in force for Essent Guaranty was $33.4 billion and its statutory capital was $3.7 billion, resulting in a risk-to-capital ratio of 8.9:1. The amount of capital required varies in each jurisdiction in which we operate; however, generally, the maximum permitted risk-to-capital ratio is 25.0 to 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Consolidated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727,071</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746,417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927,877</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199,923</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267,336</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660,541</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99,038</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561,503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145"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Net premiums earned for the three and nine months ended September 30, 2025 decreased compared to the three and nine months ended September 30, 2024. For more information, see Net Premiums Written and Earned under “Results of Operations: Mortgage Insurance” and Net Premiums Earned under “Results of Operations: Corporate &amp; Other”.</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2"/>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44,828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136,485</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13,786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58,614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4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160" w:firstLine="646"/>
        <w:spacing w:after="0" w:line="259" w:lineRule="auto"/>
        <w:rPr>
          <w:sz w:val="20"/>
          <w:szCs w:val="20"/>
          <w:color w:val="auto"/>
        </w:rPr>
      </w:pPr>
      <w:r>
        <w:rPr>
          <w:rFonts w:ascii="Times New Roman" w:cs="Times New Roman" w:eastAsia="Times New Roman" w:hAnsi="Times New Roman"/>
          <w:sz w:val="18"/>
          <w:szCs w:val="18"/>
          <w:color w:val="auto"/>
        </w:rPr>
        <w:t>The increase in net investment income for the three months ended September 30, 2025 as compared to the same period in 2024 was due to an increase in the weighted average balance of our investment portfolio as well as an increase in the pre-tax investment income yield. The increase in net investment income for the nine months ended September 30, 2025 as compared to the same period in 2024 was due to an increase in the weighted average balance of our investment portfolio.</w:t>
      </w:r>
    </w:p>
    <w:p>
      <w:pPr>
        <w:spacing w:after="0" w:line="210" w:lineRule="exact"/>
        <w:rPr>
          <w:sz w:val="20"/>
          <w:szCs w:val="20"/>
          <w:color w:val="auto"/>
        </w:rPr>
      </w:pPr>
    </w:p>
    <w:p>
      <w:pPr>
        <w:ind w:right="200" w:firstLine="646"/>
        <w:spacing w:after="0" w:line="280" w:lineRule="auto"/>
        <w:rPr>
          <w:sz w:val="20"/>
          <w:szCs w:val="20"/>
          <w:color w:val="auto"/>
        </w:rPr>
      </w:pPr>
      <w:r>
        <w:rPr>
          <w:rFonts w:ascii="Times New Roman" w:cs="Times New Roman" w:eastAsia="Times New Roman" w:hAnsi="Times New Roman"/>
          <w:sz w:val="18"/>
          <w:szCs w:val="18"/>
          <w:color w:val="auto"/>
        </w:rPr>
        <w:t>The average cash and investment portfolio balance increased to $6.3 billion for the three months ended September 30, 2025 from $6.2 billion for the three months ended September 30, 2024 and increased to $6.3 billion for the nine months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September 30, 2025 from $6.0 billion for the nine months ended September 30, 2024. The increase in the average cash and investment portfolio was primarily due to investing cash flows from operations.</w:t>
      </w:r>
    </w:p>
    <w:p>
      <w:pPr>
        <w:spacing w:after="0" w:line="190" w:lineRule="exact"/>
        <w:rPr>
          <w:sz w:val="20"/>
          <w:szCs w:val="20"/>
          <w:color w:val="auto"/>
        </w:rPr>
      </w:pPr>
    </w:p>
    <w:p>
      <w:pPr>
        <w:ind w:right="80" w:firstLine="646"/>
        <w:spacing w:after="0" w:line="265" w:lineRule="auto"/>
        <w:rPr>
          <w:sz w:val="20"/>
          <w:szCs w:val="20"/>
          <w:color w:val="auto"/>
        </w:rPr>
      </w:pPr>
      <w:r>
        <w:rPr>
          <w:rFonts w:ascii="Times New Roman" w:cs="Times New Roman" w:eastAsia="Times New Roman" w:hAnsi="Times New Roman"/>
          <w:sz w:val="18"/>
          <w:szCs w:val="18"/>
          <w:color w:val="auto"/>
        </w:rPr>
        <w:t>The pre-tax investment income yield increased from 3.8% in the three months ended September 30, 2024 to 3.9% for the three months ended September 30, 2025, primarily due to a general increase in investment yields due to rising interest rates. The pre-tax investment income yield was 3.8% for both the nine months ended September 30, 2025 and 2024. See “— Liquidity and Capital Resources” for further details of our investment portfolio.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from Other Invested Assets</w:t>
      </w:r>
    </w:p>
    <w:p>
      <w:pPr>
        <w:spacing w:after="0" w:line="252" w:lineRule="exact"/>
        <w:rPr>
          <w:sz w:val="20"/>
          <w:szCs w:val="20"/>
          <w:color w:val="auto"/>
        </w:rPr>
      </w:pPr>
    </w:p>
    <w:p>
      <w:pPr>
        <w:ind w:right="100" w:firstLine="646"/>
        <w:spacing w:after="0" w:line="259" w:lineRule="auto"/>
        <w:rPr>
          <w:sz w:val="20"/>
          <w:szCs w:val="20"/>
          <w:color w:val="auto"/>
        </w:rPr>
      </w:pPr>
      <w:r>
        <w:rPr>
          <w:rFonts w:ascii="Times New Roman" w:cs="Times New Roman" w:eastAsia="Times New Roman" w:hAnsi="Times New Roman"/>
          <w:sz w:val="18"/>
          <w:szCs w:val="18"/>
          <w:color w:val="auto"/>
        </w:rPr>
        <w:t>Income from other invested assets for the three months ended September 30, 2025 was $1.8 million as compared to $2.8 million for the three months ended September 30, 2024 and $13.6 million for the nine months ended September 30, 2025 compared to $0.5 million for the nine months ended September 30, 2024. The increase in income from other invested assets for the nine months ended September 30, 2025 compared to the nine months ended September 30, 2024 was primarily due to increased favorable fair value adjustments recorded.</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52"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Other income for the three months ended September 30, 2025 was $4.4 million as compared to $7.4 million for the three months ended September 30, 2024 and $17.3 million for the nine months ended September 30, 2025 compared to $17.7 million for the nine months ended September 30, 2024. The decrease in other income for the three months ended September 30, 2025 compared to the same period in 2024 was largely due to decreases in underwriting consulting services provided to third-party reinsurers and title settlement services revenues.</w:t>
      </w:r>
    </w:p>
    <w:p>
      <w:pPr>
        <w:spacing w:after="0" w:line="3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Losses and Expenses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Provision for Losses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increased provision for losses for the three and nine months ended September 30, 2025 compared to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was primarily due to an increase in the number of defaults as well as an increase in average reserve per default due to aging of defaults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within the mortgage insurance portfolio and a reduction in hurricane-related defaults without a corresponding change in reserves for hurricane-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defaults. See “Results of Operations: Mortgage Insurance" for more information.</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Underwriting and Operating Expenses</w:t>
      </w:r>
    </w:p>
    <w:p>
      <w:pPr>
        <w:spacing w:after="0" w:line="145" w:lineRule="exact"/>
        <w:rPr>
          <w:sz w:val="20"/>
          <w:szCs w:val="20"/>
          <w:color w:val="auto"/>
        </w:rPr>
      </w:pPr>
    </w:p>
    <w:p>
      <w:pPr>
        <w:ind w:right="60" w:firstLine="404"/>
        <w:spacing w:after="0" w:line="259" w:lineRule="auto"/>
        <w:rPr>
          <w:sz w:val="20"/>
          <w:szCs w:val="20"/>
          <w:color w:val="auto"/>
        </w:rPr>
      </w:pPr>
      <w:r>
        <w:rPr>
          <w:rFonts w:ascii="Times New Roman" w:cs="Times New Roman" w:eastAsia="Times New Roman" w:hAnsi="Times New Roman"/>
          <w:sz w:val="18"/>
          <w:szCs w:val="18"/>
          <w:color w:val="auto"/>
        </w:rPr>
        <w:t>The decrease in underwriting and operating expenses for the three and nine months ended September 30, 2025 compared to the three and nine months ended September 30, 2024 was primarily due to a decrease in compensation expense as a result of a decrease in stock based compensation and a reduction in title operating expenses as a result of fewer title policies issued. For more information, see “Results of Operations: Mortgage Insurance” and “Results of Operations: Corporate &amp; Other.”</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39" w:lineRule="exact"/>
        <w:rPr>
          <w:sz w:val="20"/>
          <w:szCs w:val="20"/>
          <w:color w:val="auto"/>
        </w:rPr>
      </w:pPr>
    </w:p>
    <w:p>
      <w:pPr>
        <w:ind w:firstLine="404"/>
        <w:spacing w:after="0" w:line="236" w:lineRule="auto"/>
        <w:rPr>
          <w:sz w:val="20"/>
          <w:szCs w:val="20"/>
          <w:color w:val="auto"/>
        </w:rPr>
      </w:pPr>
      <w:r>
        <w:rPr>
          <w:rFonts w:ascii="Times New Roman" w:cs="Times New Roman" w:eastAsia="Times New Roman" w:hAnsi="Times New Roman"/>
          <w:sz w:val="18"/>
          <w:szCs w:val="18"/>
          <w:color w:val="auto"/>
        </w:rPr>
        <w:t>For the three and nine months ended September 30, 2025, we incurred interest expense of $8.3 million and $24.5 million as compared to $11.5 million and $27.2 million for the three and nine months ended September 30, 2024, respectively. On July 1, 2024, Essent Group completed an underwritten public offering of $500 million principal amount of 6.25% Senior Notes due 2029 (the “Senior Notes"). The Company used the net proceeds from the sale of the Senior Notes to repay all of the borrowings outstanding under the term loan portion of the Existing Credit Facility on July 1, 2024. The decrease in interest expense during both the three and nine months ended September 30, 2025 was primarily due to a loss on debt extinguishment of $3.2 million recorded during the third quarter of 2024. For the three and nine month periods ended September 30, 2025, the average amount of borrowings outstanding were $500 million compared to $500 million and $450 million for the three and nine months ended September 30, 2024, respectively. For the three and nine months ended September 30, 2025, our total borrowings had a weighted average interest rate of 6.25% as compared to 6.32% and 6.84% for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right="40" w:firstLine="404"/>
        <w:spacing w:after="0" w:line="253"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$34.9 million and $31.4 million for the three months ended September 30, 2025 and 2024, respectively and $102.3 million and $99.0 million for the nine months ended September 30, 2025 and 2024, respectively. The provision for income taxes for the nine months ended September 30, 2025 was calculated using an estimated annual effective tax rate of 16.2% compared to 15.1% for the nine months ended September 30, 2024. The increase in our estimated annual effective tax rate is primarily related to withholding taxes incurred on intercompany dividends paid by Essent US Holdings, Inc. to its parent company. For the nine months ended September 30, 2025, income tax expense includes $3.2 million of discrete tax expense associated with realized and unrealized gains recognized during the period partially offset by $0.8 million excess tax benefits associated with the vesting of common shares and common share units as well as $0.8 million of favorable adjustments related to prior year tax returns. For the nine months ended September 30, 2024, income tax expense includes $0.6 million of discrete tax benefit associated with realized and unrealized losses recognized during the period partially offset by excess tax deficits associated with the vesting of common shares and common share units.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Mortgage Insurance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231,628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231,249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699,165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696,813</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137,150</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28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10,415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282,555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284,401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861,241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846,254</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29,816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37,928</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26,593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84,197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86,507</w:t>
            </w:r>
          </w:p>
        </w:tc>
        <w:tc>
          <w:tcPr>
            <w:tcW w:w="0" w:type="dxa"/>
            <w:vAlign w:val="bottom"/>
          </w:tcPr>
          <w:p>
            <w:pPr>
              <w:spacing w:after="0"/>
              <w:rPr>
                <w:sz w:val="1"/>
                <w:szCs w:val="1"/>
                <w:color w:val="auto"/>
              </w:rPr>
            </w:pPr>
          </w:p>
        </w:tc>
      </w:tr>
      <w:tr>
        <w:trPr>
          <w:trHeight w:val="222"/>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2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57,700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174,455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124,435</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29,838</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33,130</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78,353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68,372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204,293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157,565</w:t>
            </w:r>
          </w:p>
        </w:tc>
        <w:tc>
          <w:tcPr>
            <w:tcW w:w="0" w:type="dxa"/>
            <w:vAlign w:val="bottom"/>
          </w:tcPr>
          <w:p>
            <w:pPr>
              <w:spacing w:after="0"/>
              <w:rPr>
                <w:sz w:val="1"/>
                <w:szCs w:val="1"/>
                <w:color w:val="auto"/>
              </w:rPr>
            </w:pPr>
          </w:p>
        </w:tc>
      </w:tr>
      <w:tr>
        <w:trPr>
          <w:trHeight w:val="24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216,029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656,948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688,689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4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 w:right="6720" w:firstLine="5"/>
        <w:spacing w:after="0" w:line="239" w:lineRule="auto"/>
        <w:tabs>
          <w:tab w:leader="none" w:pos="198"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for losses and LAE by net premiums earned.</w:t>
      </w:r>
    </w:p>
    <w:p>
      <w:pPr>
        <w:spacing w:after="0" w:line="11" w:lineRule="exact"/>
        <w:rPr>
          <w:rFonts w:ascii="Times New Roman" w:cs="Times New Roman" w:eastAsia="Times New Roman" w:hAnsi="Times New Roman"/>
          <w:sz w:val="13"/>
          <w:szCs w:val="13"/>
          <w:b w:val="1"/>
          <w:bCs w:val="1"/>
          <w:color w:val="auto"/>
        </w:rPr>
      </w:pPr>
    </w:p>
    <w:p>
      <w:pPr>
        <w:ind w:left="20" w:right="6840" w:firstLine="5"/>
        <w:spacing w:after="0" w:line="239" w:lineRule="auto"/>
        <w:tabs>
          <w:tab w:leader="none" w:pos="198"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955" cy="196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9621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 Compared to the Three and Nine Months Ended September 30, 2024</w:t>
      </w:r>
    </w:p>
    <w:p>
      <w:pPr>
        <w:spacing w:after="0" w:line="227" w:lineRule="exact"/>
        <w:rPr>
          <w:sz w:val="20"/>
          <w:szCs w:val="20"/>
          <w:color w:val="auto"/>
        </w:rPr>
      </w:pPr>
    </w:p>
    <w:p>
      <w:pPr>
        <w:ind w:right="180" w:firstLine="646"/>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2025, our Mortgage Insurance segment reported income before income tax expense of $204.2 million, compared to income before income tax expense of $216.0 million for the three months ended September 30, 2024. The decrease in our operating results during the three months ended September 30, 2025 compared to the same period in 2024 was primarily due to an increase in the provision for losses and decreases in income from other invested assets and other income, partially offset by an increases in net investment income and decreases in other underwriting and operating expenses.</w:t>
      </w:r>
    </w:p>
    <w:p>
      <w:pPr>
        <w:spacing w:after="0" w:line="210" w:lineRule="exact"/>
        <w:rPr>
          <w:sz w:val="20"/>
          <w:szCs w:val="20"/>
          <w:color w:val="auto"/>
        </w:rPr>
      </w:pPr>
    </w:p>
    <w:p>
      <w:pPr>
        <w:ind w:right="220" w:firstLine="646"/>
        <w:spacing w:after="0" w:line="280" w:lineRule="auto"/>
        <w:rPr>
          <w:sz w:val="20"/>
          <w:szCs w:val="20"/>
          <w:color w:val="auto"/>
        </w:rPr>
      </w:pPr>
      <w:r>
        <w:rPr>
          <w:rFonts w:ascii="Times New Roman" w:cs="Times New Roman" w:eastAsia="Times New Roman" w:hAnsi="Times New Roman"/>
          <w:sz w:val="18"/>
          <w:szCs w:val="18"/>
          <w:color w:val="auto"/>
        </w:rPr>
        <w:t>For the nine months ended September 30, 2025, our Mortgage Insurance segment reported income before income tax expense of $656.9 million, compared to income before income tax expense of $688.7 million for the nine months ended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September 30, 2024. The decrease in our operating results during the nine months ended September 30, 2025 compared to the same period in 2024 was primarily due to an increase in the provision for losses partially offset by increases in net premiums earned and net investment income and a decrease in other underwriting and operating expenses.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7" w:lineRule="exact"/>
        <w:rPr>
          <w:sz w:val="20"/>
          <w:szCs w:val="20"/>
          <w:color w:val="auto"/>
        </w:rPr>
      </w:pPr>
    </w:p>
    <w:p>
      <w:pPr>
        <w:ind w:right="100" w:firstLine="646"/>
        <w:spacing w:after="0" w:line="259" w:lineRule="auto"/>
        <w:rPr>
          <w:sz w:val="20"/>
          <w:szCs w:val="20"/>
          <w:color w:val="auto"/>
        </w:rPr>
      </w:pPr>
      <w:r>
        <w:rPr>
          <w:rFonts w:ascii="Times New Roman" w:cs="Times New Roman" w:eastAsia="Times New Roman" w:hAnsi="Times New Roman"/>
          <w:sz w:val="18"/>
          <w:szCs w:val="18"/>
          <w:color w:val="auto"/>
        </w:rPr>
        <w:t>Net premiums earned in the three months ended September 30, 2025 were largely unchanged compared to the three months ended September 30, 2024 as an increase in our average IIF from $242.1 billion for the three months ended September 30, 2024 to $247.8 billion for the three months ended and September 30, 2025, was offset by an increase in ceded premiums as a result of higher ceded losses under our third party quota share arrangements. The average net premium rate was 0.35% for both the three months ended September 30, 2025 and 2024.</w:t>
      </w:r>
    </w:p>
    <w:p>
      <w:pPr>
        <w:spacing w:after="0" w:line="210" w:lineRule="exact"/>
        <w:rPr>
          <w:sz w:val="20"/>
          <w:szCs w:val="20"/>
          <w:color w:val="auto"/>
        </w:rPr>
      </w:pPr>
    </w:p>
    <w:p>
      <w:pPr>
        <w:jc w:val="both"/>
        <w:ind w:right="240" w:firstLine="646"/>
        <w:spacing w:after="0" w:line="271" w:lineRule="auto"/>
        <w:rPr>
          <w:sz w:val="20"/>
          <w:szCs w:val="20"/>
          <w:color w:val="auto"/>
        </w:rPr>
      </w:pPr>
      <w:r>
        <w:rPr>
          <w:rFonts w:ascii="Times New Roman" w:cs="Times New Roman" w:eastAsia="Times New Roman" w:hAnsi="Times New Roman"/>
          <w:sz w:val="17"/>
          <w:szCs w:val="17"/>
          <w:color w:val="auto"/>
        </w:rPr>
        <w:t>Net premiums earned increased to $699.2 million in the nine months ended September 30, 2025 compared to $696.8 million in the nine months ended September 30, 2024. The increase in net premiums earned was due to an increase in our average IIF from $240.2 billion for the nine months ended September 30, 2024 to $245.9 billion for the nine months ended September 30, 2025, partially offset by a decrease in the average net premium rate to</w:t>
      </w:r>
    </w:p>
    <w:p>
      <w:pPr>
        <w:spacing w:after="0" w:line="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0.35% for the nine months ended September 30, 2025 compared to 0.36% for the nine months ended September 30, 2024. The decrease in the average net premium rate was due to an increase in ceded premiums as a result of higher ceded losses under our third party quota share arrangements.</w:t>
      </w:r>
    </w:p>
    <w:p>
      <w:pPr>
        <w:spacing w:after="0" w:line="207" w:lineRule="exact"/>
        <w:rPr>
          <w:sz w:val="20"/>
          <w:szCs w:val="20"/>
          <w:color w:val="auto"/>
        </w:rPr>
      </w:pPr>
    </w:p>
    <w:p>
      <w:pPr>
        <w:ind w:right="40" w:firstLine="646"/>
        <w:spacing w:after="0" w:line="265" w:lineRule="auto"/>
        <w:rPr>
          <w:sz w:val="20"/>
          <w:szCs w:val="20"/>
          <w:color w:val="auto"/>
        </w:rPr>
      </w:pPr>
      <w:r>
        <w:rPr>
          <w:rFonts w:ascii="Times New Roman" w:cs="Times New Roman" w:eastAsia="Times New Roman" w:hAnsi="Times New Roman"/>
          <w:sz w:val="18"/>
          <w:szCs w:val="18"/>
          <w:color w:val="auto"/>
        </w:rPr>
        <w:t>In the three months ended September 30, 2025 and 2024, unearned premiums decreased by $4.5 million and $6.0 million, respectively. The change in unearned premiums was a result of net premiums written on single premium policies of $2.1 million and $2.4 million, respectively, which was offset by $6.6 million and $8.4 million, respectively, of unearned premium that was recognized in earnings during the periods.</w:t>
      </w:r>
    </w:p>
    <w:p>
      <w:pPr>
        <w:spacing w:after="0" w:line="202" w:lineRule="exact"/>
        <w:rPr>
          <w:sz w:val="20"/>
          <w:szCs w:val="20"/>
          <w:color w:val="auto"/>
        </w:rPr>
      </w:pPr>
    </w:p>
    <w:p>
      <w:pPr>
        <w:ind w:right="100" w:firstLine="646"/>
        <w:spacing w:after="0" w:line="265" w:lineRule="auto"/>
        <w:rPr>
          <w:sz w:val="20"/>
          <w:szCs w:val="20"/>
          <w:color w:val="auto"/>
        </w:rPr>
      </w:pPr>
      <w:r>
        <w:rPr>
          <w:rFonts w:ascii="Times New Roman" w:cs="Times New Roman" w:eastAsia="Times New Roman" w:hAnsi="Times New Roman"/>
          <w:sz w:val="18"/>
          <w:szCs w:val="18"/>
          <w:color w:val="auto"/>
        </w:rPr>
        <w:t>In the nine months ended September 30, 2025 and 2024, unearned premiums decreased by $19.4 million and $19.3 million, respectively. This was a result of net premiums written on single premium policies of $6.1 million and $6.9 million, respectively, which was offset by $25.5 million and $26.2 million, respectively, of unearned premium that was recognized in earnings during the periods.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7"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In the three months ended September 30, 2025 we recorded a provision for losses of $44.2 million compared to a provision of $29.8 million for the three months ended September 30, 2024. In the nine months ended September 30, 2025 we recorded a provision of $90.3 million compared to a provision of $37.9 million for the nine months ended September 30, 2024. The increase in the provision for losses in the three and nine months ended September 30, 2025 compared to the same periods in 2024 was primarily due to an increase in the number of defaults as well as an increase in our reserve per default. The increase in average reserve per default was due to aging of defaults remaining within the mortgage insurance portfolio as well as a reduction in hurricane-related defaults during the three and nine months ended September 30, 2025 without a corresponding change in reserves established for hurricane-related defaults.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3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6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17,255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10,357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w:t>
            </w: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18,583</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20" w:type="dxa"/>
            <w:vAlign w:val="bottom"/>
          </w:tcPr>
          <w:p>
            <w:pPr>
              <w:spacing w:after="0"/>
              <w:rPr>
                <w:sz w:val="16"/>
                <w:szCs w:val="16"/>
                <w:color w:val="auto"/>
              </w:rPr>
            </w:pPr>
          </w:p>
        </w:tc>
      </w:tr>
      <w:tr>
        <w:trPr>
          <w:trHeight w:val="25"/>
        </w:trPr>
        <w:tc>
          <w:tcPr>
            <w:tcW w:w="21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218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 (in thousands) (1)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350,474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253,513</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reserves (in thousands) (1)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379,548</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274,926</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18,583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15,906</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135</w:t>
            </w:r>
          </w:p>
        </w:tc>
      </w:tr>
      <w:tr>
        <w:trPr>
          <w:trHeight w:val="161"/>
        </w:trPr>
        <w:tc>
          <w:tcPr>
            <w:tcW w:w="2180" w:type="dxa"/>
            <w:vAlign w:val="bottom"/>
            <w:tcBorders>
              <w:bottom w:val="single" w:sz="8" w:color="auto"/>
            </w:tcBorders>
          </w:tcPr>
          <w:p>
            <w:pPr>
              <w:spacing w:after="0"/>
              <w:rPr>
                <w:sz w:val="14"/>
                <w:szCs w:val="14"/>
                <w:color w:val="auto"/>
              </w:rPr>
            </w:pPr>
          </w:p>
        </w:tc>
        <w:tc>
          <w:tcPr>
            <w:tcW w:w="5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76" w:lineRule="exact"/>
        <w:rPr>
          <w:sz w:val="20"/>
          <w:szCs w:val="20"/>
          <w:color w:val="auto"/>
        </w:rPr>
      </w:pPr>
    </w:p>
    <w:p>
      <w:pPr>
        <w:ind w:left="660" w:right="140" w:hanging="330"/>
        <w:spacing w:after="0" w:line="28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mortgage risk share risk in force at Essent Re of $94 thousand and $37 thousand as of September 30, 2025 and September 30, 2024.</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U.S. mortgage insurance reserve balances for losses and LAE: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221,397</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(83,778)</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37,920</w:t>
            </w: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 (1)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83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25" w:lineRule="exact"/>
        <w:rPr>
          <w:sz w:val="20"/>
          <w:szCs w:val="20"/>
          <w:color w:val="auto"/>
        </w:rPr>
      </w:pPr>
    </w:p>
    <w:p>
      <w:pPr>
        <w:ind w:left="660" w:right="140" w:hanging="330"/>
        <w:spacing w:after="0" w:line="280"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mortgage risk share risk in force at Essent Re of $94 thousand and $37 thousand as of September 30, 2025 and September 30, 2024.</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2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8"/>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3480" w:type="dxa"/>
            <w:vAlign w:val="bottom"/>
            <w:gridSpan w:val="3"/>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503,842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215,321</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143,173</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559,663</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125,475</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206,735</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47"/>
        </w:trPr>
        <w:tc>
          <w:tcPr>
            <w:tcW w:w="34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1,505,098</w:t>
            </w:r>
          </w:p>
        </w:tc>
        <w:tc>
          <w:tcPr>
            <w:tcW w:w="134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gridSpan w:val="3"/>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379,548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100" w:hanging="330"/>
        <w:spacing w:after="0" w:line="280"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mortgage other risk share risk in force at Essent Re of $94 thousand as of September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3480" w:type="dxa"/>
            <w:vAlign w:val="bottom"/>
            <w:gridSpan w:val="3"/>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425,367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24,662</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202,138</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104,223</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86,821</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144,396</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47"/>
        </w:trPr>
        <w:tc>
          <w:tcPr>
            <w:tcW w:w="34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1,219,108</w:t>
            </w:r>
          </w:p>
        </w:tc>
        <w:tc>
          <w:tcPr>
            <w:tcW w:w="134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gridSpan w:val="3"/>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1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100" w:hanging="330"/>
        <w:spacing w:after="0" w:line="280"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mortgage risk share risk in force at Essent Re of $37 thousand as of September 30, 2024.</w:t>
      </w:r>
    </w:p>
    <w:p>
      <w:pPr>
        <w:spacing w:after="0" w:line="190"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the Mortgage Insurance provision for losses and LAE was a provision of $44.2 million, comprised of $62.3 million of current year losses partially offset by $18.2 million of favorable prior years’ loss development. During the three months ended September 30, 2024, the provision for losses and LAE was $29.8 million, comprised of $51.6 million of current year losses offset by $21.8 million of favorable prior years’ loss development.</w:t>
      </w:r>
    </w:p>
    <w:p>
      <w:pPr>
        <w:spacing w:after="0" w:line="210"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2025, the Mortgage Insurance provision for losses and LAE was $90.2 million, comprised of $156.4 million of current year losses partially offset by $66.2 million of favorable prior years’ loss development. During the nine months ended September 30, 2024, the provision for losses and LAE was $37.9 million, comprised of $121.7 million of current year losses partially offset by $83.8 million of favorable prior years’ loss development.</w:t>
      </w:r>
    </w:p>
    <w:p>
      <w:pPr>
        <w:spacing w:after="0" w:line="210" w:lineRule="exact"/>
        <w:rPr>
          <w:sz w:val="20"/>
          <w:szCs w:val="20"/>
          <w:color w:val="auto"/>
        </w:rPr>
      </w:pPr>
    </w:p>
    <w:p>
      <w:pPr>
        <w:ind w:right="380" w:firstLine="646"/>
        <w:spacing w:after="0" w:line="280" w:lineRule="auto"/>
        <w:rPr>
          <w:sz w:val="20"/>
          <w:szCs w:val="20"/>
          <w:color w:val="auto"/>
        </w:rPr>
      </w:pPr>
      <w:r>
        <w:rPr>
          <w:rFonts w:ascii="Times New Roman" w:cs="Times New Roman" w:eastAsia="Times New Roman" w:hAnsi="Times New Roman"/>
          <w:sz w:val="18"/>
          <w:szCs w:val="18"/>
          <w:color w:val="auto"/>
        </w:rPr>
        <w:t>In all periods, the prior years’ loss development was the result of a re-estimation of amounts ultimately to be paid on prior year defaults in the default inventory, including the impact of previously identified defaults that cured.</w:t>
      </w:r>
    </w:p>
    <w:p>
      <w:pPr>
        <w:spacing w:after="0" w:line="190" w:lineRule="exact"/>
        <w:rPr>
          <w:sz w:val="20"/>
          <w:szCs w:val="20"/>
          <w:color w:val="auto"/>
        </w:rPr>
      </w:pPr>
    </w:p>
    <w:p>
      <w:pPr>
        <w:ind w:right="34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our U.S. mortgage insurance portfolio for the periods indicated: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31,793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14,920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Mortgage Insurance segment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6"/>
                <w:szCs w:val="16"/>
                <w:color w:val="auto"/>
              </w:rPr>
            </w:pPr>
          </w:p>
        </w:tc>
        <w:tc>
          <w:tcPr>
            <w:tcW w:w="7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53,251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54,119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center"/>
              <w:ind w:left="17"/>
              <w:spacing w:after="0"/>
              <w:rPr>
                <w:sz w:val="20"/>
                <w:szCs w:val="20"/>
                <w:color w:val="auto"/>
              </w:rPr>
            </w:pPr>
            <w:r>
              <w:rPr>
                <w:rFonts w:ascii="Times New Roman" w:cs="Times New Roman" w:eastAsia="Times New Roman" w:hAnsi="Times New Roman"/>
                <w:sz w:val="18"/>
                <w:szCs w:val="18"/>
                <w:color w:val="auto"/>
              </w:rPr>
              <w:t>17,592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17,039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color w:val="auto"/>
              </w:rPr>
              <w:t>33,714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33,050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55"/>
        </w:trPr>
        <w:tc>
          <w:tcPr>
            <w:tcW w:w="312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Total other underwriting and operating</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84,197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86,507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5"/>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Average number of employees during the</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43" w:lineRule="exact"/>
        <w:rPr>
          <w:sz w:val="20"/>
          <w:szCs w:val="20"/>
          <w:color w:val="auto"/>
        </w:rPr>
      </w:pPr>
    </w:p>
    <w:p>
      <w:pPr>
        <w:ind w:left="660" w:right="20" w:hanging="249"/>
        <w:spacing w:after="0" w:line="24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during the three and nine months ended September 30, 2025 compared to the same periods in 2024 primarily due to a decrease in average number of employees during the current periods. Compensation and benefits includes salaries, wages and bonus, stock compensation expense, benefits and payroll taxes. The first quarter of each year typically has higher compensation and benefits expense than the subsequent quarters due to payroll taxes on annual bonus payouts and vesting of nonvested stock and stock units, as well as higher stock-based compensation expense.</w:t>
      </w:r>
    </w:p>
    <w:p>
      <w:pPr>
        <w:spacing w:after="0" w:line="104" w:lineRule="exact"/>
        <w:rPr>
          <w:rFonts w:ascii="Times New Roman" w:cs="Times New Roman" w:eastAsia="Times New Roman" w:hAnsi="Times New Roman"/>
          <w:sz w:val="18"/>
          <w:szCs w:val="18"/>
          <w:color w:val="auto"/>
        </w:rPr>
      </w:pPr>
    </w:p>
    <w:p>
      <w:pPr>
        <w:ind w:left="660" w:right="160" w:hanging="249"/>
        <w:spacing w:after="0" w:line="26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premium taxes during the three and nine month periods ended September 30, 2025 compared to the same periods in 2024 results from increases in the amount of mortgage insurance premiums written during the periods.</w:t>
      </w:r>
    </w:p>
    <w:p>
      <w:pPr>
        <w:spacing w:after="0" w:line="107" w:lineRule="exact"/>
        <w:rPr>
          <w:rFonts w:ascii="Times New Roman" w:cs="Times New Roman" w:eastAsia="Times New Roman" w:hAnsi="Times New Roman"/>
          <w:sz w:val="18"/>
          <w:szCs w:val="18"/>
          <w:color w:val="auto"/>
        </w:rPr>
      </w:pPr>
    </w:p>
    <w:p>
      <w:pPr>
        <w:ind w:left="660" w:right="340" w:hanging="249"/>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ceding commission during the three and nine month periods ended September 30, 2025 compared to the same periods in 2024 results from increases in the amount of reinsured insurance in force under our outstanding quota share arrangements.</w:t>
      </w:r>
    </w:p>
    <w:p>
      <w:pPr>
        <w:spacing w:after="0" w:line="82" w:lineRule="exact"/>
        <w:rPr>
          <w:rFonts w:ascii="Times New Roman" w:cs="Times New Roman" w:eastAsia="Times New Roman" w:hAnsi="Times New Roman"/>
          <w:sz w:val="18"/>
          <w:szCs w:val="18"/>
          <w:color w:val="auto"/>
        </w:rPr>
      </w:pPr>
    </w:p>
    <w:p>
      <w:pPr>
        <w:ind w:left="640" w:hanging="22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professional fees, travel, marketing, hardware, software, rent, depreciation and amortization and other facilities expenses.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Corporate &amp; Other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81,623</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142,901</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109,771</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 Compared to the Three and Nine Months Ended September 30, 2024</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47" w:lineRule="exact"/>
        <w:rPr>
          <w:sz w:val="20"/>
          <w:szCs w:val="20"/>
          <w:color w:val="auto"/>
        </w:rPr>
      </w:pPr>
    </w:p>
    <w:p>
      <w:pPr>
        <w:ind w:right="20" w:firstLine="404"/>
        <w:spacing w:after="0" w:line="265" w:lineRule="auto"/>
        <w:rPr>
          <w:sz w:val="20"/>
          <w:szCs w:val="20"/>
          <w:color w:val="auto"/>
        </w:rPr>
      </w:pPr>
      <w:r>
        <w:rPr>
          <w:rFonts w:ascii="Times New Roman" w:cs="Times New Roman" w:eastAsia="Times New Roman" w:hAnsi="Times New Roman"/>
          <w:sz w:val="18"/>
          <w:szCs w:val="18"/>
          <w:color w:val="auto"/>
        </w:rPr>
        <w:t>Net premiums earned reported in Corporate &amp; Other relate primarily to premiums earned by our title insurance operations. The decrease in net premiums earned is primarily due to a decrease in title insurance policies issued in the three and nine month periods ended September 30, 2025 compared to the same periods in 2024.</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&amp; LAE</w:t>
      </w:r>
    </w:p>
    <w:p>
      <w:pPr>
        <w:spacing w:after="0" w:line="160" w:lineRule="exact"/>
        <w:rPr>
          <w:sz w:val="20"/>
          <w:szCs w:val="20"/>
          <w:color w:val="auto"/>
        </w:rPr>
      </w:pPr>
    </w:p>
    <w:p>
      <w:pPr>
        <w:ind w:right="140" w:firstLine="404"/>
        <w:spacing w:after="0" w:line="259" w:lineRule="auto"/>
        <w:rPr>
          <w:sz w:val="20"/>
          <w:szCs w:val="20"/>
          <w:color w:val="auto"/>
        </w:rPr>
      </w:pPr>
      <w:r>
        <w:rPr>
          <w:rFonts w:ascii="Times New Roman" w:cs="Times New Roman" w:eastAsia="Times New Roman" w:hAnsi="Times New Roman"/>
          <w:sz w:val="18"/>
          <w:szCs w:val="18"/>
          <w:color w:val="auto"/>
        </w:rPr>
        <w:t>The provision for losses reported in Corporate &amp; Other primarily relates to loss provisions recorded by our title insurance operations. The increase in the provision for losses in the nine month period ended September 30, 2025 compared to the same period in 2024 is primarily due to the impact of recent industry experience and trends on our IBNR reserves. Title insurance and other reserves were $17.5 million at September 30, 2025 and $18.7 million at December 31, 2024.</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Corporate &amp; Other category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6"/>
                <w:szCs w:val="16"/>
                <w:color w:val="auto"/>
              </w:rPr>
            </w:pPr>
          </w:p>
        </w:tc>
        <w:tc>
          <w:tcPr>
            <w:tcW w:w="7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46,336</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55"/>
        </w:trPr>
        <w:tc>
          <w:tcPr>
            <w:tcW w:w="322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Total other underwriting and operating</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109,190</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5"/>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2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Average number of employees during the</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249"/>
        <w:spacing w:after="0" w:line="25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in the three months ended September 30, 2025 compared to the same period in 2024 primarily due to decreases in stock based compensation expense as a result of provisions in certain equity grants that reduced the service period, resulting in higher expense in early 2025. Compensation and benefits decreased during the nine months ended September 30, 2025 compared to the same period in 2024 as a result of decreased stock based compensation expense, partially offset by an increase in the average number of employees. Compensation and benefits includes salaries, wages and bonus, stock compensation expense, benefits and payroll taxes.</w:t>
      </w:r>
    </w:p>
    <w:p>
      <w:pPr>
        <w:spacing w:after="0" w:line="102" w:lineRule="exact"/>
        <w:rPr>
          <w:rFonts w:ascii="Times New Roman" w:cs="Times New Roman" w:eastAsia="Times New Roman" w:hAnsi="Times New Roman"/>
          <w:sz w:val="18"/>
          <w:szCs w:val="18"/>
          <w:color w:val="auto"/>
        </w:rPr>
      </w:pPr>
    </w:p>
    <w:p>
      <w:pPr>
        <w:ind w:left="660" w:right="120" w:hanging="249"/>
        <w:spacing w:after="0" w:line="26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during the nine months ended September 30, 2025 compared to the same period in 2024 primarily due to $0.5 million of net expense associated with prior year premium tax returns. Premium taxes were a benefit in the three months ended September 30, 2025 as the result of a $0.5 million reimbursement received during the quarter related to prior year premium tax returns.</w:t>
      </w:r>
    </w:p>
    <w:p>
      <w:pPr>
        <w:spacing w:after="0" w:line="108" w:lineRule="exact"/>
        <w:rPr>
          <w:rFonts w:ascii="Times New Roman" w:cs="Times New Roman" w:eastAsia="Times New Roman" w:hAnsi="Times New Roman"/>
          <w:sz w:val="18"/>
          <w:szCs w:val="18"/>
          <w:color w:val="auto"/>
        </w:rPr>
      </w:pPr>
    </w:p>
    <w:p>
      <w:pPr>
        <w:ind w:left="660" w:hanging="249"/>
        <w:spacing w:after="0" w:line="25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title and settlement services direct costs, professional fees, travel, marketing, hardware, software, rent, depreciation and amortization and other facilities expenses. Other expenses also includes premiums retained by agents which represents the portion of title insurance premiums retained by our third-party agents pursuant to the terms of their respective agency contracts. Other expenses decreased in the three and nine months ended September 30, 2025 compared to the same periods in 2024 primarily due to decreases in title and settlement services direct cost and premiums retained by agents due to a decrease in title insurance policies issued 2025.</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3" w:lineRule="exact"/>
        <w:rPr>
          <w:sz w:val="20"/>
          <w:szCs w:val="20"/>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Revolving Credit Facility;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Senior Notes and Revolving Credit Facility;</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10" w:lineRule="exact"/>
        <w:rPr>
          <w:sz w:val="20"/>
          <w:szCs w:val="20"/>
          <w:color w:val="auto"/>
        </w:rPr>
      </w:pPr>
    </w:p>
    <w:p>
      <w:pPr>
        <w:ind w:right="20" w:firstLine="646"/>
        <w:spacing w:after="0" w:line="238" w:lineRule="auto"/>
        <w:rPr>
          <w:sz w:val="20"/>
          <w:szCs w:val="20"/>
          <w:color w:val="auto"/>
        </w:rPr>
      </w:pPr>
      <w:r>
        <w:rPr>
          <w:rFonts w:ascii="Times New Roman" w:cs="Times New Roman" w:eastAsia="Times New Roman" w:hAnsi="Times New Roman"/>
          <w:sz w:val="18"/>
          <w:szCs w:val="18"/>
          <w:color w:val="auto"/>
        </w:rPr>
        <w:t>As of September 30, 2025, we had substantial liquidity with cash of $91.4 million, short-term investments of $640.1 million and fixed maturity investments of $5.4 billion. We also had $500 million available capacity under our Revolving Credit Facility. Cash and investments available for sale at the holding companies totaled $1.0 billion at September 30, 2025.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2025.</w:t>
      </w:r>
    </w:p>
    <w:p>
      <w:pPr>
        <w:spacing w:after="0" w:line="225" w:lineRule="exact"/>
        <w:rPr>
          <w:sz w:val="20"/>
          <w:szCs w:val="20"/>
          <w:color w:val="auto"/>
        </w:rPr>
      </w:pPr>
    </w:p>
    <w:p>
      <w:pPr>
        <w:ind w:right="160" w:firstLine="646"/>
        <w:spacing w:after="0" w:line="257" w:lineRule="auto"/>
        <w:rPr>
          <w:sz w:val="20"/>
          <w:szCs w:val="20"/>
          <w:color w:val="auto"/>
        </w:rPr>
      </w:pPr>
      <w:r>
        <w:rPr>
          <w:rFonts w:ascii="Times New Roman" w:cs="Times New Roman" w:eastAsia="Times New Roman" w:hAnsi="Times New Roman"/>
          <w:sz w:val="18"/>
          <w:szCs w:val="18"/>
          <w:color w:val="auto"/>
        </w:rPr>
        <w:t>On July 1, 2024, we completed an underwritten public offering of $500 million of 6.25% Senior Notes due in 2029. The Company used the net proceeds from the sale of the Senior Notes to repay the $425 million of borrowings outstanding under the term loan portion of the Existing Credit Facility and used the remaining net proceeds for general corporate purposes. On July 1, 2024, concurrently with the closing of the offering of the Senior Notes and the repayment of all of the borrowings outstanding under the term loan portion of the Existing Credit Facility, the Fourth Amended and Restated Credit Agreement (the “Revolving Credit Agreement”) became effective and amends and restates the Existing Credit Facility. The Revolving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provides for an effective increase in the Company’s revolving credit facility borrowing capacity from $400 million to $500 million.</w:t>
      </w:r>
    </w:p>
    <w:p>
      <w:pPr>
        <w:spacing w:after="0" w:line="250" w:lineRule="exact"/>
        <w:rPr>
          <w:sz w:val="20"/>
          <w:szCs w:val="20"/>
          <w:color w:val="auto"/>
        </w:rPr>
      </w:pPr>
    </w:p>
    <w:p>
      <w:pPr>
        <w:ind w:right="280" w:firstLine="646"/>
        <w:spacing w:after="0" w:line="280"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9" w:lineRule="exact"/>
        <w:rPr>
          <w:sz w:val="20"/>
          <w:szCs w:val="20"/>
          <w:color w:val="auto"/>
        </w:rPr>
      </w:pPr>
    </w:p>
    <w:p>
      <w:pPr>
        <w:ind w:firstLine="646"/>
        <w:spacing w:after="0" w:line="239"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3" w:lineRule="exact"/>
        <w:rPr>
          <w:sz w:val="20"/>
          <w:szCs w:val="20"/>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156" w:lineRule="exact"/>
        <w:rPr>
          <w:sz w:val="20"/>
          <w:szCs w:val="20"/>
          <w:color w:val="auto"/>
        </w:rPr>
      </w:pPr>
    </w:p>
    <w:p>
      <w:pPr>
        <w:ind w:right="80" w:firstLine="404"/>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prescribed by jurisdictions in which they are authorized to operate and, in the case of Essent Guaranty,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September 30, 2025, Essent Guaranty had unassigned surplus of approximately $432.3 million. As of September 30, 2025, Essent Guaranty could pay additional ordinary dividends in 2025 of $280.5 million.</w:t>
      </w:r>
    </w:p>
    <w:p>
      <w:pPr>
        <w:spacing w:after="0" w:line="121" w:lineRule="exact"/>
        <w:rPr>
          <w:sz w:val="20"/>
          <w:szCs w:val="20"/>
          <w:color w:val="auto"/>
        </w:rPr>
      </w:pPr>
    </w:p>
    <w:p>
      <w:pPr>
        <w:ind w:right="80" w:firstLine="404"/>
        <w:spacing w:after="0" w:line="254"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 million. As of September 30, 2025, Essent Re had total equity of $1.7 billion. In connection with its insurance and reinsurance activities, Essent Re is required to maintain assets in trusts for the benefit of its contractual counterparties. See Note 3 to our condensed consolidated financial statements. As of September 30, 2025, Essent Re could pay additional dividends in 2025 of $101.9 million without prior approval from the BMA.</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2025,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5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626,961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634,827</w:t>
            </w: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(599,021)</w:t>
            </w: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(554,084)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c>
          <w:tcPr>
            <w:tcW w:w="0" w:type="dxa"/>
            <w:vAlign w:val="bottom"/>
          </w:tcPr>
          <w:p>
            <w:pPr>
              <w:spacing w:after="0"/>
              <w:rPr>
                <w:sz w:val="1"/>
                <w:szCs w:val="1"/>
                <w:color w:val="auto"/>
              </w:rPr>
            </w:pPr>
          </w:p>
        </w:tc>
      </w:tr>
      <w:tr>
        <w:trPr>
          <w:trHeight w:val="222"/>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ind w:right="80" w:firstLine="646"/>
        <w:spacing w:after="0" w:line="259" w:lineRule="auto"/>
        <w:rPr>
          <w:sz w:val="20"/>
          <w:szCs w:val="20"/>
          <w:color w:val="auto"/>
        </w:rPr>
      </w:pPr>
      <w:r>
        <w:rPr>
          <w:rFonts w:ascii="Times New Roman" w:cs="Times New Roman" w:eastAsia="Times New Roman" w:hAnsi="Times New Roman"/>
          <w:sz w:val="18"/>
          <w:szCs w:val="18"/>
          <w:color w:val="auto"/>
        </w:rPr>
        <w:t>Cash flow provided by operating activities totaled $627.0 million for the nine months ended September 30, 2025, as compared to $634.8 million for the nine months ended September 30, 2024. The decrease in cash flow provided by operating activities was primarily due to a decrease in net premiums written and an increase in claims paid partially offset by an increase in net investment income during the nine months ended September 30, 2025 compared to the same period in 2024.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ind w:right="160" w:firstLine="646"/>
        <w:spacing w:after="0" w:line="259" w:lineRule="auto"/>
        <w:rPr>
          <w:sz w:val="20"/>
          <w:szCs w:val="20"/>
          <w:color w:val="auto"/>
        </w:rPr>
      </w:pPr>
      <w:r>
        <w:rPr>
          <w:rFonts w:ascii="Times New Roman" w:cs="Times New Roman" w:eastAsia="Times New Roman" w:hAnsi="Times New Roman"/>
          <w:sz w:val="18"/>
          <w:szCs w:val="18"/>
          <w:color w:val="auto"/>
        </w:rPr>
        <w:t>Cash flows used in investing activities totaled $112.9 million for the nine months ended September 30, 2025 compared to $599.0 million for the nine months ended September 30, 2024. The decrease in cash flows used in investing activities in the nine months ended September 30, 2025 compared to nine months ended September 30, 2024 were the result of maintaining higher cash balances to fund future financing activities. In the nine months ended September 30, 2024 cash flow used in investing activities relates primarily to investing cash flows from operations.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Cash flow used in financing activities totaled $554.1 million and $68.3 million for the nine months ended September 30, 2025 and 2024, respectively. The increase in cash flows used in financing activities was primarily due to increased repurchases of common stock under our share repurchase plans.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7" w:lineRule="exact"/>
        <w:rPr>
          <w:sz w:val="20"/>
          <w:szCs w:val="20"/>
          <w:color w:val="auto"/>
        </w:rPr>
      </w:pPr>
    </w:p>
    <w:p>
      <w:pPr>
        <w:ind w:right="60" w:firstLine="646"/>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company on a separate company statutory basis.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2"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2025 and 2024, no capital contributions were made to our U.S. mortgage insurance subsidiary and Essent Guaranty paid dividends to Essent US Holdings, Inc. of $215 million and $165.5 million, respectively. During the nine months ended September 30, 2025, and 2024, no capital contributions were made to Essent Title Insurance.</w:t>
      </w:r>
    </w:p>
    <w:p>
      <w:pPr>
        <w:spacing w:after="0" w:line="202"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20" w:firstLine="179"/>
        <w:spacing w:after="0" w:line="241"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2018 through August 31, 2019 and August 1, 2020 through December 31, 2025. The aggregate excess of loss reinsurance coverages decrease over a ten-year period as the underlying covered mortgages amortize. In April 2025, Essent entered into two excess of loss transactions, effective July 1 of each year, with panels of highly rated third-party reinsurers covering 20% of all eligible policies written by Essent Guaranty, Inc. in calendar years 2025 and 2026.</w:t>
      </w:r>
    </w:p>
    <w:p>
      <w:pPr>
        <w:spacing w:after="0" w:line="225"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a quota share reinsurance agreement with a panel of third-party reinsurers ("QSR" agreement"). Each of the third-party reinsurers has a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September 30, 2025:</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718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Ceding Percentage</w:t>
            </w:r>
          </w:p>
        </w:tc>
      </w:tr>
      <w:tr>
        <w:trPr>
          <w:trHeight w:val="25"/>
        </w:trPr>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2"/>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QSR-2019</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9"/>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QSR-2022</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QSR-2023</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29"/>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QSR-2024</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QSR-2025</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r>
    </w:tbl>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Under QSR-2019, Essent Guaranty cedes 40% of premiums on singles policies and 20% on all other policies.</w:t>
      </w:r>
    </w:p>
    <w:p>
      <w:pPr>
        <w:spacing w:after="0" w:line="244" w:lineRule="exact"/>
        <w:rPr>
          <w:sz w:val="20"/>
          <w:szCs w:val="20"/>
          <w:color w:val="auto"/>
        </w:rPr>
      </w:pPr>
    </w:p>
    <w:p>
      <w:pPr>
        <w:jc w:val="both"/>
        <w:ind w:right="140" w:firstLine="646"/>
        <w:spacing w:after="0" w:line="280" w:lineRule="auto"/>
        <w:rPr>
          <w:sz w:val="20"/>
          <w:szCs w:val="20"/>
          <w:color w:val="auto"/>
        </w:rPr>
      </w:pPr>
      <w:r>
        <w:rPr>
          <w:rFonts w:ascii="Times New Roman" w:cs="Times New Roman" w:eastAsia="Times New Roman" w:hAnsi="Times New Roman"/>
          <w:sz w:val="18"/>
          <w:szCs w:val="18"/>
          <w:color w:val="auto"/>
        </w:rPr>
        <w:t>During the first quarter of 2025, Essent also entered into a forward quota share transaction covering 25% of the risk of all eligible policies written by Essent Guaranty, Inc. in calendar year 2026.</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risk-to-capital calculation for Essent Guaranty as of September 30, 2025 was as follows:</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w:t>
      </w: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1,137,620</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2,594,844</w:t>
            </w:r>
          </w:p>
        </w:tc>
        <w:tc>
          <w:tcPr>
            <w:tcW w:w="0" w:type="dxa"/>
            <w:vAlign w:val="bottom"/>
          </w:tcPr>
          <w:p>
            <w:pPr>
              <w:spacing w:after="0"/>
              <w:rPr>
                <w:sz w:val="1"/>
                <w:szCs w:val="1"/>
                <w:color w:val="auto"/>
              </w:rPr>
            </w:pP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capital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3,732,465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33,367,706</w:t>
            </w:r>
          </w:p>
        </w:tc>
        <w:tc>
          <w:tcPr>
            <w:tcW w:w="0" w:type="dxa"/>
            <w:vAlign w:val="bottom"/>
          </w:tcPr>
          <w:p>
            <w:pPr>
              <w:spacing w:after="0"/>
              <w:rPr>
                <w:sz w:val="1"/>
                <w:szCs w:val="1"/>
                <w:color w:val="auto"/>
              </w:rPr>
            </w:pP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15"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Essent Re has entered into GSE and other mortgage risk share transactions, including insurance and reinsurance transactions with Freddie Mac and Fannie Mae. Under a quota share reinsurance agreement, Essent Re reinsures 25% of Essent Guaranty’s NIW through December 31, 2020 and 35% of Essent Guaranty’s NIW after December 31, 2020. In April 2025, Essent Guaranty and Essent Re agreed to increase the quota share reinsurance coverage of Essent Guaranty’s NIW provided by Essent Re to 50% effective January 1, 2025. The quota share reinsurance coverage provided by Essent Re for Essent Guaranty’s NIW prior to January 1, 2025 will continue at the quota share percentage in effect at the time NIW was first ceded. During the nine months ended September 30, 2025 and 2024, Essent Re paid $340 million and $212.5 million in dividends to Essent Group, respectively. Essent Group made no capital contributions to Essent Re during the nine months ended September 30, 2025 and 2024. As of September 30, 2025, Essent Re had total stockholders’ equity of $1.7 billion and net risk in force of $25.5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7" w:lineRule="exact"/>
        <w:rPr>
          <w:sz w:val="20"/>
          <w:szCs w:val="20"/>
          <w:color w:val="auto"/>
        </w:rPr>
      </w:pPr>
    </w:p>
    <w:p>
      <w:pPr>
        <w:ind w:right="160" w:firstLine="646"/>
        <w:spacing w:after="0" w:line="257" w:lineRule="auto"/>
        <w:rPr>
          <w:sz w:val="20"/>
          <w:szCs w:val="20"/>
          <w:color w:val="auto"/>
        </w:rPr>
      </w:pPr>
      <w:r>
        <w:rPr>
          <w:rFonts w:ascii="Times New Roman" w:cs="Times New Roman" w:eastAsia="Times New Roman" w:hAnsi="Times New Roman"/>
          <w:sz w:val="18"/>
          <w:szCs w:val="18"/>
          <w:color w:val="auto"/>
        </w:rPr>
        <w:t>The financial strength rating of Essent Guaranty, our principal mortgage insurance subsidiary, is rated A2 with a stable outlook by Moody’s Ratings (“Moody's”), A- with a stable outlook by S&amp;P and A (Excellent) with stable outlook by AM Best. The financial strength rating of Essent Re is A-with a stable outlook by S&amp;P and A (Excellent) with stable outlook by AM Best.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7" w:lineRule="exact"/>
        <w:rPr>
          <w:sz w:val="20"/>
          <w:szCs w:val="20"/>
          <w:color w:val="auto"/>
        </w:rPr>
      </w:pPr>
    </w:p>
    <w:p>
      <w:pPr>
        <w:ind w:right="120" w:firstLine="646"/>
        <w:spacing w:after="0" w:line="254"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September 30, 2025, Essent Guaranty, our GSE-approved mortgage insurance company, was in compliance with the PMIERs. As of September 30, 2025, Essent Guaranty's Available Assets were $3.7 billion or 177% of its Minimum Required Assets of $2.1 billion based on our interpretation of the PMIERs.</w:t>
      </w:r>
    </w:p>
    <w:p>
      <w:pPr>
        <w:spacing w:after="0" w:line="360" w:lineRule="exact"/>
        <w:rPr>
          <w:sz w:val="20"/>
          <w:szCs w:val="20"/>
          <w:color w:val="auto"/>
        </w:rPr>
      </w:pPr>
    </w:p>
    <w:p>
      <w:pPr>
        <w:ind w:firstLine="646"/>
        <w:spacing w:after="0" w:line="251"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15" w:lineRule="exact"/>
        <w:rPr>
          <w:sz w:val="20"/>
          <w:szCs w:val="20"/>
          <w:color w:val="auto"/>
        </w:rPr>
      </w:pPr>
    </w:p>
    <w:p>
      <w:pPr>
        <w:ind w:right="80" w:firstLine="646"/>
        <w:spacing w:after="0" w:line="254" w:lineRule="auto"/>
        <w:rPr>
          <w:sz w:val="20"/>
          <w:szCs w:val="20"/>
          <w:color w:val="auto"/>
        </w:rPr>
      </w:pPr>
      <w:r>
        <w:rPr>
          <w:rFonts w:ascii="Times New Roman" w:cs="Times New Roman" w:eastAsia="Times New Roman" w:hAnsi="Times New Roman"/>
          <w:sz w:val="18"/>
          <w:szCs w:val="18"/>
          <w:color w:val="auto"/>
        </w:rPr>
        <w:t>FHFA and the GSEs announced that effective November 1, 2023, defaulted loans will be no longer eligible for COVID forbearance plans and will follow the GSEs standard forbearance plans going forward. In August 2024, Fannie Mae and Freddie Mac, under the oversight of FHFA, issued an update to the planned sunset of the use of the 0.3x Required Asset multiplier for loans in a COVID forbearance plan. The sunset of the 0.3x Required Asset multiplier for loans in a COVID forbearance plan became effective on March 31, 2025. Also in August 2024, the GSEs issued updates to the PMIERs calculation of Available Assets. The updated PMIERs Available Asset requirements are subject to a phased-in implementation beginning with the quarter ending March 31, 2025, and will become fully effective on September 30, 2026. Essent expects to remain in full compliance with the PMIERs requirements.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7"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As of September 30, 2025, stockholders’ equity was $5.7 billion, compared to $5.6 billion as of December 31, 2024. Stockholders' equity increased primarily due to net income generated in 2025 and a decrease in accumulated other comprehensive loss related to a decrease in our net unrealized investment losses, partially offset by dividends paid and the repurchase of common shares under our share repurchase plan.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ind w:right="220" w:firstLine="646"/>
        <w:spacing w:after="0" w:line="280" w:lineRule="auto"/>
        <w:rPr>
          <w:sz w:val="20"/>
          <w:szCs w:val="20"/>
          <w:color w:val="auto"/>
        </w:rPr>
      </w:pPr>
      <w:r>
        <w:rPr>
          <w:rFonts w:ascii="Times New Roman" w:cs="Times New Roman" w:eastAsia="Times New Roman" w:hAnsi="Times New Roman"/>
          <w:sz w:val="18"/>
          <w:szCs w:val="18"/>
          <w:color w:val="auto"/>
        </w:rPr>
        <w:t>As of September 30, 2025 and December 31, 2024, investments totaled $6.5 billion and $6.2 billion, respectively. In addition, our total cash was $91.4 million as of September 30, 2025, compared to $131.5 million as of December 31, 2024.</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80" w:type="dxa"/>
            <w:vAlign w:val="bottom"/>
          </w:tcPr>
          <w:p>
            <w:pPr>
              <w:spacing w:after="0"/>
              <w:rPr>
                <w:sz w:val="16"/>
                <w:szCs w:val="16"/>
                <w:color w:val="auto"/>
              </w:rPr>
            </w:pPr>
          </w:p>
        </w:tc>
        <w:tc>
          <w:tcPr>
            <w:tcW w:w="20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8"/>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414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547,290</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1,178,691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1,125,436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613,089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640,076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6,089,865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5"/>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41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 (1)</w:t>
            </w:r>
          </w:p>
        </w:tc>
        <w:tc>
          <w:tcPr>
            <w:tcW w:w="300" w:type="dxa"/>
            <w:vAlign w:val="bottom"/>
          </w:tcPr>
          <w:p>
            <w:pPr>
              <w:spacing w:after="0"/>
              <w:rPr>
                <w:sz w:val="16"/>
                <w:szCs w:val="16"/>
                <w:color w:val="auto"/>
              </w:rPr>
            </w:pPr>
          </w:p>
        </w:tc>
        <w:tc>
          <w:tcPr>
            <w:tcW w:w="21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2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841,702</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2,513,014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1,817,913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307,657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569,589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511,076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458,648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503,779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222,589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147,026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72,082</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2"/>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5,449,789</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5,219,116</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$640,076 and $657,605 of money market funds at September 30, 2025 and December 31, 2024, respectively.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1,511,803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1,587,022</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544,630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528,981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546,414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2,337,731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2,279,740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6,089,865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right="80" w:firstLine="179"/>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September 30, 2025, our estimated off-balance sheet maximum exposure to loss from the Radnor Re entities was $0.2 million, representing the estimated net present value of investment earnings on the assets in the reinsurance trusts. See Note 4 to our condensed consolidated financial statements for additional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ind w:right="120" w:firstLine="646"/>
        <w:spacing w:after="0" w:line="280" w:lineRule="auto"/>
        <w:rPr>
          <w:sz w:val="20"/>
          <w:szCs w:val="20"/>
          <w:color w:val="auto"/>
        </w:rPr>
      </w:pPr>
      <w:r>
        <w:rPr>
          <w:rFonts w:ascii="Times New Roman" w:cs="Times New Roman" w:eastAsia="Times New Roman" w:hAnsi="Times New Roman"/>
          <w:sz w:val="18"/>
          <w:szCs w:val="18"/>
          <w:color w:val="auto"/>
        </w:rPr>
        <w:t>As of the filing date of this report, there were no significant changes in our critical accounting policies from those discussed in our 2024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right="80" w:firstLine="646"/>
        <w:spacing w:after="0" w:line="259"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3" w:lineRule="exact"/>
        <w:rPr>
          <w:sz w:val="20"/>
          <w:szCs w:val="20"/>
          <w:color w:val="auto"/>
        </w:rPr>
      </w:pPr>
    </w:p>
    <w:p>
      <w:pPr>
        <w:ind w:right="300" w:firstLine="646"/>
        <w:spacing w:after="0" w:line="280"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1" w:lineRule="exact"/>
        <w:rPr>
          <w:sz w:val="20"/>
          <w:szCs w:val="20"/>
          <w:color w:val="auto"/>
        </w:rPr>
      </w:pPr>
    </w:p>
    <w:p>
      <w:pPr>
        <w:jc w:val="both"/>
        <w:ind w:left="660" w:right="260" w:hanging="330"/>
        <w:spacing w:after="0" w:line="280" w:lineRule="auto"/>
        <w:tabs>
          <w:tab w:leader="none" w:pos="655"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Changes to the level of interest rates. </w:t>
      </w:r>
      <w:r>
        <w:rPr>
          <w:rFonts w:ascii="Times New Roman" w:cs="Times New Roman" w:eastAsia="Times New Roman" w:hAnsi="Times New Roman"/>
          <w:sz w:val="17"/>
          <w:szCs w:val="17"/>
          <w:color w:val="auto"/>
        </w:rPr>
        <w:t>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63" w:lineRule="exact"/>
        <w:rPr>
          <w:rFonts w:ascii="Times New Roman" w:cs="Times New Roman" w:eastAsia="Times New Roman" w:hAnsi="Times New Roman"/>
          <w:sz w:val="17"/>
          <w:szCs w:val="17"/>
          <w:i w:val="1"/>
          <w:iCs w:val="1"/>
          <w:color w:val="auto"/>
        </w:rPr>
      </w:pPr>
    </w:p>
    <w:p>
      <w:pPr>
        <w:ind w:left="660" w:right="140" w:hanging="330"/>
        <w:spacing w:after="0" w:line="282"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6" w:lineRule="exact"/>
        <w:rPr>
          <w:rFonts w:ascii="Times New Roman" w:cs="Times New Roman" w:eastAsia="Times New Roman" w:hAnsi="Times New Roman"/>
          <w:sz w:val="18"/>
          <w:szCs w:val="18"/>
          <w:i w:val="1"/>
          <w:iCs w:val="1"/>
          <w:color w:val="auto"/>
        </w:rPr>
      </w:pPr>
    </w:p>
    <w:p>
      <w:pPr>
        <w:ind w:left="660" w:right="420" w:hanging="330"/>
        <w:spacing w:after="0" w:line="313" w:lineRule="auto"/>
        <w:tabs>
          <w:tab w:leader="none" w:pos="655"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Market volatility/changes in the real or perceived credit quality of investments. </w:t>
      </w:r>
      <w:r>
        <w:rPr>
          <w:rFonts w:ascii="Times New Roman" w:cs="Times New Roman" w:eastAsia="Times New Roman" w:hAnsi="Times New Roman"/>
          <w:sz w:val="17"/>
          <w:szCs w:val="17"/>
          <w:color w:val="auto"/>
        </w:rPr>
        <w:t>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(e.g., rating agency) assessments, will reduce the value and potentially the liquidity of investments.</w:t>
      </w:r>
    </w:p>
    <w:p>
      <w:pPr>
        <w:spacing w:after="0" w:line="162" w:lineRule="exact"/>
        <w:rPr>
          <w:rFonts w:ascii="Times New Roman" w:cs="Times New Roman" w:eastAsia="Times New Roman" w:hAnsi="Times New Roman"/>
          <w:sz w:val="17"/>
          <w:szCs w:val="17"/>
          <w:i w:val="1"/>
          <w:iCs w:val="1"/>
          <w:color w:val="auto"/>
        </w:rPr>
      </w:pPr>
    </w:p>
    <w:p>
      <w:pPr>
        <w:ind w:left="660" w:right="300" w:hanging="330"/>
        <w:spacing w:after="0" w:line="282"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6" w:lineRule="exact"/>
        <w:rPr>
          <w:rFonts w:ascii="Times New Roman" w:cs="Times New Roman" w:eastAsia="Times New Roman" w:hAnsi="Times New Roman"/>
          <w:sz w:val="18"/>
          <w:szCs w:val="18"/>
          <w:i w:val="1"/>
          <w:iCs w:val="1"/>
          <w:color w:val="auto"/>
        </w:rPr>
      </w:pPr>
    </w:p>
    <w:p>
      <w:pPr>
        <w:ind w:left="660" w:right="40" w:hanging="330"/>
        <w:spacing w:after="0" w:line="282"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61" w:lineRule="exact"/>
        <w:rPr>
          <w:sz w:val="20"/>
          <w:szCs w:val="20"/>
          <w:color w:val="auto"/>
        </w:rPr>
      </w:pPr>
    </w:p>
    <w:p>
      <w:pPr>
        <w:ind w:right="340" w:firstLine="646"/>
        <w:spacing w:after="0" w:line="265"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5"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At September 30, 2025,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4.4 years, which means that an instantaneous parallel shift (movement up or down) in the yield curve of 100 basis points would result in a change of 4.4% in fair value of our investments available for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2025, the end of the period covered by this Quarterly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right="320" w:firstLine="646"/>
        <w:spacing w:after="0" w:line="265"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2024.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September 30,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1"/>
                <w:szCs w:val="11"/>
                <w:color w:val="auto"/>
              </w:rPr>
            </w:pPr>
          </w:p>
        </w:tc>
        <w:tc>
          <w:tcPr>
            <w:tcW w:w="1580" w:type="dxa"/>
            <w:vAlign w:val="bottom"/>
          </w:tcPr>
          <w:p>
            <w:pPr>
              <w:jc w:val="center"/>
              <w:ind w:right="106"/>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3880" w:type="dxa"/>
            <w:vAlign w:val="bottom"/>
            <w:gridSpan w:val="3"/>
            <w:vMerge w:val="continue"/>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6"/>
                <w:szCs w:val="16"/>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 August 30,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688,794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2,062,005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2,061,339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196,688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40" w:hanging="330"/>
        <w:spacing w:after="0" w:line="244"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the Company repurchased 2,061,339 common shares at a total cost of $122.1 million. The remaining $196.7 million in the table represents the amount available to repurchase shares under the February 2025 share repurchase authorization as of September 30, 2025. In October 2025, we repurchased 837,259 shares for $50.4 million, leaving approximately $146.3 million remaining for repurchases as of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ind w:left="680" w:hanging="672"/>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04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9652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61417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41720" cy="8255"/>
                    </a:xfrm>
                    <a:prstGeom prst="rect">
                      <a:avLst/>
                    </a:prstGeom>
                    <a:noFill/>
                  </pic:spPr>
                </pic:pic>
              </a:graphicData>
            </a:graphic>
          </wp:anchor>
        </w:drawing>
      </w:r>
    </w:p>
    <w:p>
      <w:pPr>
        <w:spacing w:after="0" w:line="41"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 adopted pursuant to Section 302 of the Sarbanes-Oxley Act of 2002</w:t>
      </w:r>
    </w:p>
    <w:p>
      <w:pPr>
        <w:spacing w:after="0" w:line="10"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 adopted pursuant to Section 302 of the Sarbanes-Oxley Act of 2002</w:t>
      </w:r>
    </w:p>
    <w:p>
      <w:pPr>
        <w:spacing w:after="0" w:line="1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 the Sarbanes-Oxley Act of 2002</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The following financial information from this Quarterly Report on Form 10-Q for the quarter ended September 30, 2025, formatted in Inline XBRL: (i) the Condensed Consolidated Balance Sheets (Unaudited); (ii) the Condensed Consolidated Statements of Comprehensive Income (Unaudited); (iii) the Condensed Consolidated Statements of Changes in Stockholders’ Equity (Unaudited);</w:t>
      </w:r>
    </w:p>
    <w:p>
      <w:pPr>
        <w:spacing w:after="0" w:line="2" w:lineRule="exact"/>
        <w:rPr>
          <w:sz w:val="20"/>
          <w:szCs w:val="20"/>
          <w:color w:val="auto"/>
        </w:rPr>
      </w:pPr>
    </w:p>
    <w:p>
      <w:pPr>
        <w:ind w:right="380" w:firstLine="6"/>
        <w:spacing w:after="0" w:line="225" w:lineRule="auto"/>
        <w:tabs>
          <w:tab w:leader="none" w:pos="3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Cash Flows (Unaudited); and (v) the 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1320" w:space="220"/>
            <w:col w:w="9620"/>
          </w:cols>
          <w:pgMar w:left="320" w:top="121"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17145</wp:posOffset>
            </wp:positionV>
            <wp:extent cx="2972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Mark A. Casale</w:t>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17145</wp:posOffset>
            </wp:positionV>
            <wp:extent cx="2972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60"/>
          </w:cols>
          <w:pgMar w:left="320" w:top="121" w:right="4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3" w:lineRule="exact"/>
        <w:rPr>
          <w:sz w:val="20"/>
          <w:szCs w:val="20"/>
          <w:color w:val="auto"/>
        </w:rPr>
      </w:pPr>
    </w:p>
    <w:p>
      <w:pPr>
        <w:ind w:left="560" w:hanging="552"/>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3"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8"/>
        <w:spacing w:after="0" w:line="280" w:lineRule="auto"/>
        <w:tabs>
          <w:tab w:leader="none" w:pos="5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8"/>
        <w:spacing w:after="0" w:line="265" w:lineRule="auto"/>
        <w:tabs>
          <w:tab w:leader="none" w:pos="5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60" w:firstLine="492"/>
        <w:spacing w:after="0" w:line="265" w:lineRule="auto"/>
        <w:tabs>
          <w:tab w:leader="none" w:pos="9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80" w:firstLine="492"/>
        <w:spacing w:after="0" w:line="265" w:lineRule="auto"/>
        <w:tabs>
          <w:tab w:leader="none" w:pos="10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492"/>
        <w:spacing w:after="0" w:line="280" w:lineRule="auto"/>
        <w:tabs>
          <w:tab w:leader="none" w:pos="10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right="20" w:firstLine="492"/>
        <w:spacing w:after="0" w:line="265" w:lineRule="auto"/>
        <w:tabs>
          <w:tab w:leader="none" w:pos="10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8"/>
        <w:spacing w:after="0" w:line="280" w:lineRule="auto"/>
        <w:tabs>
          <w:tab w:leader="none" w:pos="5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firstLine="492"/>
        <w:spacing w:after="0" w:line="280" w:lineRule="auto"/>
        <w:tabs>
          <w:tab w:leader="none" w:pos="10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00" w:firstLine="492"/>
        <w:spacing w:after="0" w:line="280" w:lineRule="auto"/>
        <w:tabs>
          <w:tab w:leader="none" w:pos="10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44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3" w:lineRule="exact"/>
        <w:rPr>
          <w:sz w:val="20"/>
          <w:szCs w:val="20"/>
          <w:color w:val="auto"/>
        </w:rPr>
      </w:pPr>
    </w:p>
    <w:p>
      <w:pPr>
        <w:ind w:left="560" w:hanging="552"/>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3"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8"/>
        <w:spacing w:after="0" w:line="280"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8"/>
        <w:spacing w:after="0" w:line="265"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60" w:firstLine="492"/>
        <w:spacing w:after="0" w:line="265" w:lineRule="auto"/>
        <w:tabs>
          <w:tab w:leader="none" w:pos="9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80" w:firstLine="492"/>
        <w:spacing w:after="0" w:line="265" w:lineRule="auto"/>
        <w:tabs>
          <w:tab w:leader="none" w:pos="10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492"/>
        <w:spacing w:after="0" w:line="280" w:lineRule="auto"/>
        <w:tabs>
          <w:tab w:leader="none" w:pos="10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right="20" w:firstLine="492"/>
        <w:spacing w:after="0" w:line="265" w:lineRule="auto"/>
        <w:tabs>
          <w:tab w:leader="none" w:pos="10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8"/>
        <w:spacing w:after="0" w:line="280" w:lineRule="auto"/>
        <w:tabs>
          <w:tab w:leader="none" w:pos="5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firstLine="492"/>
        <w:spacing w:after="0" w:line="280" w:lineRule="auto"/>
        <w:tabs>
          <w:tab w:leader="none" w:pos="10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00" w:firstLine="492"/>
        <w:spacing w:after="0" w:line="280" w:lineRule="auto"/>
        <w:tabs>
          <w:tab w:leader="none" w:pos="102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44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4" w:right="339"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5"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8"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5" w:lineRule="exact"/>
        <w:rPr>
          <w:sz w:val="20"/>
          <w:szCs w:val="20"/>
          <w:color w:val="auto"/>
        </w:rPr>
      </w:pPr>
    </w:p>
    <w:p>
      <w:pPr>
        <w:ind w:firstLine="8"/>
        <w:spacing w:after="0" w:line="280" w:lineRule="auto"/>
        <w:tabs>
          <w:tab w:leader="none" w:pos="6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2025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right="200" w:firstLine="8"/>
        <w:spacing w:after="0" w:line="530" w:lineRule="auto"/>
        <w:tabs>
          <w:tab w:leader="none" w:pos="6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7, 2025</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3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34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4"/>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Roman"/>
      <w:start w:val="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2025-11-07T16:01:34Z</dcterms:created>
  <dcterms:modified xsi:type="dcterms:W3CDTF">2025-11-07T16:01:34Z</dcterms:modified>
</cp:coreProperties>
</file>