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4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78105</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3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period ended June 30, 2024</w:t>
      </w:r>
    </w:p>
    <w:p>
      <w:pPr>
        <w:spacing w:after="0" w:line="136"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6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79" w:lineRule="exact"/>
        <w:rPr>
          <w:sz w:val="24"/>
          <w:szCs w:val="24"/>
          <w:color w:val="auto"/>
        </w:rPr>
      </w:pPr>
    </w:p>
    <w:p>
      <w:pPr>
        <w:sectPr>
          <w:pgSz w:w="11900" w:h="16838" w:orient="portrait"/>
          <w:cols w:equalWidth="0" w:num="2">
            <w:col w:w="6060" w:space="560"/>
            <w:col w:w="4620"/>
          </w:cols>
          <w:pgMar w:left="320" w:top="22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124460</wp:posOffset>
            </wp:positionV>
            <wp:extent cx="3068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53" w:lineRule="exact"/>
        <w:rPr>
          <w:sz w:val="24"/>
          <w:szCs w:val="24"/>
          <w:color w:val="auto"/>
        </w:rPr>
      </w:pPr>
    </w:p>
    <w:tbl>
      <w:tblPr>
        <w:tblLayout w:type="fixed"/>
        <w:tblInd w:w="1720" w:type="dxa"/>
        <w:tblCellMar>
          <w:top w:w="0" w:type="dxa"/>
          <w:left w:w="0" w:type="dxa"/>
          <w:bottom w:w="0" w:type="dxa"/>
          <w:right w:w="0" w:type="dxa"/>
        </w:tblCellMar>
      </w:tblPr>
      <w:tr>
        <w:trPr>
          <w:trHeight w:val="375"/>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29"/>
                <w:szCs w:val="29"/>
                <w:b w:val="1"/>
                <w:bCs w:val="1"/>
                <w:color w:val="auto"/>
                <w:w w:val="98"/>
              </w:rPr>
              <w:t>ESSENT GROUP LTD.</w:t>
            </w:r>
          </w:p>
        </w:tc>
      </w:t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gridSpan w:val="2"/>
          </w:tcPr>
          <w:p>
            <w:pPr>
              <w:jc w:val="center"/>
              <w:ind w:right="17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168"/>
        </w:trPr>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325"/>
        </w:trPr>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8"/>
        </w:trPr>
        <w:tc>
          <w:tcPr>
            <w:tcW w:w="208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40" w:type="dxa"/>
            <w:vAlign w:val="bottom"/>
            <w:gridSpan w:val="2"/>
          </w:tcPr>
          <w:p>
            <w:pPr>
              <w:jc w:val="center"/>
              <w:ind w:left="386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28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50" w:type="dxa"/>
        <w:tblCellMar>
          <w:top w:w="0" w:type="dxa"/>
          <w:left w:w="0" w:type="dxa"/>
          <w:bottom w:w="0" w:type="dxa"/>
          <w:right w:w="0" w:type="dxa"/>
        </w:tblCellMar>
      </w:tblPr>
      <w:tr>
        <w:trPr>
          <w:trHeight w:val="228"/>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5"/>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jc w:val="both"/>
        <w:ind w:right="60" w:firstLine="567"/>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40"/>
        <w:spacing w:after="0" w:line="230" w:lineRule="exact"/>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240" w:firstLine="567"/>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80" w:right="142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August 1, 2024 was 106,248,966.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80" w:type="dxa"/>
            <w:vAlign w:val="bottom"/>
            <w:gridSpan w:val="5"/>
          </w:tcPr>
          <w:p>
            <w:pPr>
              <w:spacing w:after="0"/>
              <w:rPr>
                <w:sz w:val="24"/>
                <w:szCs w:val="24"/>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10"/>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80" w:type="dxa"/>
            <w:vAlign w:val="bottom"/>
            <w:gridSpan w:val="5"/>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Balance Sheets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Changes in Stockholders’ Equity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Cash Flows (Unaudited)</w:t>
            </w:r>
          </w:p>
        </w:tc>
        <w:tc>
          <w:tcPr>
            <w:tcW w:w="16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40" w:type="dxa"/>
            <w:vAlign w:val="bottom"/>
            <w:gridSpan w:val="4"/>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39"/>
        </w:trPr>
        <w:tc>
          <w:tcPr>
            <w:tcW w:w="2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40" w:type="dxa"/>
            <w:vAlign w:val="bottom"/>
            <w:gridSpan w:val="4"/>
          </w:tcPr>
          <w:p>
            <w:pPr>
              <w:spacing w:after="0"/>
              <w:rPr>
                <w:sz w:val="24"/>
                <w:szCs w:val="24"/>
                <w:color w:val="auto"/>
              </w:rPr>
            </w:pPr>
          </w:p>
        </w:tc>
        <w:tc>
          <w:tcPr>
            <w:tcW w:w="68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439"/>
        </w:trPr>
        <w:tc>
          <w:tcPr>
            <w:tcW w:w="2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20" w:type="dxa"/>
            <w:vAlign w:val="bottom"/>
            <w:gridSpan w:val="3"/>
          </w:tcPr>
          <w:p>
            <w:pPr>
              <w:spacing w:after="0"/>
              <w:rPr>
                <w:sz w:val="24"/>
                <w:szCs w:val="24"/>
                <w:color w:val="auto"/>
              </w:rPr>
            </w:pPr>
          </w:p>
        </w:tc>
        <w:tc>
          <w:tcPr>
            <w:tcW w:w="2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612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840" w:type="dxa"/>
            <w:vAlign w:val="bottom"/>
            <w:gridSpan w:val="4"/>
          </w:tcPr>
          <w:p>
            <w:pPr>
              <w:spacing w:after="0"/>
              <w:rPr>
                <w:sz w:val="24"/>
                <w:szCs w:val="24"/>
                <w:color w:val="auto"/>
              </w:rPr>
            </w:pPr>
          </w:p>
        </w:tc>
        <w:tc>
          <w:tcPr>
            <w:tcW w:w="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160" w:type="dxa"/>
            <w:vAlign w:val="bottom"/>
            <w:gridSpan w:val="14"/>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439"/>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360" w:type="dxa"/>
            <w:vAlign w:val="bottom"/>
            <w:gridSpan w:val="2"/>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439"/>
        </w:trPr>
        <w:tc>
          <w:tcPr>
            <w:tcW w:w="20" w:type="dxa"/>
            <w:vAlign w:val="bottom"/>
          </w:tcPr>
          <w:p>
            <w:pPr>
              <w:spacing w:after="0"/>
              <w:rPr>
                <w:sz w:val="24"/>
                <w:szCs w:val="24"/>
                <w:color w:val="auto"/>
              </w:rPr>
            </w:pPr>
          </w:p>
        </w:tc>
        <w:tc>
          <w:tcPr>
            <w:tcW w:w="1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360" w:type="dxa"/>
            <w:vAlign w:val="bottom"/>
            <w:gridSpan w:val="2"/>
          </w:tcPr>
          <w:p>
            <w:pPr>
              <w:spacing w:after="0"/>
              <w:rPr>
                <w:sz w:val="24"/>
                <w:szCs w:val="24"/>
                <w:color w:val="auto"/>
              </w:rPr>
            </w:pPr>
          </w:p>
        </w:tc>
        <w:tc>
          <w:tcPr>
            <w:tcW w:w="45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3580" w:type="dxa"/>
            <w:vAlign w:val="bottom"/>
            <w:gridSpan w:val="7"/>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Inc. and Essent Reinsurance Ltd., as a combined entity, except where otherwise stated or where it is clear that the terms mean only Essent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Ltd. exclusive of its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2023 filed with the Securities and Exchange Commission. These factors include, without limitation, the following:</w:t>
      </w:r>
    </w:p>
    <w:p>
      <w:pPr>
        <w:spacing w:after="0" w:line="192" w:lineRule="exact"/>
        <w:rPr>
          <w:sz w:val="20"/>
          <w:szCs w:val="20"/>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52"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09803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3" w:lineRule="exact"/>
        <w:rPr>
          <w:sz w:val="20"/>
          <w:szCs w:val="20"/>
          <w:color w:val="auto"/>
        </w:rPr>
      </w:pPr>
    </w:p>
    <w:p>
      <w:pPr>
        <w:ind w:left="500" w:right="920" w:hanging="215"/>
        <w:spacing w:after="0" w:line="234" w:lineRule="auto"/>
        <w:rPr>
          <w:sz w:val="20"/>
          <w:szCs w:val="20"/>
          <w:color w:val="auto"/>
        </w:rPr>
      </w:pPr>
      <w:r>
        <w:rPr>
          <w:rFonts w:ascii="Times New Roman" w:cs="Times New Roman" w:eastAsia="Times New Roman" w:hAnsi="Times New Roman"/>
          <w:sz w:val="18"/>
          <w:szCs w:val="18"/>
          <w:color w:val="auto"/>
        </w:rPr>
        <w:t>Fixed maturities available for sale, at fair value (amortized cost: 2024 — $4,286,271; 2023 — $4,658,168)</w:t>
      </w:r>
    </w:p>
    <w:p>
      <w:pPr>
        <w:spacing w:after="0" w:line="10" w:lineRule="exact"/>
        <w:rPr>
          <w:sz w:val="20"/>
          <w:szCs w:val="20"/>
          <w:color w:val="auto"/>
        </w:rPr>
      </w:pPr>
    </w:p>
    <w:p>
      <w:pPr>
        <w:ind w:left="500" w:right="1320" w:hanging="215"/>
        <w:spacing w:after="0" w:line="237" w:lineRule="auto"/>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2024 — $1,523,558; 2023 — $928,562)</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871"/>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3,931,471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4,335,008</w:t>
            </w:r>
          </w:p>
        </w:tc>
      </w:tr>
      <w:tr>
        <w:trPr>
          <w:trHeight w:val="417"/>
        </w:trPr>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928,731</w:t>
            </w:r>
          </w:p>
        </w:tc>
      </w:tr>
    </w:tbl>
    <w:p>
      <w:pPr>
        <w:spacing w:after="0" w:line="1" w:lineRule="exact"/>
        <w:rPr>
          <w:sz w:val="20"/>
          <w:szCs w:val="20"/>
          <w:color w:val="auto"/>
        </w:rPr>
      </w:pPr>
    </w:p>
    <w:p>
      <w:pPr>
        <w:sectPr>
          <w:pgSz w:w="11900" w:h="16838" w:orient="portrait"/>
          <w:cols w:equalWidth="0" w:num="2">
            <w:col w:w="7340" w:space="720"/>
            <w:col w:w="316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80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5,454,983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5,263,739</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invested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277,226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5,737,764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5,540,965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$72,911 in 2024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$71,168 in 2023)</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6,692,745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6,426,673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260,688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260,095</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140,285</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362,753</w:t>
            </w:r>
          </w:p>
        </w:tc>
      </w:tr>
      <w:tr>
        <w:trPr>
          <w:trHeight w:val="175"/>
        </w:trPr>
        <w:tc>
          <w:tcPr>
            <w:tcW w:w="80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Credit facility borrowings (at carrying value, less unamortized deferred costs of $2,552 in 2024 and</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$3,080 in 2023)</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422,448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421,920</w:t>
            </w:r>
          </w:p>
        </w:tc>
      </w:tr>
      <w:tr>
        <w:trPr>
          <w:trHeight w:val="23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139,070</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1,324,123</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02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Authorized - 233,333; issued and outstanding - 106,372 shares in 2024 and 106,597</w:t>
            </w: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in 2023</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(280,496)</w:t>
            </w:r>
          </w:p>
        </w:tc>
      </w:tr>
      <w:tr>
        <w:trPr>
          <w:trHeight w:val="23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4,406,913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4,081,578</w:t>
            </w:r>
          </w:p>
        </w:tc>
      </w:tr>
      <w:tr>
        <w:trPr>
          <w:trHeight w:val="22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5,102,550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6,692,745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6,426,673</w:t>
            </w: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245,566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209,621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415,521</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424,487</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88,486</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other invested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516,374</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90,369</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retained by agents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105,779</w:t>
            </w: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410,595</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67,535</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343,060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106,594</w:t>
            </w: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107,338</w:t>
            </w:r>
          </w:p>
        </w:tc>
        <w:tc>
          <w:tcPr>
            <w:tcW w:w="0" w:type="dxa"/>
            <w:vAlign w:val="bottom"/>
          </w:tcPr>
          <w:p>
            <w:pPr>
              <w:spacing w:after="0"/>
              <w:rPr>
                <w:sz w:val="1"/>
                <w:szCs w:val="1"/>
                <w:color w:val="auto"/>
              </w:rPr>
            </w:pPr>
          </w:p>
        </w:tc>
      </w:tr>
      <w:tr>
        <w:trPr>
          <w:trHeight w:val="256"/>
        </w:trPr>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343,060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of tax expense (benefit) of ($1,592) and ($5,046) in the three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gridSpan w:val="2"/>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months ended June 30, 2024 and 2023 and ($4,714) and $4,382 in</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six months ended June 30, 2024 and 2023.</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365,715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1,350,377</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(50,813)</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1,309,834</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(360,135)</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3,493,107</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343,060</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3,782,048</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(50,831)</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50,831</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4,733,352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385,328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343,060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(income) from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68,514</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405,626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352,500</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(594,781)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(331,513)</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(849,582)</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of investments available for sale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533,563</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404,708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(19,158)</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(255,272)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(261,507)</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(50,831)</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(53,301)</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(104,132)</w:t>
            </w:r>
          </w:p>
        </w:tc>
        <w:tc>
          <w:tcPr>
            <w:tcW w:w="0" w:type="dxa"/>
            <w:vAlign w:val="bottom"/>
          </w:tcPr>
          <w:p>
            <w:pPr>
              <w:spacing w:after="0"/>
              <w:rPr>
                <w:sz w:val="1"/>
                <w:szCs w:val="1"/>
                <w:color w:val="auto"/>
              </w:rPr>
            </w:pPr>
          </w:p>
        </w:tc>
      </w:tr>
      <w:tr>
        <w:trPr>
          <w:trHeight w:val="91"/>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(13,139)</w:t>
            </w:r>
          </w:p>
        </w:tc>
        <w:tc>
          <w:tcPr>
            <w:tcW w:w="0" w:type="dxa"/>
            <w:vAlign w:val="bottom"/>
          </w:tcPr>
          <w:p>
            <w:pPr>
              <w:spacing w:after="0"/>
              <w:rPr>
                <w:sz w:val="1"/>
                <w:szCs w:val="1"/>
                <w:color w:val="auto"/>
              </w:rPr>
            </w:pPr>
          </w:p>
        </w:tc>
      </w:tr>
      <w:tr>
        <w:trPr>
          <w:trHeight w:val="21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81,240</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68,101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(34,671)</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17,293</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7"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21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our acquisitions of Agents National Title Insurance Company and Boston National Holdings LLC on July 1, 2023, we now offer title insurance products and title and settlement services. Our title insurance operations are headquartered in Columbia, Missouri, and we operate our title agency operations in Charlotte, North Carolina and Pittsburgh, Pennsylvania.</w:t>
      </w:r>
    </w:p>
    <w:p>
      <w:pPr>
        <w:spacing w:after="0" w:line="20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2023,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June 30, 2024 prior to the issuance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During the Period</w:t>
      </w:r>
    </w:p>
    <w:p>
      <w:pPr>
        <w:spacing w:after="0" w:line="25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update clarifies the guidance in ASC 820 on the fair value measurement of an equity security that is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was effective for fiscal years beginning after December 15, 2023, and interim periods within those fiscal years, with early adoption permitted. The adoption of this ASU did not have a material effect on the Company's consolidated operating results or financial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5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on an interim and annual basis. The ASU requires that public entities disclose significant expense categories and amounts for each reportable segment, which are derived from expenses that are 1) regularly reported to an entity’s chief operating decision-maker (CODM) and 2) included in a segment’s reported measures of profit or loss. Public entities must also disclose an amount for “other segment items,” representing the difference between 1) segment revenue less significant segment expenses and 2) the reportable segment’s profit or loss measures. A description of the composition of “other segment items” also is required as well as the title and position of the CODM and entities must explain how the CODM uses the reported measures of profit or loss to assess segment performance. The ASU also requires interim disclosure of certain segment-related disclosures that previously were required only on an annual basis and clarifies that entities with a single reportable segment are subject to both new and existing segment reporting requirements under Topic 280. It also clarifies that an entity is permitted to disclose multiple measures of segment profit or loss, provided that certain criteria are met. The ASU is effective for fiscal years beginning after December 15, 2023, and interim periods within fiscal years beginning after December 15, 2024. Entities must adopt the changes to the segment reporting guidance on a retrospective basis, with early adoption permitted. The Company is currently evaluating the impact that the ASU will have on our consolidated financial statements.</w:t>
      </w:r>
    </w:p>
    <w:p>
      <w:pPr>
        <w:spacing w:after="0" w:line="21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 (In thousands)</w:t>
            </w:r>
          </w:p>
        </w:tc>
        <w:tc>
          <w:tcPr>
            <w:tcW w:w="28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48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1,019,443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999,176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5,454,983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8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8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1,014,076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5,586,730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5,263,739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June 30, 2024,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3"/>
                <w:szCs w:val="13"/>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72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7"/>
                <w:szCs w:val="17"/>
                <w:color w:val="auto"/>
              </w:rPr>
            </w:pPr>
          </w:p>
        </w:tc>
        <w:tc>
          <w:tcPr>
            <w:tcW w:w="14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669,532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666,822</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284,595</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999,176</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83,246</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116,787</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314,371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524,396</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159,044</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384,152</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491,049</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117,731</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1,248,288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1,151,976</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757,590</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498,987</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455,453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1,001,374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5,809,829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5,454,983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 (In thousands)</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(46,924)</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(97,346)</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1,184,590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2,697,361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3,881,951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(359,620)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24"/>
                <w:szCs w:val="24"/>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24"/>
                <w:szCs w:val="24"/>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(87,903)</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(336,437)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June 30, 2024 and December 31, 2023, we held 2,117 and 2,256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June 30, 2024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June 30, 2024 had investment-grade ratings. We concluded that gross unrealized losses noted above were primarily associated with the changes in interest rates subsequent to purchase rather than due to credit impairment. We recorded impairments of $0.5 million in the three and six months ended June 30, 2024 and impairments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in the three and six months ended June 30, 2023 due to our intent to sell securities in an unrealized loss position.</w:t>
      </w:r>
    </w:p>
    <w:p>
      <w:pPr>
        <w:spacing w:after="0" w:line="23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Company's other invested assets at June 30, 2024 and December 31, 2023 totaled $282.8 million and $277.2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$138.0 million as of June 30, 2024. The majority of these investments were in limited partnerships invested in real estate or consumer credit. At June 30, 2024, maximum future funding commitments were $44.5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$9.2 million at June 30, 2024 and $9.2 million at December 31, 2023. In connection with its insurance and reinsurance activities, Essent Re is required to maintain assets in trusts for the benefit of its contractual counterparties. The fair value of the investments on deposit in these trusts was $1.0 billion at June 30, 2024 and $1.1 billion at December 31, 2023. Essent Guaranty is also required to maintain assets on deposit for the benefit of the sponsor of a fixed income investment commitment. The fair value of the assets on deposit was $9.7 million at June 30, 2024 and $9.2 million at December 31, 2023.</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92,268</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4"/>
        </w:trPr>
        <w:tc>
          <w:tcPr>
            <w:tcW w:w="21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272,910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249,167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541,841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488,658</w:t>
            </w:r>
          </w:p>
        </w:tc>
      </w:tr>
      <w:tr>
        <w:trPr>
          <w:trHeight w:val="229"/>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(27,344)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(39,546)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(57,735)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(73,137)</w:t>
            </w:r>
          </w:p>
        </w:tc>
      </w:tr>
      <w:tr>
        <w:trPr>
          <w:trHeight w:val="223"/>
        </w:trPr>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245,566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209,621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484,106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415,521</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279,235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252,775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555,216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497,624</w:t>
            </w:r>
          </w:p>
        </w:tc>
      </w:tr>
      <w:tr>
        <w:trPr>
          <w:trHeight w:val="230"/>
        </w:trPr>
        <w:tc>
          <w:tcPr>
            <w:tcW w:w="52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(27,344)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(39,546)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(57,735)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(73,137)</w:t>
            </w:r>
          </w:p>
        </w:tc>
      </w:tr>
      <w:tr>
        <w:trPr>
          <w:trHeight w:val="248"/>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251,891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213,229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497,481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424,487</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6" w:lineRule="exact"/>
        <w:rPr>
          <w:sz w:val="20"/>
          <w:szCs w:val="20"/>
          <w:color w:val="auto"/>
        </w:rPr>
      </w:pPr>
    </w:p>
    <w:p>
      <w:pPr>
        <w:ind w:right="60" w:firstLine="180"/>
        <w:spacing w:after="0" w:line="282"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a panels of third-party reinsurers ("QSR" agreements). Each of the third-party reinsurers has an insurer financial strength rating of A- or better by S&amp;P Global Ratings,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A.M. Best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summarizes Essent Guaranty's quota share reinsurance agreements as of June 30, 2024:</w:t>
      </w:r>
    </w:p>
    <w:p>
      <w:pPr>
        <w:spacing w:after="0" w:line="27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4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Ceding Commission</w:t>
            </w:r>
          </w:p>
        </w:tc>
        <w:tc>
          <w:tcPr>
            <w:tcW w:w="15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Profit Commission</w:t>
            </w: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5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20" w:type="dxa"/>
            <w:vAlign w:val="bottom"/>
            <w:tcBorders>
              <w:top w:val="single" w:sz="8" w:color="CCEEFF"/>
            </w:tcBorders>
            <w:shd w:val="clear" w:color="auto" w:fill="CCEEFF"/>
          </w:tcPr>
          <w:p>
            <w:pPr>
              <w:spacing w:after="0"/>
              <w:rPr>
                <w:sz w:val="19"/>
                <w:szCs w:val="19"/>
                <w:color w:val="auto"/>
              </w:rPr>
            </w:pPr>
          </w:p>
        </w:tc>
        <w:tc>
          <w:tcPr>
            <w:tcW w:w="3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 2019 -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9"/>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QSR-2022</w:t>
            </w:r>
          </w:p>
        </w:tc>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2022 - December 31,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QSR-2023</w:t>
            </w:r>
          </w:p>
        </w:tc>
        <w:tc>
          <w:tcPr>
            <w:tcW w:w="4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2023 - December 31, 2023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QSR-2024</w:t>
            </w:r>
          </w:p>
        </w:tc>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2024 - December 31,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20"/>
                <w:szCs w:val="20"/>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w:t>
      </w:r>
    </w:p>
    <w:p>
      <w:pPr>
        <w:spacing w:after="0" w:line="7" w:lineRule="exact"/>
        <w:rPr>
          <w:rFonts w:ascii="Times New Roman" w:cs="Times New Roman" w:eastAsia="Times New Roman" w:hAnsi="Times New Roman"/>
          <w:sz w:val="18"/>
          <w:szCs w:val="18"/>
          <w:color w:val="auto"/>
        </w:rPr>
      </w:pPr>
    </w:p>
    <w:p>
      <w:pPr>
        <w:ind w:left="420" w:right="400" w:hanging="412"/>
        <w:spacing w:after="0" w:line="290" w:lineRule="auto"/>
        <w:tabs>
          <w:tab w:leader="none" w:pos="41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profit commission on QSR-2019 was up to 60%; however because Essent Guaranty did not exercise its option to terminate the QSR Agreement on December 31, 2021, the maximum profit commission that Essent Guaranty could earn increased to 63% in 2022 and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RIF ceded under the QSR agreements was $8.4 billion as of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19"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203"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reinsurance agreements with panels of reinsurers that provides excess of loss coverage on new insurance written from January 1, 2018 through August 31, 2019 and from October 1, 2021 through December 31, 2023. Effective July 1, 2024, Essent Guaranty has entered into a reinsurance agreement with a panel of reinsurers that provides excess of loss coverage on new insurance written from January 1, 2024 through December 31, 2024.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Essent Guaranty's excess of loss coverages and retentions provided by insurance linked notes as of June 30, 2024:</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3"/>
                <w:szCs w:val="13"/>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w:t>
            </w: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200" w:type="dxa"/>
            <w:vAlign w:val="bottom"/>
          </w:tcPr>
          <w:p>
            <w:pPr>
              <w:spacing w:after="0"/>
              <w:rPr>
                <w:sz w:val="12"/>
                <w:szCs w:val="12"/>
                <w:color w:val="auto"/>
              </w:rPr>
            </w:pPr>
          </w:p>
        </w:tc>
        <w:tc>
          <w:tcPr>
            <w:tcW w:w="104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Deal Name</w:t>
            </w:r>
          </w:p>
        </w:tc>
        <w:tc>
          <w:tcPr>
            <w:tcW w:w="1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8"/>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2021-1</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Aug. 2020 - Mar.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278,227</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26, 2028</w:t>
            </w:r>
          </w:p>
        </w:tc>
        <w:tc>
          <w:tcPr>
            <w:tcW w:w="0" w:type="dxa"/>
            <w:vAlign w:val="bottom"/>
          </w:tcPr>
          <w:p>
            <w:pPr>
              <w:spacing w:after="0"/>
              <w:rPr>
                <w:sz w:val="1"/>
                <w:szCs w:val="1"/>
                <w:color w:val="auto"/>
              </w:rPr>
            </w:pPr>
          </w:p>
        </w:tc>
      </w:tr>
      <w:tr>
        <w:trPr>
          <w:trHeight w:val="230"/>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2021-2</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Apr. 2021 - Sep. 2021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277,770</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2027</w:t>
            </w: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2022-1</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 2021 - Jul. 2022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302,032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2028</w:t>
            </w:r>
          </w:p>
        </w:tc>
        <w:tc>
          <w:tcPr>
            <w:tcW w:w="0" w:type="dxa"/>
            <w:vAlign w:val="bottom"/>
          </w:tcPr>
          <w:p>
            <w:pPr>
              <w:spacing w:after="0"/>
              <w:rPr>
                <w:sz w:val="1"/>
                <w:szCs w:val="1"/>
                <w:color w:val="auto"/>
              </w:rPr>
            </w:pPr>
          </w:p>
        </w:tc>
      </w:tr>
      <w:tr>
        <w:trPr>
          <w:trHeight w:val="230"/>
        </w:trPr>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Radnor Re 2023-1</w:t>
            </w:r>
          </w:p>
        </w:tc>
        <w:tc>
          <w:tcPr>
            <w:tcW w:w="20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 2022 - Jun. 2023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29,594,148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8,102,672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281,434</w:t>
            </w: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July 25, 2028</w:t>
            </w:r>
          </w:p>
        </w:tc>
        <w:tc>
          <w:tcPr>
            <w:tcW w:w="0" w:type="dxa"/>
            <w:vAlign w:val="bottom"/>
          </w:tcPr>
          <w:p>
            <w:pPr>
              <w:spacing w:after="0"/>
              <w:rPr>
                <w:sz w:val="1"/>
                <w:szCs w:val="1"/>
                <w:color w:val="auto"/>
              </w:rPr>
            </w:pPr>
          </w:p>
        </w:tc>
      </w:tr>
      <w:tr>
        <w:trPr>
          <w:trHeight w:val="248"/>
        </w:trPr>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120,056,819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32,597,334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1,139,463</w:t>
            </w: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040" w:type="dxa"/>
            <w:vAlign w:val="bottom"/>
          </w:tcPr>
          <w:p>
            <w:pPr>
              <w:jc w:val="center"/>
              <w:ind w:right="78"/>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1"/>
                <w:szCs w:val="11"/>
                <w:color w:val="auto"/>
              </w:rPr>
            </w:pPr>
          </w:p>
        </w:tc>
        <w:tc>
          <w:tcPr>
            <w:tcW w:w="130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80" w:type="dxa"/>
            <w:vAlign w:val="bottom"/>
          </w:tcPr>
          <w:p>
            <w:pPr>
              <w:spacing w:after="0"/>
              <w:rPr>
                <w:sz w:val="11"/>
                <w:szCs w:val="11"/>
                <w:color w:val="auto"/>
              </w:rPr>
            </w:pPr>
          </w:p>
        </w:tc>
        <w:tc>
          <w:tcPr>
            <w:tcW w:w="1040" w:type="dxa"/>
            <w:vAlign w:val="bottom"/>
          </w:tcPr>
          <w:p>
            <w:pPr>
              <w:jc w:val="center"/>
              <w:ind w:right="98"/>
              <w:spacing w:after="0" w:line="137"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00" w:type="dxa"/>
            <w:vAlign w:val="bottom"/>
          </w:tcPr>
          <w:p>
            <w:pPr>
              <w:spacing w:after="0"/>
              <w:rPr>
                <w:sz w:val="11"/>
                <w:szCs w:val="11"/>
                <w:color w:val="auto"/>
              </w:rPr>
            </w:pPr>
          </w:p>
        </w:tc>
        <w:tc>
          <w:tcPr>
            <w:tcW w:w="2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80" w:type="dxa"/>
            <w:vAlign w:val="bottom"/>
          </w:tcPr>
          <w:p>
            <w:pPr>
              <w:spacing w:after="0"/>
              <w:rPr>
                <w:sz w:val="16"/>
                <w:szCs w:val="16"/>
                <w:color w:val="auto"/>
              </w:rPr>
            </w:pPr>
          </w:p>
        </w:tc>
        <w:tc>
          <w:tcPr>
            <w:tcW w:w="10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2019-1</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Jan. 2018 - Dec. 2018</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244,991</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February 25, 2026</w:t>
            </w: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2020-1</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 2019 - Aug. 2019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6,290,687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212,557</w:t>
            </w:r>
          </w:p>
        </w:tc>
        <w:tc>
          <w:tcPr>
            <w:tcW w:w="10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January 25, 2027</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2022-1</w:t>
            </w: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 2021 - Dec. 2022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67,094,902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18,213,963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502,788</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XOL 2023-1</w:t>
            </w:r>
          </w:p>
        </w:tc>
        <w:tc>
          <w:tcPr>
            <w:tcW w:w="19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Jan. 2023 - Dec. 2023</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39,252,349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10,868,626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366,154</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January 1, 2028</w:t>
            </w:r>
          </w:p>
        </w:tc>
        <w:tc>
          <w:tcPr>
            <w:tcW w:w="0" w:type="dxa"/>
            <w:vAlign w:val="bottom"/>
          </w:tcPr>
          <w:p>
            <w:pPr>
              <w:spacing w:after="0"/>
              <w:rPr>
                <w:sz w:val="1"/>
                <w:szCs w:val="1"/>
                <w:color w:val="auto"/>
              </w:rPr>
            </w:pPr>
          </w:p>
        </w:tc>
      </w:tr>
      <w:tr>
        <w:trPr>
          <w:trHeight w:val="235"/>
        </w:trPr>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117,662,525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32,062,992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1,326,490</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June 30,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14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301,015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209,409</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281,462</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six months ended June 30: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216,464</w:t>
            </w: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201,846</w:t>
            </w: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64,070</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(62,990)</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198,985</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216,943</w:t>
            </w: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$10.1 million was paid for incurred claims and claim adjustment expenses attributable to insured events of prior years. There has been a $61.0 million favorable prior year development during the six months ended June 30, 2024. Reserves remaining as of June 30, 2024 for prior years are $164.9 million as a result of re-estimation of unpaid losses and loss adjustment expenses. For the six months ended June 30, 2023, $3.9 million was paid for incurred claims and claim adjustment expenses attributable to insured events of prior years. There was a $63.0 million favorable prior year development during the six months ended June 30, 2023. Reserves remaining as of June 30, 2023 for prior years were $134.9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5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Through June 30, 2024, Essent Group and its subsidiaries, Essent Irish Intermediate Holdings Limited and Essent US Holdings, Inc. (collectively, the "Borrowers"), were parties to a five-year secured credit facility with a committed capacity of $825 million (the "Existing Credit Facility"). The Existing Credit Facility also provided for up to $175 million aggregate principal amount of uncommitted incremental term loan and/or revolving credit facilities that may be exercised at the Borrowers’ option so long as the Borrowers receive commitments from the lenders. Borrowings under the Existing Credit Facility may have been used for working capital and general corporate purposes, including, without limitation, capital contributions to Essent’s insurance and reinsurance subsidiaries. Borrowings accrued interest at a floating rate tied to a standard short-term borrowing index, selected at the Company’s option, plus an applicable margin. A commitment fee was due quarterly on the average daily amount of the undrawn revolving commitment. The applicable margin and the commitment fee were based on the senior unsecured debt rating or long-term issuer rating of Essent Group to the extent available, or the insurer financial strength rating of Essent Guaranty. The annual commitment fee rate at June 30, 2024 was 0.25%. The obligations under the Exisiting Credit Facility were secured by certain assets of the Borrowers, excluding the stock and assets of its insurance and reinsurance subsidiaries. The Credit Facility contained several covenants, including financial covenants relating to minimum net worth, capital and liquidity levels, maximum debt to capitalization level and Essent Guaranty's compliance with the PMIERs (see Note 14). As of June 30, 2024, the Company was in compliance with the covenants and $425 million had been borrowed under the term loan portion of the Existing Credit Facility with a weighted average interest rate of 7.07%. As of December 31, 2023, $425 million had been borrowed with a weighted average interest rate of 7.11%.</w:t>
      </w:r>
    </w:p>
    <w:p>
      <w:pPr>
        <w:spacing w:after="0" w:line="22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On July 1, 2024, Essent Group completed an underwritten public offering of $500 million principal amount of 6.25% Senior Notes due 2029 (the “Senior Notes" or "Offering"). Interest on the Senior Notes will be payable semi-annually in arrears on January 1 and July 1 of each year, beginning on January 1, 2025. The Senior Notes will mature on July 1, 2029. At any time prior to June 1, 2029 (one month prior to the maturity date), the Company may redeem the Senior Notes, at its option, in whole or in part, at any time and from time to time, at a redemption price described in the Supplemental Indenture plus accrued and unpaid interest, if any, to, but excluding, the redemption date. At any time and from time to time on or after June 1, 2029, the Company may redeem, at its option, in whole or in part, the Notes at a redemption price equal to 100% of the principal amount of the Notes to be redeemed plus accrued and unpaid interest, if any, to, but excluding, the redemption date. The net proceeds from the sale of the Senior Notes, after deducting the underwriting discounts and commissions and estimated offering expenses, were approximately $495.3 million. The Company used the net proceeds from the sale of the Senior Notes to repay all of the borrowings outstanding under the term loan portion of the Existing Credit Facility described above, and intends to use the remaining net proceeds for general corporate purposes.</w:t>
      </w:r>
    </w:p>
    <w:p>
      <w:pPr>
        <w:spacing w:after="0" w:line="221"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On July 1, 2024, concurrently with the closing of the Offering of the Senior Notes and the repayment of all of the borrowings outstanding under the term loan portion of its Existing Credit Agreement, the Fourth Amended and Restated Credit Agreement (the “Revolving Credit Agreement”) became effective and amends and restates the Existing Credit Facility. Under the Revolving Credit Agreement, the Refinancing Agreement Revolving Lenders (as defined therein) agreed to provide the Company with a five-year unsecured revolving credit facility of up to $500 million of senior unsecured revolving loans (the “Revolving Credit Facility”). The Revolving Credit Facility also provides for an aggregate principal amount of up to $250 million in uncommitted incremental revolving credit facilities that may be exercised at the Company’s option, so long as the Company receives sufficient commitments from the bank lenders.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in remedy payments in the six months ended June 30, 2024, and we made no remedy payments in the six months ended June 30, 2023. As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of June 30, 2024, management believes any potential claims for indemnification related to contract underwriting services through June 30, 2024 are not material to our consolidated financial position or results of operations.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2024,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3"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August 2024, the Board of Directors declared a quarterly cash dividend of $0.28 per common share payable on September 10, 2024 to shareholders of record on August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plan that authorizes the Company to repurchase $250 million of common shares in the open market between January 1, 2024 and December 31, 2025. Through June 30, 2024, the Company repurchased 492,790 common shares at a cost of $27.1 million under the 2023 plan, leaving $222.9 million remaining unused under the authorized repurchase plan as of June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2013, Essent Group's Board of Directors adopted, and Essent Group's shareholders </w:t>
      </w:r>
      <w:r>
        <w:rPr>
          <w:rFonts w:ascii="Times New Roman" w:cs="Times New Roman" w:eastAsia="Times New Roman" w:hAnsi="Times New Roman"/>
          <w:sz w:val="18"/>
          <w:szCs w:val="18"/>
          <w:color w:val="242021"/>
        </w:rPr>
        <w:t>approved, the Essent Group Ltd. 2013 Long-Term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rights, 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June 30, 2024, there were 3.3 million common shares available for future grant under the 2013 Plan.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Time and Performance-</w:t>
            </w:r>
          </w:p>
        </w:tc>
        <w:tc>
          <w:tcPr>
            <w:tcW w:w="21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1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21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2100" w:type="dxa"/>
            <w:vAlign w:val="bottom"/>
            <w:gridSpan w:val="5"/>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2820" w:type="dxa"/>
            <w:vAlign w:val="bottom"/>
            <w:gridSpan w:val="2"/>
            <w:vMerge w:val="continue"/>
          </w:tcPr>
          <w:p>
            <w:pPr>
              <w:spacing w:after="0"/>
              <w:rPr>
                <w:sz w:val="17"/>
                <w:szCs w:val="17"/>
                <w:color w:val="auto"/>
              </w:rPr>
            </w:pP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February 2024, certain members of senior management were granted nonvested common shares under the 2013 Plan that were subject to time-based and performance-based vesting. The time-based share awards granted in February 2024 vest annually in three equal installments commencing on March 1 of the year following the grant year. The performance-based share awards granted in February 2024 vest based upon our compounded annual book value per share growth percentage and relative total shareholder return during a three-year performance period that commenced on January 1, 2024 and vest on March 1, 2027. Shares were issued at the maximum 200% of target. The portion of these nonvested performance-based share awards that will be earned is as follows:</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Relative Total Shareholder Return</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50th percentile</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≥75th percentile</w:t>
            </w:r>
          </w:p>
        </w:tc>
        <w:tc>
          <w:tcPr>
            <w:tcW w:w="0" w:type="dxa"/>
            <w:vAlign w:val="bottom"/>
          </w:tcPr>
          <w:p>
            <w:pPr>
              <w:spacing w:after="0"/>
              <w:rPr>
                <w:sz w:val="1"/>
                <w:szCs w:val="1"/>
                <w:color w:val="auto"/>
              </w:rPr>
            </w:pPr>
          </w:p>
        </w:tc>
      </w:tr>
      <w:tr>
        <w:trPr>
          <w:trHeight w:val="250"/>
        </w:trPr>
        <w:tc>
          <w:tcPr>
            <w:tcW w:w="2020" w:type="dxa"/>
            <w:vAlign w:val="bottom"/>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7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100%</w:t>
            </w:r>
          </w:p>
        </w:tc>
        <w:tc>
          <w:tcPr>
            <w:tcW w:w="25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0"/>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1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75%</w:t>
            </w:r>
          </w:p>
        </w:tc>
        <w:tc>
          <w:tcPr>
            <w:tcW w:w="254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50"/>
        </w:trPr>
        <w:tc>
          <w:tcPr>
            <w:tcW w:w="20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7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50%</w:t>
            </w:r>
          </w:p>
        </w:tc>
        <w:tc>
          <w:tcPr>
            <w:tcW w:w="2540" w:type="dxa"/>
            <w:vAlign w:val="bottom"/>
            <w:tcBorders>
              <w:bottom w:val="single" w:sz="8" w:color="CCEEFF"/>
            </w:tcBorders>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020" w:type="dxa"/>
            <w:vAlign w:val="bottom"/>
          </w:tcPr>
          <w:p>
            <w:pPr>
              <w:jc w:val="center"/>
              <w:ind w:right="6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CAGR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17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6"/>
              </w:rPr>
              <w:t>25%</w:t>
            </w:r>
          </w:p>
        </w:tc>
        <w:tc>
          <w:tcPr>
            <w:tcW w:w="2540" w:type="dxa"/>
            <w:vAlign w:val="bottom"/>
            <w:gridSpan w:val="3"/>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1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2" w:lineRule="exact"/>
        <w:rPr>
          <w:sz w:val="20"/>
          <w:szCs w:val="20"/>
          <w:color w:val="auto"/>
        </w:rPr>
      </w:pPr>
    </w:p>
    <w:p>
      <w:pPr>
        <w:ind w:right="300" w:firstLine="445"/>
        <w:spacing w:after="0" w:line="258" w:lineRule="auto"/>
        <w:rPr>
          <w:sz w:val="20"/>
          <w:szCs w:val="20"/>
          <w:color w:val="auto"/>
        </w:rPr>
      </w:pPr>
      <w:r>
        <w:rPr>
          <w:rFonts w:ascii="Times New Roman" w:cs="Times New Roman" w:eastAsia="Times New Roman" w:hAnsi="Times New Roman"/>
          <w:sz w:val="18"/>
          <w:szCs w:val="18"/>
          <w:color w:val="auto"/>
        </w:rPr>
        <w:t>In February 2024, nonvested common share units were issued to certain vice president and staff level employees and are subject to time-based vesting in two equal installments on January 6, 2025 and 2026. In connection with our incentive program covering bonus awards for performance year 2023, in February 2024, time-based share units were issued to certain employees that vest in three equal installments on March 1, 2025, 2026 and 2027. Also in February 2024, time-based share units were granted to certain vice president and staff level employees that vest in three equal installments on March 1, 2027, 2028 and 2029.</w:t>
      </w:r>
    </w:p>
    <w:p>
      <w:pPr>
        <w:spacing w:after="0" w:line="21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2022, 2023 and 2024 contain a market condition and were valued based on analysis provided by a third-party valuation firm using a risk-neutral simulation taking into effect the vesting conditions of the grant.</w:t>
      </w:r>
    </w:p>
    <w:p>
      <w:pPr>
        <w:spacing w:after="0" w:line="20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$24.3 million and $14.5 million for the six months ended June 30, 2024 and 2023, respectively. As of June 30, 2024, there was $37.7 million of total unrecognized compensation expense related to nonvested shares or share units outstanding at June 30, 2024 and we expect to recognize the expense over a weighted average period of 2.6 years.</w:t>
      </w:r>
    </w:p>
    <w:p>
      <w:pPr>
        <w:spacing w:after="0" w:line="203"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157,832 in the six months ended June 30, 2024. The tendered shares were recorded at cost and included in treasury stock. All treasury stock has been cancelled as of June 30,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3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June 30, 2024, Essent Guaranty had unassigned surplus of approximately $352.4 million and Essent PA had unassigned surplus of approximately $19.4 million. In three and six months ended June 30, 2024 Essent Guaranty paid dividends of $62.5 million and $107.5 million, respectively, to its parent, Essent US Holdings, Inc. In three and six months ended June 30, 2023, Essent Guaranty paid dividends of $90 million and $180 million to its parent, Essent US Holdings, Inc. Essent PA did not pay a dividend in the three and six months ended June 30, 2024 or 2023. As of June 30, 2024, Essent Guaranty and Essent PA could pay additional ordinary dividends in 2023 of $323.8 million and $5.4 million, respectively.</w:t>
      </w:r>
    </w:p>
    <w:p>
      <w:pPr>
        <w:spacing w:after="0" w:line="21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2024, Essent Re had total equity of $1.8 billion. At June 30, 2024,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Pr>
          <w:p>
            <w:pPr>
              <w:spacing w:after="0"/>
              <w:rPr>
                <w:sz w:val="17"/>
                <w:szCs w:val="17"/>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343,060</w:t>
            </w:r>
          </w:p>
        </w:tc>
      </w:tr>
      <w:tr>
        <w:trPr>
          <w:trHeight w:val="54"/>
        </w:trPr>
        <w:tc>
          <w:tcPr>
            <w:tcW w:w="5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106,594</w:t>
            </w:r>
          </w:p>
        </w:tc>
      </w:tr>
      <w:tr>
        <w:trPr>
          <w:trHeight w:val="23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107,338</w:t>
            </w:r>
          </w:p>
        </w:tc>
      </w:tr>
      <w:tr>
        <w:trPr>
          <w:trHeight w:val="54"/>
        </w:trPr>
        <w:tc>
          <w:tcPr>
            <w:tcW w:w="5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bl>
    <w:p>
      <w:pPr>
        <w:spacing w:after="0" w:line="27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There were 37,219 and 15,528 antidilutive shares for the three months ended June 30, 2024 and 2023, respectively, and 102,475 and 63,433 antidilutive shares for the six months ended June 30, 2024 and 2023, respectively.</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2024, 2023, and 2022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2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Performance-Based</w:t>
            </w: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2021 Performance-Based</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2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760" w:type="dxa"/>
            <w:vAlign w:val="bottom"/>
          </w:tcPr>
          <w:p>
            <w:pPr>
              <w:spacing w:after="0"/>
              <w:rPr>
                <w:sz w:val="16"/>
                <w:szCs w:val="16"/>
                <w:color w:val="auto"/>
              </w:rPr>
            </w:pPr>
          </w:p>
        </w:tc>
        <w:tc>
          <w:tcPr>
            <w:tcW w:w="1200" w:type="dxa"/>
            <w:vAlign w:val="bottom"/>
            <w:gridSpan w:val="3"/>
          </w:tcPr>
          <w:p>
            <w:pPr>
              <w:jc w:val="center"/>
              <w:ind w:right="697"/>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0" w:type="dxa"/>
            <w:vAlign w:val="bottom"/>
          </w:tcPr>
          <w:p>
            <w:pPr>
              <w:spacing w:after="0"/>
              <w:rPr>
                <w:sz w:val="1"/>
                <w:szCs w:val="1"/>
                <w:color w:val="auto"/>
              </w:rPr>
            </w:pPr>
          </w:p>
        </w:tc>
      </w:tr>
      <w:tr>
        <w:trPr>
          <w:trHeight w:val="127"/>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80"/>
              <w:spacing w:after="0" w:line="127"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100"/>
              <w:spacing w:after="0" w:line="127"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center"/>
              <w:ind w:left="71"/>
              <w:spacing w:after="0" w:line="127"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10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8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760" w:type="dxa"/>
            <w:vAlign w:val="bottom"/>
          </w:tcPr>
          <w:p>
            <w:pPr>
              <w:jc w:val="center"/>
              <w:ind w:left="91"/>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0" w:type="dxa"/>
            <w:vAlign w:val="bottom"/>
          </w:tcPr>
          <w:p>
            <w:pPr>
              <w:spacing w:after="0"/>
              <w:rPr>
                <w:sz w:val="1"/>
                <w:szCs w:val="1"/>
                <w:color w:val="auto"/>
              </w:rPr>
            </w:pPr>
          </w:p>
        </w:tc>
      </w:tr>
      <w:tr>
        <w:trPr>
          <w:trHeight w:val="121"/>
        </w:trPr>
        <w:tc>
          <w:tcPr>
            <w:tcW w:w="332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Reporting Date</w:t>
            </w:r>
          </w:p>
        </w:tc>
        <w:tc>
          <w:tcPr>
            <w:tcW w:w="80" w:type="dxa"/>
            <w:vAlign w:val="bottom"/>
            <w:vMerge w:val="restart"/>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00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000" w:type="dxa"/>
            <w:vAlign w:val="bottom"/>
            <w:gridSpan w:val="2"/>
            <w:vMerge w:val="continue"/>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000" w:type="dxa"/>
            <w:vAlign w:val="bottom"/>
            <w:gridSpan w:val="2"/>
            <w:vMerge w:val="continue"/>
          </w:tcPr>
          <w:p>
            <w:pPr>
              <w:spacing w:after="0"/>
              <w:rPr>
                <w:sz w:val="10"/>
                <w:szCs w:val="10"/>
                <w:color w:val="auto"/>
              </w:rPr>
            </w:pPr>
          </w:p>
        </w:tc>
        <w:tc>
          <w:tcPr>
            <w:tcW w:w="760" w:type="dxa"/>
            <w:vAlign w:val="bottom"/>
          </w:tcPr>
          <w:p>
            <w:pPr>
              <w:jc w:val="center"/>
              <w:ind w:left="71"/>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Issued</w:t>
            </w:r>
          </w:p>
        </w:tc>
        <w:tc>
          <w:tcPr>
            <w:tcW w:w="0" w:type="dxa"/>
            <w:vAlign w:val="bottom"/>
          </w:tcPr>
          <w:p>
            <w:pPr>
              <w:spacing w:after="0"/>
              <w:rPr>
                <w:sz w:val="1"/>
                <w:szCs w:val="1"/>
                <w:color w:val="auto"/>
              </w:rPr>
            </w:pPr>
          </w:p>
        </w:tc>
      </w:tr>
      <w:tr>
        <w:trPr>
          <w:trHeight w:val="228"/>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w:t>
            </w:r>
          </w:p>
        </w:tc>
        <w:tc>
          <w:tcPr>
            <w:tcW w:w="1200" w:type="dxa"/>
            <w:vAlign w:val="bottom"/>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30, 2023</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200" w:type="dxa"/>
            <w:vAlign w:val="bottom"/>
            <w:gridSpan w:val="3"/>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The 2021 performance based awards vested at 133% relative to target on March 1, 2024.</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46" w:lineRule="exact"/>
        <w:rPr>
          <w:rFonts w:ascii="Times New Roman" w:cs="Times New Roman" w:eastAsia="Times New Roman" w:hAnsi="Times New Roman"/>
          <w:sz w:val="14"/>
          <w:szCs w:val="14"/>
          <w:b w:val="1"/>
          <w:bCs w:val="1"/>
          <w:color w:val="auto"/>
        </w:rPr>
      </w:pPr>
    </w:p>
    <w:p>
      <w:pPr>
        <w:ind w:left="55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loss for the three and six months ended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2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6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(347,880)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(302,262)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(324,037)</w:t>
            </w:r>
          </w:p>
        </w:tc>
      </w:tr>
      <w:tr>
        <w:trPr>
          <w:trHeight w:val="20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6"/>
        </w:trPr>
        <w:tc>
          <w:tcPr>
            <w:tcW w:w="386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38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0"/>
        </w:trPr>
        <w:tc>
          <w:tcPr>
            <w:tcW w:w="3860" w:type="dxa"/>
            <w:vAlign w:val="bottom"/>
            <w:gridSpan w:val="3"/>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8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during the period</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(37,348)</w:t>
            </w:r>
          </w:p>
        </w:tc>
      </w:tr>
      <w:tr>
        <w:trPr>
          <w:trHeight w:val="175"/>
        </w:trPr>
        <w:tc>
          <w:tcPr>
            <w:tcW w:w="386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860" w:type="dxa"/>
            <w:vAlign w:val="bottom"/>
            <w:tcBorders>
              <w:bottom w:val="single" w:sz="8" w:color="CCEEFF"/>
            </w:tcBorders>
            <w:gridSpan w:val="3"/>
          </w:tcPr>
          <w:p>
            <w:pPr>
              <w:ind w:left="52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3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w:t>
            </w:r>
          </w:p>
        </w:tc>
      </w:tr>
      <w:tr>
        <w:trPr>
          <w:trHeight w:val="223"/>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(36,098)</w:t>
            </w:r>
          </w:p>
        </w:tc>
      </w:tr>
      <w:tr>
        <w:trPr>
          <w:trHeight w:val="248"/>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2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
        </w:trPr>
        <w:tc>
          <w:tcPr>
            <w:tcW w:w="21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6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(382,790)</w:t>
            </w:r>
          </w:p>
        </w:tc>
      </w:tr>
      <w:tr>
        <w:trPr>
          <w:trHeight w:val="20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6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38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0"/>
        </w:trPr>
        <w:tc>
          <w:tcPr>
            <w:tcW w:w="3860" w:type="dxa"/>
            <w:vAlign w:val="bottom"/>
            <w:gridSpan w:val="3"/>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8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during the period</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20,869</w:t>
            </w:r>
          </w:p>
        </w:tc>
      </w:tr>
      <w:tr>
        <w:trPr>
          <w:trHeight w:val="175"/>
        </w:trPr>
        <w:tc>
          <w:tcPr>
            <w:tcW w:w="386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860" w:type="dxa"/>
            <w:vAlign w:val="bottom"/>
            <w:tcBorders>
              <w:bottom w:val="single" w:sz="8" w:color="CCEEFF"/>
            </w:tcBorders>
            <w:gridSpan w:val="3"/>
          </w:tcPr>
          <w:p>
            <w:pPr>
              <w:ind w:left="52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23"/>
        </w:trPr>
        <w:tc>
          <w:tcPr>
            <w:tcW w:w="3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r>
      <w:tr>
        <w:trPr>
          <w:trHeight w:val="223"/>
        </w:trPr>
        <w:tc>
          <w:tcPr>
            <w:tcW w:w="3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22,655</w:t>
            </w:r>
          </w:p>
        </w:tc>
      </w:tr>
      <w:tr>
        <w:trPr>
          <w:trHeight w:val="248"/>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net realized investment losses on our condensed consolidated statements of comprehensive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7" w:lineRule="exact"/>
        <w:rPr>
          <w:sz w:val="20"/>
          <w:szCs w:val="20"/>
          <w:color w:val="auto"/>
        </w:rPr>
      </w:pPr>
    </w:p>
    <w:p>
      <w:pPr>
        <w:ind w:left="5540" w:right="3020" w:hanging="5208"/>
        <w:spacing w:after="0" w:line="970"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999,176</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757,590</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524,396</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1,151,976</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498,987</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455,453</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1,001,374</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2,000,550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3,454,433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5,454,983</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2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5,263,739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6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ind w:left="660" w:right="240" w:hanging="328"/>
        <w:spacing w:after="0" w:line="26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and Essent PA’s statutory net income for the three and six months ended June 30, 2024 and 2023 as well as statutory surplus and contingency reserve liability at June 30, 2024 and December 31, 2023:</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20" w:type="dxa"/>
            <w:vAlign w:val="bottom"/>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80" w:type="dxa"/>
            <w:vAlign w:val="bottom"/>
            <w:vMerge w:val="continue"/>
          </w:tcPr>
          <w:p>
            <w:pPr>
              <w:spacing w:after="0"/>
              <w:rPr>
                <w:sz w:val="15"/>
                <w:szCs w:val="15"/>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12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5485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Essent Guaranty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134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185,102</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134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r>
      <w:tr>
        <w:trPr>
          <w:trHeight w:val="530"/>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Essent Guaranty</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1,057,702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1,004,104</w:t>
            </w: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2,366,236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2,265,713</w:t>
            </w:r>
          </w:p>
        </w:tc>
      </w:tr>
      <w:tr>
        <w:trPr>
          <w:trHeight w:val="257"/>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54,044</w:t>
            </w: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52,244</w:t>
            </w:r>
          </w:p>
        </w:tc>
      </w:tr>
    </w:tbl>
    <w:p>
      <w:pPr>
        <w:spacing w:after="0" w:line="31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2024 and 2023,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statutory capital of our U.S. insurance subsidiaries, which is defined as the total of statutory surplus and contingency reserves, was in excess of the statutory capital necessary to satisfy their regulatory requirements.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2024, Essent Guaranty, our GSE-approved mortgage insurance company, was in compliance with PMIERs 2.0.</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six months ended June 30, 2024, Essent Guaranty increased its contingency reserve by $100.5 million and Essent PA decreased its contingency reserve by $4.1 million. During the six months ended June 30, 2024 and 2023, Essent Guaranty released contingency reserves of $43.2 million and $22.5 million, respectively, and Essent PA released contingency reserves of $4.3 million and $1.9 million, respectively, to unassigned funds upon completion of the 120 month holding period.</w:t>
      </w:r>
    </w:p>
    <w:p>
      <w:pPr>
        <w:spacing w:after="0" w:line="21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2023, all such requirements were met.</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Essent Re's statutory capital and surplus was $1.8 billion as of June 30, 2024 and $1.9 billion as of December 31, 2023. Essent Re's statutory net income was $170.5 million and $150.0 million for the six months ended June 30, 2024 and 2023, respectively. Statutory capital and surplus as of June 30, 2024 and December 31, 2023 and statutory net income in the six months ended June 30, 2024 and 2023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Acquisitions</w:t>
      </w:r>
    </w:p>
    <w:p>
      <w:pPr>
        <w:spacing w:after="0" w:line="256"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Effective July 1, 2023, Essent Holdings acquired all of the issued and outstanding shares of capital stock of Agents National Title Holding Company (“Agents National Title”) and the issued and outstanding membership interests of Boston National Holdings LLC (“Boston National Title”) for $92.6 million in cash in a single settlement with the seller. The purchase price was subject to further customary post-closing adjustments as described in a securities purchase agreement among the parties to the transaction, in which a post closing adjustment of $1.3 million was paid by the seller to Essent Holdings.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w:t>
      </w:r>
    </w:p>
    <w:p>
      <w:pPr>
        <w:spacing w:after="0" w:line="20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acquired businesses contributed revenues of $37.2 million, principally comprised of $31.9 million of net premiums earned and $2.8 million of settlement services revenues, which are included in other income, and pre-tax net losses of $8.7 million to our results for the six months ended June 30, 2024.</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incurred $4.2 million of acquisition-related costs for the six months ended June 30, 2023. These expenses are included in other underwriting and operating expenses on our condensed consolidated income statement.</w:t>
      </w:r>
    </w:p>
    <w:p>
      <w:pPr>
        <w:spacing w:after="0" w:line="189"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acquisition of Agents National Title and Boston National Title was accounted for as a business combination using the acquisition method of accounting and, accordingly, the assets acquired, liabilities assumed and consideration transferred were recorded at their estimated fair values as of the acquisition date. The excess of consideration transferred over the fair value of net assets acquired was recorded as goodwill. The Company allocated the goodwill to its Title operating segment.</w:t>
      </w:r>
    </w:p>
    <w:p>
      <w:pPr>
        <w:spacing w:after="0" w:line="207"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consideration transferred to acquire Agents National Title and Boston National Title and the amounts of identified assets acquired and liabilities assumed, including purchase accounting adjustments that have been recorded by Essent during the measurement period: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260" w:type="dxa"/>
            <w:vAlign w:val="bottom"/>
          </w:tcPr>
          <w:p>
            <w:pPr>
              <w:spacing w:after="0"/>
              <w:rPr>
                <w:sz w:val="18"/>
                <w:szCs w:val="18"/>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Paid:</w:t>
            </w: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maturities available for sale</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 for losses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Adjustments to Goodwill were primarily related to the fair value of claims reserve liabilities, agency relationship intangible assets and other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assets acquired and liabilities assumed, as well as resulting goodwill, were finalized as of June 30, 2024.</w:t>
      </w:r>
    </w:p>
    <w:p>
      <w:pPr>
        <w:spacing w:after="0" w:line="23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amount of goodwill recorded reflects the increased market share and related synergies that are expected to result from the acquisition, and represents the excess purchase price over the estimated fair value of the net assets acquired from Agents National Title and Boston National Title. As of June 30, 2024, intangible assets were $21.5 million, net of $1.4 million of accumulated amortization.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2023 as filed with the Securities and Exchange Commission and referred to herein as the “Annual Report,” and our condensed consolidated financial statements and related notes as of and for the three and six months ended June 30, 2024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reinsurance, and title insurance and settlement services to mortgage lenders, borrowers, and investors to support homeownership.</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or NIW, of approximately $12.5 billion and $20.8 billion for the three and six months ended June 30, 2024, respectively, compared to approximately $13.5 billion and $26.4 billion for the three and six months ended June 30, 2023, respectively. The financial strength ratings of Essent Guaranty are A3 with a positive outlook by Moody’s Investors Service (“Moody's”), A- with a stable outlook by S&amp;P Global Ratings (“S&amp;P”) and A (Excellent) with a stable outlook by A.M. Best.</w:t>
      </w:r>
    </w:p>
    <w:p>
      <w:pPr>
        <w:spacing w:after="0" w:line="214" w:lineRule="exact"/>
        <w:rPr>
          <w:sz w:val="20"/>
          <w:szCs w:val="20"/>
          <w:color w:val="auto"/>
        </w:rPr>
      </w:pPr>
    </w:p>
    <w:p>
      <w:pPr>
        <w:ind w:right="80" w:firstLine="690"/>
        <w:spacing w:after="0" w:line="255" w:lineRule="auto"/>
        <w:rPr>
          <w:sz w:val="20"/>
          <w:szCs w:val="20"/>
          <w:color w:val="auto"/>
        </w:rPr>
      </w:pPr>
      <w:r>
        <w:rPr>
          <w:rFonts w:ascii="Times New Roman" w:cs="Times New Roman" w:eastAsia="Times New Roman" w:hAnsi="Times New Roman"/>
          <w:sz w:val="18"/>
          <w:szCs w:val="18"/>
          <w:color w:val="auto"/>
        </w:rPr>
        <w:t>We also offer mortgage-related insurance and reinsurance through our wholly-owned Bermuda-based subsidiary, Essent Reinsurance Ltd., which we refer to as "Essent Re." As of June 30, 2024, Essent Re provided insurance or reinsurance relating to GSE risk share and other reinsurance transactions covering approximately $2.3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A- with a stable outlook by S&amp;P and A (Excellent) with a stable outlook by A.M. Best.</w:t>
      </w:r>
    </w:p>
    <w:p>
      <w:pPr>
        <w:spacing w:after="0" w:line="21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acquisitions of Agents National Title Insurance Company and Boston National Holdings LLC effective July 1, 2023, we offer title insurance and settlement services.</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have a highly experienced, talented team with 528 employees as of June 30, 2024. Our holding company is domiciled in Bermuda and our U.S. mortgage insurance business is headquartered in Radnor, Pennsylvania.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Developments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These rate increases have resulted in higher mortgage interest rates which reduced home buying and mortgage refinance activity resulting in lower volumes of mortgage originations, new insurance written and title insurance and settlement service transactions. These rate increases have also resulted in increases in our net investment income generated by our investment portfolio and the persistency of our mortgage insurance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Tax Reform</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20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60" w:right="1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2024 were non-refundable. Premiums collected on annual policies are recognized as net premiums earned on a straight-line basis over the year of coverage. For the six months ended June 30, 2024 and 2023, monthly premium policies comprised 98% and 96% of our NIW, respectively.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86.7% at June 30, 2024. Generally, higher prepayment speeds lead to lower persistency.</w:t>
      </w:r>
    </w:p>
    <w:p>
      <w:pPr>
        <w:spacing w:after="0" w:line="203" w:lineRule="exact"/>
        <w:rPr>
          <w:sz w:val="20"/>
          <w:szCs w:val="20"/>
          <w:color w:val="auto"/>
        </w:rPr>
      </w:pPr>
    </w:p>
    <w:p>
      <w:pPr>
        <w:ind w:right="40" w:firstLine="693"/>
        <w:spacing w:after="0" w:line="256"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June 30, 2024.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spacing w:after="0" w:line="21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180" w:lineRule="exact"/>
        <w:rPr>
          <w:sz w:val="20"/>
          <w:szCs w:val="20"/>
          <w:color w:val="auto"/>
        </w:rPr>
      </w:pPr>
    </w:p>
    <w:p>
      <w:pPr>
        <w:ind w:firstLine="17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5" w:lineRule="exact"/>
        <w:rPr>
          <w:sz w:val="20"/>
          <w:szCs w:val="20"/>
          <w:color w:val="auto"/>
        </w:rPr>
      </w:pPr>
    </w:p>
    <w:p>
      <w:pPr>
        <w:ind w:left="660" w:right="2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1"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June 30, 2024, 49% of our IIF relates to business written since January 1, 2022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0"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Based upon our experience and industry data, claims incidence for mortgage insurance is generally highest in the third through sixth years after loan origination. As of June 30, 2024, 49% of our IIF relates to business written since January 1, 2022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80"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The economy in the United States has been experiencing elevated levels of consumer price inflation. The Federal Reserve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2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at June 30, 2024, we had approximately $1.3 billion of excess of loss reinsurance covering NIW from January 1, 2018 through December 31, 2019 and August 1, 2020 through December 31, 2023 and quota share reinsurance on portions of our NIW effective September 1, 2019 through December 31, 2020 and January 1, 2022 through December 31, 2024. The impact on our reserves in future periods will be dependent upon the amount of delinquent notices received from loan servicers, the performance of defaults and our expectations for the amount of ultimate losses on these delinquencies.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Reinsurance</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NIW.</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60% of other underwriting and operating expenses for both the three and six months ended June 30, 2024, compared to 58% and 57% of other underwriting and operating expenses for the three and six months ended June 30, 2023, respectively. Compensation and benefits expense includes base and incentive cash compensation, stock compensation expense, benefits and payroll taxes.</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Premiums Retained by Agents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Premiums retained by agents represent the portion of title insurance premiums retained by our third-party agents pursuant to the terms of their respective agency contracts. These amounts are recorded as an expense and reported separately on the condensed consolidated statements of comprehensive income, consistent with industry practice. The percentage of premiums retained by agents vary according to regional differences in real estate closing practices and state regulations.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Through June 30, 2024, interest expense was incurred as a result of borrowings under our secured credit facility (the “Existing Credit Facility”). Borrowings accrued interest at a floating rate tied to a standard short-term borrowing index, selected at the Company’s option, plus an applicable margin. On July 1, 2024, we completed an underwritten public offering of $500 million of 6.25% Senior Notes due in 2029 and used approximately $425 million of the net proceeds to repay all of the borrowings outstanding under the term loan portion of the Existing Credit Facility. Concurrently, on July 1, 2024, the Fourth Amended and Restated Credit Agreement (the “Revolving Credit Agreement”) became effective providing for an effective increase in the Company’s revolving credit facility borrowing capacity from $400 million to $500 million. See Note 6 to our condensed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93" w:lineRule="exact"/>
        <w:rPr>
          <w:sz w:val="20"/>
          <w:szCs w:val="20"/>
          <w:color w:val="auto"/>
        </w:rPr>
      </w:pPr>
    </w:p>
    <w:p>
      <w:pPr>
        <w:ind w:right="400" w:firstLine="648"/>
        <w:spacing w:after="0" w:line="245"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and their income is currently not subject to a corporate income tax. See "—Legislative and Regulatory Developments—Bermuda Corporate Income Tax" above.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2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three and six months ended June 30, 2024 and 2023 for our U.S. mortgage insurance portfolio. In addition, this table includes our RIF at the end of each period.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82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238,477,402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231,537,416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239,078,262</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227,062,055</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13,498,080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20,826,669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NIW - Bulk</w:t>
            </w: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(10,311,362)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(9,385,612)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(19,235,766)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(17,804,040)</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240,669,165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235,649,884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240,669,165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235,649,884</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239,538,571</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233,484,941</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239,151,136</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231,134,720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55,521,538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53,290,643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55,521,538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53,290,643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55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IIF at June 30, 2024 by vintage: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(through June 30)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43,986,658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54,555,338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55,842,833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40,789,474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and prior</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13,870,370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240,669,165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w:t>
      </w: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monthly premiums compared to single premiums in our portfolio; (3) cancellations of non-refundable single premiums during the period;</w:t>
      </w:r>
    </w:p>
    <w:p>
      <w:pPr>
        <w:spacing w:after="0" w:line="9" w:lineRule="exact"/>
        <w:rPr>
          <w:rFonts w:ascii="Times New Roman" w:cs="Times New Roman" w:eastAsia="Times New Roman" w:hAnsi="Times New Roman"/>
          <w:sz w:val="18"/>
          <w:szCs w:val="18"/>
          <w:color w:val="auto"/>
        </w:rPr>
      </w:pPr>
    </w:p>
    <w:p>
      <w:pPr>
        <w:ind w:right="600" w:firstLine="8"/>
        <w:spacing w:after="0" w:line="26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pricing for NIW; and (5) premiums ceded under third-party reinsurance agreements. The following table presents the average net premium rate for our U.S. mortgage insurance portfolio:</w:t>
      </w:r>
    </w:p>
    <w:p>
      <w:pPr>
        <w:sectPr>
          <w:pgSz w:w="11900" w:h="16838" w:orient="portrait"/>
          <w:cols w:equalWidth="0" w:num="1">
            <w:col w:w="11240"/>
          </w:cols>
          <w:pgMar w:left="320" w:top="121" w:right="339" w:bottom="1440" w:gutter="0" w:footer="0" w:header="0"/>
        </w:sect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33655</wp:posOffset>
            </wp:positionV>
            <wp:extent cx="1971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35" w:lineRule="exact"/>
        <w:rPr>
          <w:sz w:val="20"/>
          <w:szCs w:val="20"/>
          <w:color w:val="auto"/>
        </w:rPr>
      </w:pPr>
    </w:p>
    <w:p>
      <w:pPr>
        <w:ind w:left="5520"/>
        <w:spacing w:after="0"/>
        <w:tabs>
          <w:tab w:leader="none" w:pos="7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33655</wp:posOffset>
            </wp:positionV>
            <wp:extent cx="19799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8020" w:space="720"/>
            <w:col w:w="2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r>
      <w:tr>
        <w:trPr>
          <w:trHeight w:val="23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15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r>
      <w:tr>
        <w:trPr>
          <w:trHeight w:val="24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continued use of third-party reinsurance along with changes to the level of future cancellations of non-refundable single premium policies and mix of IIF may impact our average net premium rate in future periods.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June 30, 2024, our combined net risk in force for our U.S. mortgage insurance companies was $34.8 billion and our combined statutory capital was $3.5 billion, resulting in a risk-to-capital ratio of 9.9:1.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415,521</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424,487</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88,486</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516,374</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90,369</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retained by agents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105,779</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410,595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343,060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Compared to the Three and Six Months Ended June 30, 2023</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we reported net income of $203.6 million, compared to net income of $172.2 million for the three months ended June 30, 2023. For the six months ended June 30, 2024, we reported net income of $385.3 million, compared to net income of $343.1 million for the six months ended June 30, 2023. The increases in our operating results in 2024 over the same periods in 2023 was primarily due to increases in net premiums earned and net investment income, partially offset by increases in operating expenses.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Net premiums written and earned increased in the three months ended June 30, 2024 by 17% and 18%, respectively compared to the three months ended June 30, 2023. Net premium written and earned increased in the six months ended June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30, 2024 by 17%, compared to the six months ended June 30, 2023. Net premiums written and earned in the three and six months ended June 30, 2024 include $16.6 million and $31.9 million of net premiums written and earned by our title insurance operations. The increase in net premiums written and earned was also due to the increase in our average IIF from $233.5 billion for the three months ended June 30, 2023 to $239.5 billion for the three months ended and June 30, 2024, and $231.1 billion for the six months ended June 30, 2023 to $239.2 billion for the six months ended June 30, 2024. The average net premium rate was 0.36% and 0.33% for the three months ended June 30, 2024 and 2023, respectively. The average net premium rate was 0.36%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0.34% in the six months ended June 30, 2024 and 2023, respectively. The increase in the average net premium rate in the three and six month periods ended June 30, 2024 was a result of a decrease in ceded premiums, changes in the mix of mortgages we insure, higher persistency and changes in our pricing. In the three and six months ended June 30, 2024, ceded premiums decreased to $27.3 million and $57.7 million, respectively, from $39.5 million and $73.1 million in the three and six months ended June 30, 2023, respectively, due to a decrease in outstanding excess of loss reinsurance in the three and six months ended June 30, 2024 than the comparable periods of the prior year, as a result of the retiring of outstanding notes for two of our seasoned ILN transactions in 2023.</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2024 and 2023, unearned premiums decreased by $6.3 million and $3.6 million, respectively. The change in unearned premiums was a result of net premiums written on single premium policies of $1.6 million and $7.4 million, respectively, which was offset by $7.9 million and $11.0 million, respectively, of unearned premium that was recognized in earnings during the periods. In the six months ended June 30, 2024 and 2023, unearned premiums decreased by $13.4 million and $9.0 million, respectively. This was a result of net premiums written on single premium policies of $4.5 million and $14.3 million, respectively, which was offset by $17.9 million and $23.3 million, respectively, of unearned premium that was recognized in earnings during the periods.</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87,251</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92,268</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increases in net investment income for the three and six months ended June 30, 2024 as compared to the same periods in 2023 was due to an increase in the pre-tax investment income yield as well as an increase in the weighted average balance of our investment portfolio. The pre-tax investment income yield decreased from 3.5% and 3.4% in the three and six months ended June 30, 2023 to 3.8% in both the three and six months ended June 30, 2024, respectively, primarily due to a general increase in investment yields due to rising interest rate. The average cash and investment portfolio balance increased to $6.0 billion for the three months ended June 30, 2024 from $5.4 billion for the three months ended June 30, 2023. The average cash and investment portfolio balance increased to $5.9 billion for the six months ended June 30, 2024 from $5.4 billion for the six months ended June 30, 2023. The increase in the average cash and investment portfolio was primarily due to investing cash flows from operations, See “— Liquidity and Capital Resources” for further details of our investment portfolio.</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Other Invested Assets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Income (loss) from other invested assets for the three months ended June 30, 2024 was a loss of $0.4 million as compared to a loss of $4.9 million for the three months ended June 30, 2023. Income (loss) from other invested assets for the six months ended June 30, 2024 was a loss of $2.3 million as compared to a loss of $7.6 million for the six months ended June 30, 2023.The decrease in losses from other invested assets was primarily due to improved fair value adjustments recorded during the three and six months ended June 30, 2024 as compared to the same periods in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 xml:space="preserve">Other income for the three months ended June 30, 2024 was $6.5 million as compared to $8.1 million for the three months ended June 30, 2023. Other income for the six months ended June 30, 2024 was $10.3 million compared to $13.0 million for the six months ended June 30, 2023. The decrease in other income for the three and six months ended June 30, 2024 as compared to the same periods in 2023 was primarily due to a decrease in the fair value adjustments on our embedded derivatives contained in certain of our reinsurance agreements. In the three months ended June 30, 2024, we recorded a favorable increase in the fair value of these embedded derivatives of $0.7 million compared to a favorable increase in the fair value of the embedded derivatives of $2.7 million in the three months ended June 30, 2023. In the six months ended June 30, 2024 we recorded a net unfavorable decrease in the fair value of the embedded derivatives of $1.2 million compared to a net favorable increase of $2.4 million in </w:t>
      </w:r>
      <w:r>
        <w:rPr>
          <w:rFonts w:ascii="Times New Roman" w:cs="Times New Roman" w:eastAsia="Times New Roman" w:hAnsi="Times New Roman"/>
          <w:sz w:val="18"/>
          <w:szCs w:val="18"/>
          <w:color w:val="242021"/>
        </w:rPr>
        <w:t>the</w:t>
      </w:r>
      <w:r>
        <w:rPr>
          <w:rFonts w:ascii="Times New Roman" w:cs="Times New Roman" w:eastAsia="Times New Roman" w:hAnsi="Times New Roman"/>
          <w:sz w:val="18"/>
          <w:szCs w:val="18"/>
          <w:color w:val="auto"/>
        </w:rPr>
        <w:t xml:space="preserve"> six months ended June 30, 2023. Other income also includes Triad service fee income, contract underwriting revenues and underwriting consulting services to third-party reinsurers. For the three and six months ended June 30, 2024, other income also includes settlement services revenues from our title operations.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2024 we recorded a benefit for losses of $0.3 million compared to a provision of $1.3 million for the three months ended June 30, 2023. In the six months ended June 30, 2024 we recorded a provision for losses of $9.6 million compared to a provision of $1.1 million for the three months ended June 30, 2023. The decrease in provision for losses during the three months ended June 30, 2024 was primarily due the composition of cure activity of defaults that cured in the three months ended June 30, 2024, compared to the same period in 2023. The increase in the provision for losses in the six months ended June 30, 2024 compared to six months ended June 30, 2023 was primarily due to a provision for losses recorded for current year defaults along with an increase in reserve per default, partially offset by cure activity for defaults reported in prior years.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8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13,992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w:t>
            </w:r>
          </w:p>
        </w:tc>
      </w:tr>
      <w:tr>
        <w:trPr>
          <w:trHeight w:val="23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(7,956)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13,954</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2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Case reserves (in thousands) </w:t>
            </w: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226,976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199,976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reserves (in thousands) </w:t>
            </w:r>
            <w:r>
              <w:rPr>
                <w:rFonts w:ascii="Times New Roman" w:cs="Times New Roman" w:eastAsia="Times New Roman" w:hAnsi="Times New Roman"/>
                <w:sz w:val="18"/>
                <w:szCs w:val="18"/>
                <w:b w:val="1"/>
                <w:bCs w:val="1"/>
                <w:color w:val="auto"/>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246,107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216,888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12,480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2" w:lineRule="exact"/>
        <w:rPr>
          <w:sz w:val="20"/>
          <w:szCs w:val="20"/>
          <w:color w:val="auto"/>
        </w:rPr>
      </w:pPr>
    </w:p>
    <w:p>
      <w:pPr>
        <w:ind w:left="660" w:right="20" w:hanging="328"/>
        <w:spacing w:after="0" w:line="282"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$33 thousand, as well as title insurance reserves of $14.5 million, as of June 30,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LAE: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201,846</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64,070</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(62,990)</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23"/>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198,985</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216,943</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3480" w:type="dxa"/>
            <w:vAlign w:val="bottom"/>
            <w:gridSpan w:val="3"/>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6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525,876</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93,489</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383,685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30"/>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82,529</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29"/>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223"/>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226,976</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1,053,717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22%</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17,023</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20" w:hanging="328"/>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$33 thousand, as well as title insurance reserves of $14.5 million, as of June 30,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3500" w:type="dxa"/>
            <w:vAlign w:val="bottom"/>
            <w:gridSpan w:val="3"/>
            <w:vMerge w:val="continue"/>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30"/>
        </w:trPr>
        <w:tc>
          <w:tcPr>
            <w:tcW w:w="3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w:t>
            </w:r>
          </w:p>
        </w:tc>
        <w:tc>
          <w:tcPr>
            <w:tcW w:w="1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3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78,236</w:t>
            </w:r>
          </w:p>
        </w:tc>
        <w:tc>
          <w:tcPr>
            <w:tcW w:w="14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123,903</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29"/>
        </w:trPr>
        <w:tc>
          <w:tcPr>
            <w:tcW w:w="3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23"/>
        </w:trPr>
        <w:tc>
          <w:tcPr>
            <w:tcW w:w="3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199,976</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867,557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23%</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14,998</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520" w:hanging="328"/>
        <w:spacing w:after="0" w:line="282"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$0.0 million as of June 30, 2023.</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provision for losses and LAE was a benefit of $0.3 million, comprised of $31.2 million of current year losses offset by $31.5 million of favorable prior years’ loss development. During the three months ended June 30, 2023, the provision for losses and LAE was $1.3 million, comprised of $31.4 million of current year losses partially offset by $30.1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the provision for losses and LAE was $9.6 million, comprised of $70.6 million of current year losses partially offset by $61.0 million of favorable prior years’ loss development. During the six months ended June 30, 2023, the provision for losses and LAE was $1.1 million, comprised of $64.1 million of current year losses partially offset by $63.0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our U.S. mortgage insurance portfolio for the periods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are the components of our other underwriting and operating expenses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0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7"/>
                <w:szCs w:val="17"/>
                <w:color w:val="auto"/>
              </w:rPr>
            </w:pPr>
          </w:p>
        </w:tc>
        <w:tc>
          <w:tcPr>
            <w:tcW w:w="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68,072</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w:t>
            </w:r>
          </w:p>
        </w:tc>
        <w:tc>
          <w:tcPr>
            <w:tcW w:w="120" w:type="dxa"/>
            <w:vAlign w:val="bottom"/>
          </w:tcPr>
          <w:p>
            <w:pPr>
              <w:spacing w:after="0"/>
              <w:rPr>
                <w:sz w:val="19"/>
                <w:szCs w:val="19"/>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64"/>
        </w:trPr>
        <w:tc>
          <w:tcPr>
            <w:tcW w:w="32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other underwriting and operating</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55,987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4"/>
                <w:szCs w:val="14"/>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113,336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90,369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7"/>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employees at end of period</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20" w:hanging="328"/>
        <w:spacing w:after="0" w:line="289"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and benefits increased in the three and six months ended June 30, 2024 as compared to the three and six months ended June 30, 2023 primarily due to an increase in the number of employees resulting from the acquisition of the title operations, as well as increased stock compensation expense. Compensation and benefits includes salaries, wages and bonus, stock compensation expense, benefits and payroll taxes.</w:t>
      </w:r>
    </w:p>
    <w:p>
      <w:pPr>
        <w:spacing w:after="0" w:line="184"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primarily due to an increase in premiums written, including title insurance premiums written net of premiums retained by agents, in the three and six months ended June 30, 2024.</w:t>
      </w:r>
    </w:p>
    <w:p>
      <w:pPr>
        <w:spacing w:after="0" w:line="18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primarily as a result of the title and settlement services direct costs incurred in the three months ended June 30, 2024, and increases in software and occupancy related expenses partially offset by a decrease in professional fees and an increase in ceding commission earned under the QSR Agreements. In the three and six months ended June 30, 2023, other expenses included approximately $0.7 million and $4.1 million, respectively, of transaction costs associated with the Company's title business acquisition. Other expenses include professional fees, travel, marketing, hardware, software, rent, depreciation and amortization and other facilities expenses.</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we incurred interest expense of $7.8 million and $15.7 million, respectively, as compared to $7.4 million and $14.3 million for the three and six months ended June 30, 2023, respectively. The increases were due to an increase in the weighted average interest rate for borrowings outstanding. For each of the three and six month periods ended June 30, 2024 and 2023, the average amount outstanding under the Credit Facility was $425.0 million. For both the three and six months ended June 30, 2024, the borrowings under the Credit Facility had a weighted average interest rate of 7.14%, as compared to 6.71% and 6.49% for the three and six months ended June 30, 2023, respectively.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$35.6 million and $37.1 million for the three months ended June 30, 2024 and 2023, respectively, and $67.6 million and $67.5 million for the six months ended June 30, 2024 and 2023, respectively. The provision for income taxes for the six months ended June 30, 2024 was calculated using an estimated annual effective tax rate of 15.1% as compared to an estimated annual effective tax rate of 15.2% for the six months ended June 30, 2023. For the six months ended June 30, 2024, income tax expense includes $0.6 million of discrete tax benefit associated with realized and unrealized losses recognized during the period as well as excess tax benefits associated with the vesting of common shares and common share units. For the six months ended June 30, 2023, income tax expense includes $1.3 million of discrete tax benefit associated with realized and unrealized losses recognized during the period partially offset by excess tax deficits associated with the vesting of common shares and common share units. For the six months ended June 30, 2023, income tax expense also includes $5.3 million of net expense associated with prior year tax returns. The tax effects of discrete items are recognized in the reporting period in which they occur and are not considered in determining the annual effective tax rate.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Credit Facility;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obligations consist primarily of:</w:t>
      </w:r>
    </w:p>
    <w:p>
      <w:pPr>
        <w:spacing w:after="0" w:line="2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Credit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June 30, 2024, we had substantial liquidity with cash of $197.4 million, short-term investments of $1.5 billion and fixed maturity investments of $3.9 billion. We also had $400 million available capacity under the revolving credit component of our Credit Facility, with $425 million of borrowings outstanding under our Credit Facility. Borrowings under the Credit Facility contractually mature on December 10, 2026. Holding company net cash and investments available for sale totaled $808.4 million at June 30, 2024.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2024.</w:t>
      </w:r>
    </w:p>
    <w:p>
      <w:pPr>
        <w:spacing w:after="0" w:line="21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July 1, 2024, we completed an underwritten public offering of $500 million of 6.25% Senior Notes due in 2029. The Company used the net proceeds from the sale of the Senior Notes to repay all of the borrowings outstanding under the term loan portion of the Credit Facility and intends to use the remaining net proceeds for general corporate purposes. On July 1, 2024, concurrently with the closing of the offering of the Senior Notes and the repayment of all of the borrowings outstanding under the term loan portion of the Credit Facility, the Fourth Amended and Restated Credit Agreement (the “Revolving Credit Agreement”) became effective and amends and restates the Credit Facility. The Revolving Credit Agreement provides for an effective increase in the Company’s revolving credit facility borrowing capacity from $400 million to $500 million.</w:t>
      </w:r>
    </w:p>
    <w:p>
      <w:pPr>
        <w:spacing w:after="0" w:line="21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U.S. mortgage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approval. At June 30, 2024, Essent Guaranty had unassigned surplus of approximately $352.4 million and Essent PA had unassigned surplus of approximately $19.4 million. As of June 30, 2024, Essent Guaranty and Essent PA could pay additional ordinary dividends in 2024 of $323.8 million and $5.4 million, respectively.</w:t>
      </w:r>
    </w:p>
    <w:p>
      <w:pPr>
        <w:spacing w:after="0" w:line="20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June 30, 2024, Essent Re had total equity of $1.8 billion. In connection with its insurance and reinsurance activities, Essent Re is required to maintain assets in trusts for the benefit of its contractual counterparties. See Note 3 to our condensed consolidated financial statements. At June 30, 2024, our insurance subsidiaries were in compliance with these rules, regulations and agreements.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405,626</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352,500</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(261,507)</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(104,132)</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totaled $405.6 million for the six months ended June 30, 2024, as compared to $352.5 million for the six months ended June 30, 2023. The increase in cash flow provided by operating activities was primarily due to increases in net premiums written and investment income partially offset by an increase in operating expenses paid in the six months ended June 30, 2024.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Cash flow used in investing activities totaled $255.3 million for six months ended June 30, 2024 compared to $261.5 million used in investing activities for the six months ended June 30, 2023. In both periods, cash flow used in investing activities relates primarily to investing cash flows from operations.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Cash flow used in financing activities totaled $94.7 million and $104.1 million for the six months ended June 30, 2024 and 2023, respectively, primarily related to the quarterly cash dividends paid, repurchases of common stock under our share repurchase plans and treasury stock acquired from employees to satisfy tax withholding obligations.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companies on a separate company statutory basis, as well as for our combined mortgage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no capital contributions were made to our U.S. mortgage insurance subsidiaries and Essent Guaranty paid dividends to Essent US Holdings, Inc. of $107.5 million and $180 million, respectively. During the six months ended June 30, 2024, no capital contributions were made to our title insurance subsidiary.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80" w:firstLine="180"/>
        <w:spacing w:after="0" w:line="250"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2018 through August 31, 2019 and August 1, 2020 through December 31, 2024. The aggregate excess of loss reinsurance coverages decrease over a ten-year period as the underlying covered mortgages amortize.</w:t>
      </w:r>
    </w:p>
    <w:p>
      <w:pPr>
        <w:spacing w:after="0" w:line="21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summarizes Essent Guaranty's QSR agreements as of June 30,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Eligible Policy Period</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Ceding Percentage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Ceding Commission</w:t>
            </w:r>
          </w:p>
        </w:tc>
        <w:tc>
          <w:tcPr>
            <w:tcW w:w="16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Profit Commission</w:t>
            </w:r>
          </w:p>
        </w:tc>
      </w:tr>
      <w:tr>
        <w:trPr>
          <w:trHeight w:val="23"/>
        </w:trPr>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20" w:type="dxa"/>
            <w:vAlign w:val="bottom"/>
            <w:shd w:val="clear" w:color="auto" w:fill="CCEEFF"/>
          </w:tcPr>
          <w:p>
            <w:pPr>
              <w:spacing w:after="0"/>
              <w:rPr>
                <w:sz w:val="19"/>
                <w:szCs w:val="19"/>
                <w:color w:val="auto"/>
              </w:rPr>
            </w:pPr>
          </w:p>
        </w:tc>
        <w:tc>
          <w:tcPr>
            <w:tcW w:w="4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 2019 - December 31, 2020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30"/>
        </w:trPr>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QSR-2022</w:t>
            </w:r>
          </w:p>
        </w:tc>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2022 - December 31, 2022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Pr>
          <w:p>
            <w:pPr>
              <w:spacing w:after="0"/>
              <w:rPr>
                <w:sz w:val="19"/>
                <w:szCs w:val="19"/>
                <w:color w:val="auto"/>
              </w:rPr>
            </w:pPr>
          </w:p>
        </w:tc>
      </w:tr>
      <w:tr>
        <w:trPr>
          <w:trHeight w:val="229"/>
        </w:trPr>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QSR-2023</w:t>
            </w:r>
          </w:p>
        </w:tc>
        <w:tc>
          <w:tcPr>
            <w:tcW w:w="4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2023 - December 31, 2023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shd w:val="clear" w:color="auto" w:fill="CCEEFF"/>
          </w:tcPr>
          <w:p>
            <w:pPr>
              <w:spacing w:after="0"/>
              <w:rPr>
                <w:sz w:val="19"/>
                <w:szCs w:val="19"/>
                <w:color w:val="auto"/>
              </w:rPr>
            </w:pPr>
          </w:p>
        </w:tc>
      </w:tr>
      <w:tr>
        <w:trPr>
          <w:trHeight w:val="234"/>
        </w:trPr>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QSR-2024</w:t>
            </w:r>
          </w:p>
        </w:tc>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2024 - December 31,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spacing w:after="0"/>
              <w:rPr>
                <w:sz w:val="20"/>
                <w:szCs w:val="20"/>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w:t>
      </w:r>
    </w:p>
    <w:p>
      <w:pPr>
        <w:spacing w:after="0" w:line="19" w:lineRule="exact"/>
        <w:rPr>
          <w:rFonts w:ascii="Times New Roman" w:cs="Times New Roman" w:eastAsia="Times New Roman" w:hAnsi="Times New Roman"/>
          <w:sz w:val="18"/>
          <w:szCs w:val="18"/>
          <w:color w:val="auto"/>
        </w:rPr>
      </w:pPr>
    </w:p>
    <w:p>
      <w:pPr>
        <w:ind w:left="420" w:right="280" w:hanging="412"/>
        <w:spacing w:after="0" w:line="260" w:lineRule="auto"/>
        <w:tabs>
          <w:tab w:leader="none" w:pos="4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profit commission on QSR-2019 was up to 60%. Since Essent Guaranty did not exercise its option to terminate this QSR agreement on December 31, 2021, the maximum profit commission that Essent Guaranty could earn increased to 63% in 2022 and thereafter.</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combined risk-to-capital calculation for our U.S. mortgage insurance subsidiaries as of June 30, 2024 was as follows:</w:t>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Combined statutory capital:</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1,116,106</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2,414,356</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3,530,462</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34,812,227</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six months ended June 30, 2024 Essent Re paid $125 million in dividends to Essent Group and no dividends during three and six months ended June 30, 2023. Essent Group made no capital contributions to Essent Re during the six months ended June 30, 2024 and 2023. As of June 30, 2024, Essent Re had total stockholders’ equity of $1.8 billion and net risk in force of $22.8 billion.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9"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rated A3 with a positive outlook by Moody’s Investors Service (“Moody's”), A- with a stable outlook by S&amp;P and A (Excellent) with stable outlook by A.M. Best. The insurer financial strength rating of Essent Re is A- with a stable outlook by S&amp;P and A (Excellent) with stable outlook by A.M. Best.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June 30, 2024, Essent Guaranty, our GSE-approved mortgage insurance company, was in compliance with the PMIERs. As of June 30, 2024, Essent Guaranty's Available Assets were $3.5 billion or 171% of its Minimum Required Assets of $2.1 billion based on our interpretation of the PMIERs.</w:t>
      </w:r>
    </w:p>
    <w:p>
      <w:pPr>
        <w:spacing w:after="0" w:line="2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22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FHFA and the GSEs announced that effective November 1, 2023, defaulted loans will be no longer eligible for COVID forbearance plans and will follow the GSEs standard forbearance plans going forward.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stockholders’ equity was $5.4 billion, compared to $5.1 billion as of December 31, 2023. Stockholders' equity increased primarily due to net income generated in 2024, partially offset by dividends paid and the repurchase of common shares under our share repurchase plan and an increase in accumulated other comprehensive loss related to an increase in our net unrealized investment losses.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investments totaled $5.7 billion compared to $5.5 billion as of December 31, 2023. In addition, our total cash was $197.4 million as of June 30, 2024, compared to $141.8 million as of December 31, 2023. The increase in investments was primarily due to investing net cash flows from operations during the six months ended June 30, 2024 and partially offset by an increase in our net unrealized investment losses.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80" w:type="dxa"/>
            <w:vAlign w:val="bottom"/>
          </w:tcPr>
          <w:p>
            <w:pPr>
              <w:spacing w:after="0"/>
              <w:rPr>
                <w:sz w:val="16"/>
                <w:szCs w:val="16"/>
                <w:color w:val="auto"/>
              </w:rPr>
            </w:pP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9"/>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gridSpan w:val="5"/>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412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999,176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9"/>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9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5,454,983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5,263,739</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6"/>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6"/>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auto"/>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 (1)</w:t>
            </w:r>
          </w:p>
        </w:tc>
        <w:tc>
          <w:tcPr>
            <w:tcW w:w="300" w:type="dxa"/>
            <w:vAlign w:val="bottom"/>
          </w:tcPr>
          <w:p>
            <w:pPr>
              <w:spacing w:after="0"/>
              <w:rPr>
                <w:sz w:val="16"/>
                <w:szCs w:val="16"/>
                <w:color w:val="auto"/>
              </w:rPr>
            </w:pPr>
          </w:p>
        </w:tc>
        <w:tc>
          <w:tcPr>
            <w:tcW w:w="20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2,409,458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2,561,363</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329,423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207,665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220,901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226,449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4,453,609</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4,819,618</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$1,001,374 and $444,121 of money market funds at June 30, 2024 and December 31, 2023,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1,892,074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371,583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384,051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1,574,006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1,681,917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5,454,983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5,263,739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Top Ten Investments Available for Sale Holdings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gridSpan w:val="3"/>
            <w:vMerge w:val="continue"/>
          </w:tcPr>
          <w:p>
            <w:pPr>
              <w:spacing w:after="0"/>
              <w:rPr>
                <w:sz w:val="11"/>
                <w:szCs w:val="11"/>
                <w:color w:val="auto"/>
              </w:rPr>
            </w:pPr>
          </w:p>
        </w:tc>
        <w:tc>
          <w:tcPr>
            <w:tcW w:w="392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12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Gain (Loss)(1)</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Rating(2)</w:t>
            </w:r>
          </w:p>
        </w:tc>
        <w:tc>
          <w:tcPr>
            <w:tcW w:w="0" w:type="dxa"/>
            <w:vAlign w:val="bottom"/>
          </w:tcPr>
          <w:p>
            <w:pPr>
              <w:spacing w:after="0"/>
              <w:rPr>
                <w:sz w:val="1"/>
                <w:szCs w:val="1"/>
                <w:color w:val="auto"/>
              </w:rPr>
            </w:pPr>
          </w:p>
        </w:tc>
      </w:tr>
      <w:tr>
        <w:trPr>
          <w:trHeight w:val="229"/>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 04/17/2025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94,503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Bill 07/11/2024</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76,074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 09/05/2024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60,279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Bill 08/08/2024</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 09/10/2024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44,831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2.875% 06/15/2025</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40,398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4.000% 01/31/2029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40,299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Bill 10/15/2024</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36,175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 07/16/2024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36,120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US Treasury 1.500% 08/15/2026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31,817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508,345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5"/>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61"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6460" w:type="dxa"/>
            <w:vAlign w:val="bottom"/>
            <w:tcBorders>
              <w:bottom w:val="single" w:sz="8" w:color="auto"/>
            </w:tcBorders>
            <w:gridSpan w:val="2"/>
          </w:tcPr>
          <w:p>
            <w:pPr>
              <w:ind w:left="3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9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46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60" w:type="dxa"/>
            <w:vAlign w:val="bottom"/>
          </w:tcPr>
          <w:p>
            <w:pPr>
              <w:spacing w:after="0"/>
              <w:rPr>
                <w:sz w:val="17"/>
                <w:szCs w:val="17"/>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0.000% 04/18/2024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66,405</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07/11/2024</w:t>
            </w: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55,360</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2.875% 06/15/2025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40,340</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08/08/2024</w:t>
            </w: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34,100</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1.500% 08/15/2026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31,822</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06/23/2024</w:t>
            </w: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29,381</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GNMA 30 Year Platinum 6.000% 11/20/2053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29,116</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09/05/2024</w:t>
            </w: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28,716</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FHLMC 30 Year UMBS 5.500% 11/01/2052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27,827</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0.250% 05/31/2025</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24,117</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367,184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6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municipal debt securities for states that represent more than 10% of the total municipal bond position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3"/>
                <w:szCs w:val="13"/>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13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5"/>
        </w:trPr>
        <w:tc>
          <w:tcPr>
            <w:tcW w:w="6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28"/>
        </w:trPr>
        <w:tc>
          <w:tcPr>
            <w:tcW w:w="61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City Transitional Finance Authority Future Tax Secured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New York NY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Metropolitan Transportation Authority Payroll Mobility Tax Revenue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 Authority of New York &amp; New Jersey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of New York Sales Tax Revenue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University of New York Dormitory Facilities Revenue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University of Rochester</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of New York Personal Income Tax Revenue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Metropolitan Transportation Authority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City Water &amp; Sewer System</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Triborough Bridge &amp; Tunnel Authority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Rochester Institute of Technology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Yonkers NY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Foundation of State University of New York/The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 Island Power Authority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Trustees of Columbia University in the City of New York/The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Aaa</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City Transitional Finance Authority Building Aid Revenue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State Thruway Authority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Yankee Stadium LLC</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University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County of Nassau NY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State Urban Development Corp</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3"/>
                <w:szCs w:val="13"/>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3"/>
                <w:szCs w:val="13"/>
                <w:color w:val="auto"/>
              </w:rPr>
            </w:pP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0" w:type="dxa"/>
            <w:vAlign w:val="bottom"/>
          </w:tcPr>
          <w:p>
            <w:pPr>
              <w:spacing w:after="0"/>
              <w:rPr>
                <w:sz w:val="1"/>
                <w:szCs w:val="1"/>
                <w:color w:val="auto"/>
              </w:rPr>
            </w:pPr>
          </w:p>
        </w:tc>
      </w:tr>
      <w:tr>
        <w:trPr>
          <w:trHeight w:val="195"/>
        </w:trPr>
        <w:tc>
          <w:tcPr>
            <w:tcW w:w="59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28"/>
        </w:trPr>
        <w:tc>
          <w:tcPr>
            <w:tcW w:w="58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Bay Area Toll Authority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of California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Joaquin Hills Transportation Corridor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Anaheim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Community Hospitals of Central California Obligated Group</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Golden State Tobacco Securitization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176"/>
        </w:trPr>
        <w:tc>
          <w:tcPr>
            <w:tcW w:w="5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San Francisco City &amp; County Airport Comm-San Francisco International</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Airport</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Carson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Jose Unified School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Redwoods/The a Community of Seniors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Tuolumne Wind Project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County of Kern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Chabot-Las Positas Community College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Inglewood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 of Oakland</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Monterey Park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County of Riverside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of California Personal Income Tax Revenue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San Francisco CA Public Utilities Commission Water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Foothill-Eastern Transportation Corridor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Bay Area Water Supply &amp; Conservation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Riverside County Transportation Commission</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Regents of the University of California Medical Center Pooled Revenue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University of California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 Angeles Unified School District/CA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Torrance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El Cajon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El Monte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Alameda Corridor Transportation Authority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Cathedral City Redevelopment Agency Successor Agency</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Pomona Redevelopment Agency Successor Agency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Independent System Operator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County of Sacramento CA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 Angeles County Securitization Corp</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 State University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Oxnard Union High School District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Los Angeles Department of Airports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San Jose CA</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Compton Community College District</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Los Angeles CA</w:t>
            </w: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105,789</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right="20" w:hanging="328"/>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above securities may include financial guaranty insurance or state enhancements. The above ratings include the effect of these credit enhancements, if applicable.</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June 30, 2024, our estimated off-balance sheet maximum exposure to loss from the Radnor Re entities was $0.2 million, representing the estimated net present value of investment earnings on the assets in the reinsurance trusts. See Note 4 to our condensed consolidated financial statements for additional information.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the filing date of this report, there were no significant changes in our critical accounting policies from those discussed in our 2023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0" w:lineRule="exact"/>
        <w:rPr>
          <w:sz w:val="20"/>
          <w:szCs w:val="20"/>
          <w:color w:val="auto"/>
        </w:rPr>
      </w:pPr>
    </w:p>
    <w:p>
      <w:pPr>
        <w:jc w:val="both"/>
        <w:ind w:left="660" w:right="220" w:hanging="328"/>
        <w:spacing w:after="0" w:line="261"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5" w:lineRule="exact"/>
        <w:rPr>
          <w:rFonts w:ascii="Times New Roman" w:cs="Times New Roman" w:eastAsia="Times New Roman" w:hAnsi="Times New Roman"/>
          <w:sz w:val="18"/>
          <w:szCs w:val="18"/>
          <w:i w:val="1"/>
          <w:iCs w:val="1"/>
          <w:color w:val="auto"/>
        </w:rPr>
      </w:pPr>
    </w:p>
    <w:p>
      <w:pPr>
        <w:ind w:left="660" w:right="380" w:hanging="328"/>
        <w:spacing w:after="0" w:line="284"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volatility/changes in the real or perceived credit quality of investments. </w:t>
      </w:r>
      <w:r>
        <w:rPr>
          <w:rFonts w:ascii="Times New Roman" w:cs="Times New Roman" w:eastAsia="Times New Roman" w:hAnsi="Times New Roman"/>
          <w:sz w:val="18"/>
          <w:szCs w:val="18"/>
          <w:color w:val="auto"/>
        </w:rPr>
        <w:t>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(e.g., rating agency) assessments, will reduce the value and potentially the liquidity of investments.</w:t>
      </w:r>
    </w:p>
    <w:p>
      <w:pPr>
        <w:spacing w:after="0" w:line="185"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5" w:lineRule="exact"/>
        <w:rPr>
          <w:rFonts w:ascii="Times New Roman" w:cs="Times New Roman" w:eastAsia="Times New Roman" w:hAnsi="Times New Roman"/>
          <w:sz w:val="18"/>
          <w:szCs w:val="18"/>
          <w:i w:val="1"/>
          <w:iCs w:val="1"/>
          <w:color w:val="auto"/>
        </w:rPr>
      </w:pPr>
    </w:p>
    <w:p>
      <w:pPr>
        <w:ind w:left="660" w:right="500" w:hanging="328"/>
        <w:spacing w:after="0" w:line="284"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when rates fall below the interest rate of the debt.</w:t>
      </w:r>
    </w:p>
    <w:p>
      <w:pPr>
        <w:spacing w:after="0" w:line="16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6" w:lineRule="exact"/>
        <w:rPr>
          <w:sz w:val="20"/>
          <w:szCs w:val="20"/>
          <w:color w:val="auto"/>
        </w:rPr>
      </w:pPr>
    </w:p>
    <w:p>
      <w:pPr>
        <w:ind w:right="420" w:firstLine="648"/>
        <w:spacing w:after="0" w:line="281" w:lineRule="auto"/>
        <w:rPr>
          <w:sz w:val="20"/>
          <w:szCs w:val="20"/>
          <w:color w:val="auto"/>
        </w:rPr>
      </w:pPr>
      <w:r>
        <w:rPr>
          <w:rFonts w:ascii="Times New Roman" w:cs="Times New Roman" w:eastAsia="Times New Roman" w:hAnsi="Times New Roman"/>
          <w:sz w:val="17"/>
          <w:szCs w:val="17"/>
          <w:color w:val="auto"/>
        </w:rPr>
        <w:t>At June 30, 2024, the effective duration of our investments available for sale was 3.1 years, which means that an instantaneous parallel shift (movement up or down) in the yield curve of 100 basis points would result in a change of 3.1% in fair value of our investments available for sale. Excluding short-term investments, our investments available for sale effective duration was 4.2 years, which means that an instantaneous parallel shift (movement up or down) in the yield curve of 100 basis points would result in a change of 4.2% in fair value of our investments available for sale.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2024, the end of the period covered by this Quarterly Report.</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conducting our evaluation of the effectiveness of our disclosure controls and procedures as of June 30, 2024, we have excluded the acquisition of our title insurance operations (Title) as permitted by the guidance issued by the Office of the Chief Accountant of the Securities and Exchange Commission (not to extend one year beyond the date of acquisition or one annual reporting period). The acquisition was completed effective July 1, 2023. As of and for the six months ended June 30, 2024, Title's assets represented less than 3% of consolidated assets and revenues represented approximately 6% of consolidated revenues. For additional information regarding this acquisition and its impact on the Company's consolidated financial statements, see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2023.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June 30,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3880" w:type="dxa"/>
            <w:vAlign w:val="bottom"/>
            <w:gridSpan w:val="3"/>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7"/>
                <w:szCs w:val="17"/>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2024</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1 - May 31,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207,569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395,679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222,902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60" w:right="180" w:hanging="328"/>
        <w:spacing w:after="0" w:line="247" w:lineRule="auto"/>
        <w:tabs>
          <w:tab w:leader="none" w:pos="659"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7"/>
          <w:szCs w:val="17"/>
          <w:color w:val="auto"/>
        </w:rPr>
        <w:t>As of June 30, 2024, the Company was authorized to purchase up to $250 million of its common shares, announced in October 2023, of which $27.1 million had been utilized. The remaining $222.9 million in the table represents the amount available to repurchase shares under the share repurchase plan as of June 30, 2024. In July 2024, the Company repurchased an additional 125 thousand shares at a total cost of $7.0 million.</w:t>
      </w:r>
    </w:p>
    <w:p>
      <w:pPr>
        <w:ind w:left="660"/>
        <w:spacing w:after="0"/>
        <w:rPr>
          <w:rFonts w:ascii="Arial" w:cs="Arial" w:eastAsia="Arial" w:hAnsi="Arial"/>
          <w:sz w:val="19"/>
          <w:szCs w:val="19"/>
          <w:color w:val="auto"/>
        </w:rPr>
      </w:pPr>
      <w:r>
        <w:rPr>
          <w:rFonts w:ascii="Times New Roman" w:cs="Times New Roman" w:eastAsia="Times New Roman" w:hAnsi="Times New Roman"/>
          <w:sz w:val="18"/>
          <w:szCs w:val="18"/>
          <w:color w:val="auto"/>
        </w:rPr>
        <w:t>After the July repurchases, the amount remaining under the share repurchase plan was $215.9 million.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80" w:hanging="67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2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4.1</w:t>
        </w:r>
      </w:hyperlink>
    </w:p>
    <w:p>
      <w:pPr>
        <w:spacing w:after="0" w:line="2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4.2</w:t>
        </w:r>
      </w:hyperlink>
    </w:p>
    <w:p>
      <w:pPr>
        <w:spacing w:after="0" w:line="38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4.3</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10.1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968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61379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pacing w:after="0" w:line="41" w:lineRule="exact"/>
        <w:rPr>
          <w:sz w:val="20"/>
          <w:szCs w:val="20"/>
          <w:color w:val="auto"/>
        </w:rPr>
      </w:pPr>
    </w:p>
    <w:p>
      <w:pPr>
        <w:jc w:val="both"/>
        <w:ind w:left="9" w:right="40"/>
        <w:spacing w:after="0" w:line="256" w:lineRule="auto"/>
        <w:rPr>
          <w:sz w:val="20"/>
          <w:szCs w:val="20"/>
          <w:color w:val="auto"/>
        </w:rPr>
      </w:pPr>
      <w:r>
        <w:rPr>
          <w:rFonts w:ascii="Times New Roman" w:cs="Times New Roman" w:eastAsia="Times New Roman" w:hAnsi="Times New Roman"/>
          <w:sz w:val="17"/>
          <w:szCs w:val="17"/>
          <w:color w:val="auto"/>
        </w:rPr>
        <w:t>Senior Indenture dated as of July 1, 2024 between Essent Group Ltd. and U.S. Bank Trust Company, National Association, as trustee (incorporated by reference to Exhibit 4.1 of the Company’s Current Report on Form 8-K (File No. 001-36157) filed on July 1, 2024)</w:t>
      </w:r>
    </w:p>
    <w:p>
      <w:pPr>
        <w:spacing w:after="0" w:line="1" w:lineRule="exact"/>
        <w:rPr>
          <w:sz w:val="20"/>
          <w:szCs w:val="20"/>
          <w:color w:val="auto"/>
        </w:rPr>
      </w:pPr>
    </w:p>
    <w:p>
      <w:pPr>
        <w:ind w:left="9"/>
        <w:spacing w:after="0" w:line="226" w:lineRule="auto"/>
        <w:rPr>
          <w:sz w:val="20"/>
          <w:szCs w:val="20"/>
          <w:color w:val="auto"/>
        </w:rPr>
      </w:pPr>
      <w:r>
        <w:rPr>
          <w:rFonts w:ascii="Times New Roman" w:cs="Times New Roman" w:eastAsia="Times New Roman" w:hAnsi="Times New Roman"/>
          <w:sz w:val="18"/>
          <w:szCs w:val="18"/>
          <w:color w:val="auto"/>
        </w:rPr>
        <w:t>First Supplemental Indenture dated as of July 1, 2024 between Essent Group Ltd. and U.S. Bank Trust Company, National Association, as trustee (incorporated by reference to Exhibit 4.2 of the Company’s Current Report on Form 8-K (File No. 001-36157) filed on July 1, 2024)</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Form of 6.250% Senior Notes due 2029 (included as Exhibit A to the First Supplemental Indenture in Exhibit 4.2)</w:t>
      </w:r>
    </w:p>
    <w:p>
      <w:pPr>
        <w:spacing w:after="0" w:line="27" w:lineRule="exact"/>
        <w:rPr>
          <w:sz w:val="20"/>
          <w:szCs w:val="20"/>
          <w:color w:val="auto"/>
        </w:rPr>
      </w:pPr>
    </w:p>
    <w:p>
      <w:pPr>
        <w:ind w:left="9" w:right="40"/>
        <w:spacing w:after="0" w:line="227" w:lineRule="auto"/>
        <w:rPr>
          <w:sz w:val="20"/>
          <w:szCs w:val="20"/>
          <w:color w:val="auto"/>
        </w:rPr>
      </w:pPr>
      <w:r>
        <w:rPr>
          <w:rFonts w:ascii="Times New Roman" w:cs="Times New Roman" w:eastAsia="Times New Roman" w:hAnsi="Times New Roman"/>
          <w:sz w:val="17"/>
          <w:szCs w:val="17"/>
          <w:color w:val="auto"/>
        </w:rPr>
        <w:t>Revolving Facility Refinancing Agreement, dated as of June 26, 2024, by and among Essent Group Ltd., Essent Irish Intermediate Holdings Limited, and Essent US Holdings, Inc., as borrowers, Bank of America, N.A., as administrative agent under the Fourth Amended and Restated Credit Agreement, JPMorgan Chase Bank, N.A., as administrative agent under the existing credit agreement,</w:t>
      </w:r>
    </w:p>
    <w:p>
      <w:pPr>
        <w:ind w:left="9" w:right="160"/>
        <w:spacing w:after="0" w:line="218" w:lineRule="auto"/>
        <w:rPr>
          <w:sz w:val="20"/>
          <w:szCs w:val="20"/>
          <w:color w:val="auto"/>
        </w:rPr>
      </w:pPr>
      <w:r>
        <w:rPr>
          <w:rFonts w:ascii="Times New Roman" w:cs="Times New Roman" w:eastAsia="Times New Roman" w:hAnsi="Times New Roman"/>
          <w:sz w:val="18"/>
          <w:szCs w:val="18"/>
          <w:color w:val="auto"/>
        </w:rPr>
        <w:t>and the several banks and other financial institutions or entities from time to time parties to the Revolving Facility Refinancing Agreement, as lenders, including the Revolving Credit Agreement which is attached as Annex II thereto (incorporated by reference to Exhibit 4.1 of the Company’s Current Report on Form 8-K (File No. 001-36157) filed on June 26, 2024)</w:t>
      </w:r>
    </w:p>
    <w:p>
      <w:pPr>
        <w:spacing w:after="0" w:line="10" w:lineRule="exact"/>
        <w:rPr>
          <w:sz w:val="20"/>
          <w:szCs w:val="20"/>
          <w:color w:val="auto"/>
        </w:rPr>
      </w:pPr>
    </w:p>
    <w:p>
      <w:pPr>
        <w:ind w:left="9" w:right="280"/>
        <w:spacing w:after="0" w:line="237" w:lineRule="auto"/>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 adopted pursuant to Section 302 of the Sarbanes-Oxley Act of 2002</w:t>
      </w:r>
    </w:p>
    <w:p>
      <w:pPr>
        <w:spacing w:after="0" w:line="10" w:lineRule="exact"/>
        <w:rPr>
          <w:sz w:val="20"/>
          <w:szCs w:val="20"/>
          <w:color w:val="auto"/>
        </w:rPr>
      </w:pPr>
    </w:p>
    <w:p>
      <w:pPr>
        <w:ind w:left="9" w:right="340"/>
        <w:spacing w:after="0" w:line="237" w:lineRule="auto"/>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 adopted pursuant to Section 302 of the Sarbanes -Oxley Act of 2002</w:t>
      </w:r>
    </w:p>
    <w:p>
      <w:pPr>
        <w:spacing w:after="0" w:line="10" w:lineRule="exact"/>
        <w:rPr>
          <w:sz w:val="20"/>
          <w:szCs w:val="20"/>
          <w:color w:val="auto"/>
        </w:rPr>
      </w:pPr>
    </w:p>
    <w:p>
      <w:pPr>
        <w:ind w:left="9" w:right="100"/>
        <w:spacing w:after="0" w:line="237" w:lineRule="auto"/>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 the Sarbanes-Oxley Act of 2002</w:t>
      </w:r>
    </w:p>
    <w:p>
      <w:pPr>
        <w:spacing w:after="0" w:line="10" w:lineRule="exact"/>
        <w:rPr>
          <w:sz w:val="20"/>
          <w:szCs w:val="20"/>
          <w:color w:val="auto"/>
        </w:rPr>
      </w:pPr>
    </w:p>
    <w:p>
      <w:pPr>
        <w:ind w:left="9" w:right="100"/>
        <w:spacing w:after="0" w:line="229" w:lineRule="auto"/>
        <w:rPr>
          <w:sz w:val="20"/>
          <w:szCs w:val="20"/>
          <w:color w:val="auto"/>
        </w:rPr>
      </w:pPr>
      <w:r>
        <w:rPr>
          <w:rFonts w:ascii="Times New Roman" w:cs="Times New Roman" w:eastAsia="Times New Roman" w:hAnsi="Times New Roman"/>
          <w:sz w:val="17"/>
          <w:szCs w:val="17"/>
          <w:color w:val="auto"/>
        </w:rPr>
        <w:t>The following financial information from this Quarterly Report on Form 10-Q for the quarter ended June 30, 2024, formatted in Inline XBRL: (i) the Condensed Consolidated Balance Sheets (Unaudited); (ii) the Condensed Consolidated Statements of Comprehensive Income (Unaudited); (iii) the Condensed Consolidated Statements of Changes in Stockholders’ Equity (Unaudited);</w:t>
      </w:r>
    </w:p>
    <w:p>
      <w:pPr>
        <w:ind w:left="9" w:right="340" w:hanging="9"/>
        <w:spacing w:after="0" w:line="226" w:lineRule="auto"/>
        <w:tabs>
          <w:tab w:leader="none" w:pos="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Cash Flows (Unaudited); and (v) the Notes to Condensed Consolidated Financial Statements (Unaudited).</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8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40" w:space="211"/>
            <w:col w:w="9609"/>
          </w:cols>
          <w:pgMar w:left="320" w:top="121"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August 5, 2024</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Mark A. Casale</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August 5, 2024</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00"/>
          </w:cols>
          <w:pgMar w:left="320" w:top="121" w:right="37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5" w:lineRule="exact"/>
        <w:rPr>
          <w:sz w:val="20"/>
          <w:szCs w:val="20"/>
          <w:color w:val="auto"/>
        </w:rPr>
      </w:pPr>
    </w:p>
    <w:p>
      <w:pPr>
        <w:ind w:left="560" w:hanging="552"/>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58" w:name="page59"/>
    <w:bookmarkEnd w:id="5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6" w:lineRule="exact"/>
        <w:rPr>
          <w:sz w:val="20"/>
          <w:szCs w:val="20"/>
          <w:color w:val="auto"/>
        </w:rPr>
      </w:pPr>
    </w:p>
    <w:p>
      <w:pPr>
        <w:ind w:right="220" w:firstLine="8"/>
        <w:spacing w:after="0" w:line="282" w:lineRule="auto"/>
        <w:tabs>
          <w:tab w:leader="none" w:pos="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60" w:firstLine="8"/>
        <w:spacing w:after="0" w:line="532" w:lineRule="auto"/>
        <w:tabs>
          <w:tab w:leader="none" w:pos="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5, 2024</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2"/>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2"/>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Roman"/>
      <w:start w:val="4"/>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72" Type="http://schemas.openxmlformats.org/officeDocument/2006/relationships/hyperlink" Target="https://www.sec.gov/Archives/edgar/data/1448893/000110465924076922/tm2418516d1_ex4-1.htm" TargetMode="External"/><Relationship Id="rId73" Type="http://schemas.openxmlformats.org/officeDocument/2006/relationships/hyperlink" Target="https://www.sec.gov/Archives/edgar/data/1448893/000110465924076922/tm2418516d1_ex4-2.htm" TargetMode="External"/><Relationship Id="rId74" Type="http://schemas.openxmlformats.org/officeDocument/2006/relationships/hyperlink" Target="https://www.sec.gov/Archives/edgar/data/1448893/000110465924075004/tm2418166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2024-08-06T05:31:01Z</dcterms:created>
  <dcterms:modified xsi:type="dcterms:W3CDTF">2024-08-06T05:31:01Z</dcterms:modified>
</cp:coreProperties>
</file>