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186690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81"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jc w:val="center"/>
        <w:ind w:right="-19"/>
        <w:spacing w:after="0"/>
        <w:tabs>
          <w:tab w:leader="none" w:pos="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168910</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500" w:type="dxa"/>
        <w:tblCellMar>
          <w:top w:w="0" w:type="dxa"/>
          <w:left w:w="0" w:type="dxa"/>
          <w:bottom w:w="0" w:type="dxa"/>
          <w:right w:w="0" w:type="dxa"/>
        </w:tblCellMar>
      </w:tblPr>
      <w:tr>
        <w:trPr>
          <w:trHeight w:val="391"/>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32"/>
                <w:szCs w:val="32"/>
                <w:b w:val="1"/>
                <w:bCs w:val="1"/>
                <w:color w:val="auto"/>
                <w:w w:val="98"/>
              </w:rPr>
              <w:t>ESSENT GROUP LTD.</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00"/>
              <w:spacing w:after="0"/>
              <w:rPr>
                <w:sz w:val="20"/>
                <w:szCs w:val="20"/>
                <w:color w:val="auto"/>
              </w:rPr>
            </w:pPr>
            <w:r>
              <w:rPr>
                <w:rFonts w:ascii="Arial" w:cs="Arial" w:eastAsia="Arial" w:hAnsi="Arial"/>
                <w:sz w:val="18"/>
                <w:szCs w:val="18"/>
                <w:color w:val="auto"/>
                <w:w w:val="90"/>
              </w:rPr>
              <w:t>(Exact name of registrant as specified in its charter)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588"/>
        </w:trPr>
        <w:tc>
          <w:tcPr>
            <w:tcW w:w="40" w:type="dxa"/>
            <w:vAlign w:val="bottom"/>
          </w:tcPr>
          <w:p>
            <w:pPr>
              <w:spacing w:after="0"/>
              <w:rPr>
                <w:sz w:val="24"/>
                <w:szCs w:val="24"/>
                <w:color w:val="auto"/>
              </w:rPr>
            </w:pPr>
          </w:p>
        </w:tc>
        <w:tc>
          <w:tcPr>
            <w:tcW w:w="636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2"/>
              </w:rPr>
              <w:t>Bermuda</w:t>
            </w:r>
          </w:p>
        </w:tc>
        <w:tc>
          <w:tcPr>
            <w:tcW w:w="2700" w:type="dxa"/>
            <w:vAlign w:val="bottom"/>
            <w:gridSpan w:val="2"/>
          </w:tcPr>
          <w:p>
            <w:pPr>
              <w:jc w:val="center"/>
              <w:ind w:left="774"/>
              <w:spacing w:after="0"/>
              <w:rPr>
                <w:sz w:val="20"/>
                <w:szCs w:val="20"/>
                <w:color w:val="auto"/>
              </w:rPr>
            </w:pPr>
            <w:r>
              <w:rPr>
                <w:rFonts w:ascii="Arial" w:cs="Arial" w:eastAsia="Arial" w:hAnsi="Arial"/>
                <w:sz w:val="18"/>
                <w:szCs w:val="18"/>
                <w:b w:val="1"/>
                <w:bCs w:val="1"/>
                <w:color w:val="auto"/>
                <w:w w:val="92"/>
              </w:rPr>
              <w:t>Not Applicable</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(State or other jurisdiction of</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2"/>
              </w:rPr>
              <w:t>(I.R.S. Employer</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incorporation or organization)</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4"/>
              </w:rPr>
              <w:t>Identification Number)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89"/>
              </w:rPr>
              <w:t>Clarendon House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0"/>
              </w:rPr>
              <w:t>2 Church Street</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4"/>
              </w:rPr>
              <w:t>Hamilton HM11, Bermuda</w:t>
            </w: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1"/>
              </w:rPr>
              <w:t>(Address of principal executive offices and zip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6400" w:type="dxa"/>
            <w:vAlign w:val="bottom"/>
            <w:gridSpan w:val="5"/>
          </w:tcPr>
          <w:p>
            <w:pPr>
              <w:jc w:val="center"/>
              <w:ind w:left="3950"/>
              <w:spacing w:after="0"/>
              <w:rPr>
                <w:sz w:val="20"/>
                <w:szCs w:val="20"/>
                <w:color w:val="auto"/>
              </w:rPr>
            </w:pPr>
            <w:r>
              <w:rPr>
                <w:rFonts w:ascii="Arial" w:cs="Arial" w:eastAsia="Arial" w:hAnsi="Arial"/>
                <w:sz w:val="18"/>
                <w:szCs w:val="18"/>
                <w:b w:val="1"/>
                <w:bCs w:val="1"/>
                <w:color w:val="auto"/>
                <w:w w:val="90"/>
              </w:rPr>
              <w:t>(441) 297-9901</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0"/>
              </w:rPr>
              <w:t>(Registrant’s telephone number, including area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84"/>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64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4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3"/>
          </w:tcPr>
          <w:p>
            <w:pPr>
              <w:jc w:val="center"/>
              <w:ind w:right="89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16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360" w:type="dxa"/>
            <w:vAlign w:val="bottom"/>
            <w:gridSpan w:val="4"/>
          </w:tcPr>
          <w:p>
            <w:pPr>
              <w:jc w:val="center"/>
              <w:ind w:right="1480"/>
              <w:spacing w:after="0"/>
              <w:rPr>
                <w:sz w:val="20"/>
                <w:szCs w:val="20"/>
                <w:color w:val="auto"/>
              </w:rPr>
            </w:pPr>
            <w:r>
              <w:rPr>
                <w:rFonts w:ascii="Arial" w:cs="Arial" w:eastAsia="Arial" w:hAnsi="Arial"/>
                <w:sz w:val="18"/>
                <w:szCs w:val="18"/>
                <w:color w:val="auto"/>
                <w:w w:val="88"/>
              </w:rPr>
              <w:t>Common Shares, $0.015 par value</w:t>
            </w:r>
          </w:p>
        </w:tc>
        <w:tc>
          <w:tcPr>
            <w:tcW w:w="270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New York Stock Exchange</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400" w:type="dxa"/>
            <w:vAlign w:val="bottom"/>
            <w:gridSpan w:val="5"/>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2740" w:type="dxa"/>
            <w:vAlign w:val="bottom"/>
            <w:gridSpan w:val="2"/>
          </w:tcPr>
          <w:p>
            <w:pPr>
              <w:spacing w:after="0"/>
              <w:rPr>
                <w:sz w:val="22"/>
                <w:szCs w:val="22"/>
                <w:color w:val="auto"/>
              </w:rPr>
            </w:pPr>
          </w:p>
        </w:tc>
        <w:tc>
          <w:tcPr>
            <w:tcW w:w="4960" w:type="dxa"/>
            <w:vAlign w:val="bottom"/>
            <w:tcBorders>
              <w:bottom w:val="single" w:sz="8" w:color="auto"/>
            </w:tcBorders>
            <w:gridSpan w:val="4"/>
          </w:tcPr>
          <w:p>
            <w:pPr>
              <w:spacing w:after="0"/>
              <w:rPr>
                <w:sz w:val="22"/>
                <w:szCs w:val="22"/>
                <w:color w:val="auto"/>
              </w:rPr>
            </w:pPr>
          </w:p>
        </w:tc>
        <w:tc>
          <w:tcPr>
            <w:tcW w:w="140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r>
      <w:tr>
        <w:trPr>
          <w:trHeight w:val="379"/>
        </w:trPr>
        <w:tc>
          <w:tcPr>
            <w:tcW w:w="910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 o</w:t>
            </w:r>
          </w:p>
        </w:tc>
      </w:tr>
      <w:tr>
        <w:trPr>
          <w:trHeight w:val="249"/>
        </w:trPr>
        <w:tc>
          <w:tcPr>
            <w:tcW w:w="910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14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054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w:t>
            </w:r>
          </w:p>
        </w:tc>
      </w:tr>
    </w:tbl>
    <w:p>
      <w:pPr>
        <w:ind w:right="220"/>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right="2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jc w:val="both"/>
        <w:ind w:firstLine="486"/>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 w:lineRule="exact"/>
        <w:rPr>
          <w:sz w:val="24"/>
          <w:szCs w:val="24"/>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684" w:right="259" w:bottom="1440" w:gutter="0" w:footer="0" w:header="0"/>
        </w:sectPr>
      </w:pPr>
    </w:p>
    <w:bookmarkStart w:id="1" w:name="page2"/>
    <w:bookmarkEnd w:id="1"/>
    <w:p>
      <w:pPr>
        <w:ind w:left="4640"/>
        <w:spacing w:after="0" w:line="181" w:lineRule="exact"/>
        <w:rPr>
          <w:sz w:val="20"/>
          <w:szCs w:val="20"/>
          <w:color w:val="auto"/>
        </w:rPr>
      </w:pPr>
      <w:r>
        <w:rPr>
          <w:rFonts w:ascii="MS PGothic" w:cs="MS PGothic" w:eastAsia="MS PGothic" w:hAnsi="MS PGothic"/>
          <w:sz w:val="18"/>
          <w:szCs w:val="18"/>
          <w:color w:val="auto"/>
        </w:rPr>
        <w:t>☒</w:t>
      </w:r>
    </w:p>
    <w:p>
      <w:pPr>
        <w:spacing w:after="0" w:line="87" w:lineRule="exact"/>
        <w:rPr>
          <w:sz w:val="20"/>
          <w:szCs w:val="20"/>
          <w:color w:val="auto"/>
        </w:rPr>
      </w:pPr>
    </w:p>
    <w:tbl>
      <w:tblPr>
        <w:tblLayout w:type="fixed"/>
        <w:tblInd w:w="2460" w:type="dxa"/>
        <w:tblCellMar>
          <w:top w:w="0" w:type="dxa"/>
          <w:left w:w="0" w:type="dxa"/>
          <w:bottom w:w="0" w:type="dxa"/>
          <w:right w:w="0" w:type="dxa"/>
        </w:tblCellMar>
      </w:tblPr>
      <w:tr>
        <w:trPr>
          <w:trHeight w:val="206"/>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spacing w:after="0"/>
              <w:rPr>
                <w:sz w:val="17"/>
                <w:szCs w:val="17"/>
                <w:color w:val="auto"/>
              </w:rPr>
            </w:pPr>
          </w:p>
        </w:tc>
        <w:tc>
          <w:tcPr>
            <w:tcW w:w="2880" w:type="dxa"/>
            <w:vAlign w:val="bottom"/>
          </w:tcPr>
          <w:p>
            <w:pPr>
              <w:ind w:left="48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620"/>
              <w:spacing w:after="0"/>
              <w:rPr>
                <w:sz w:val="20"/>
                <w:szCs w:val="20"/>
                <w:color w:val="auto"/>
              </w:rPr>
            </w:pPr>
            <w:r>
              <w:rPr>
                <w:rFonts w:ascii="Arial" w:cs="Arial" w:eastAsia="Arial" w:hAnsi="Arial"/>
                <w:sz w:val="15"/>
                <w:szCs w:val="15"/>
                <w:color w:val="auto"/>
                <w:w w:val="71"/>
              </w:rPr>
              <w:t>o</w:t>
            </w:r>
          </w:p>
        </w:tc>
      </w:tr>
      <w:tr>
        <w:trPr>
          <w:trHeight w:val="256"/>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360"/>
              <w:spacing w:after="0"/>
              <w:rPr>
                <w:sz w:val="20"/>
                <w:szCs w:val="20"/>
                <w:color w:val="auto"/>
              </w:rPr>
            </w:pPr>
            <w:r>
              <w:rPr>
                <w:rFonts w:ascii="Arial" w:cs="Arial" w:eastAsia="Arial" w:hAnsi="Arial"/>
                <w:sz w:val="16"/>
                <w:szCs w:val="16"/>
                <w:color w:val="auto"/>
              </w:rPr>
              <w:t>o</w:t>
            </w:r>
          </w:p>
        </w:tc>
        <w:tc>
          <w:tcPr>
            <w:tcW w:w="2880" w:type="dxa"/>
            <w:vAlign w:val="bottom"/>
          </w:tcPr>
          <w:p>
            <w:pPr>
              <w:ind w:left="48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620"/>
              <w:spacing w:after="0"/>
              <w:rPr>
                <w:sz w:val="20"/>
                <w:szCs w:val="20"/>
                <w:color w:val="auto"/>
              </w:rPr>
            </w:pPr>
            <w:r>
              <w:rPr>
                <w:rFonts w:ascii="Arial" w:cs="Arial" w:eastAsia="Arial" w:hAnsi="Arial"/>
                <w:sz w:val="15"/>
                <w:szCs w:val="15"/>
                <w:color w:val="auto"/>
                <w:w w:val="71"/>
              </w:rPr>
              <w:t>o</w:t>
            </w:r>
          </w:p>
        </w:tc>
      </w:tr>
      <w:tr>
        <w:trPr>
          <w:trHeight w:val="270"/>
        </w:trPr>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80" w:type="dxa"/>
            <w:vAlign w:val="bottom"/>
          </w:tcPr>
          <w:p>
            <w:pPr>
              <w:ind w:left="48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620"/>
              <w:spacing w:after="0"/>
              <w:rPr>
                <w:sz w:val="20"/>
                <w:szCs w:val="20"/>
                <w:color w:val="auto"/>
              </w:rPr>
            </w:pPr>
            <w:r>
              <w:rPr>
                <w:rFonts w:ascii="Arial" w:cs="Arial" w:eastAsia="Arial" w:hAnsi="Arial"/>
                <w:sz w:val="15"/>
                <w:szCs w:val="15"/>
                <w:color w:val="auto"/>
                <w:w w:val="71"/>
              </w:rPr>
              <w:t>o</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0"/>
          <w:szCs w:val="20"/>
          <w:color w:val="auto"/>
        </w:rPr>
      </w:pPr>
    </w:p>
    <w:p>
      <w:pPr>
        <w:ind w:left="500" w:right="1540" w:hanging="485"/>
        <w:spacing w:after="0" w:line="217" w:lineRule="exact"/>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 xml:space="preserve"> </w:t>
      </w:r>
      <w:r>
        <w:rPr>
          <w:rFonts w:ascii="Arial" w:cs="Arial" w:eastAsia="Arial" w:hAnsi="Arial"/>
          <w:sz w:val="18"/>
          <w:szCs w:val="18"/>
          <w:color w:val="auto"/>
        </w:rPr>
        <w:t xml:space="preserve">o 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 w:lineRule="exact"/>
        <w:rPr>
          <w:sz w:val="20"/>
          <w:szCs w:val="20"/>
          <w:color w:val="auto"/>
        </w:rPr>
      </w:pPr>
    </w:p>
    <w:p>
      <w:pPr>
        <w:ind w:firstLine="486"/>
        <w:spacing w:after="0" w:line="249" w:lineRule="auto"/>
        <w:rPr>
          <w:sz w:val="20"/>
          <w:szCs w:val="20"/>
          <w:color w:val="auto"/>
        </w:rPr>
      </w:pPr>
      <w:r>
        <w:rPr>
          <w:rFonts w:ascii="Arial" w:cs="Arial" w:eastAsia="Arial" w:hAnsi="Arial"/>
          <w:sz w:val="18"/>
          <w:szCs w:val="18"/>
          <w:color w:val="auto"/>
        </w:rPr>
        <w:t>As of June 30, 2018, the last business day of the registrant's most recently completed second fiscal quarter, the aggregate market value of common shares held by non-affiliates of the registrant was approximately $3,410,866,762 (based upon the last reported sales price on The New York Stock Exchange on such date).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the registrant's common shares outstanding as of February 12, 2019 was 98,287,957.</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right="200" w:firstLine="486"/>
        <w:spacing w:after="0" w:line="255" w:lineRule="auto"/>
        <w:rPr>
          <w:sz w:val="20"/>
          <w:szCs w:val="20"/>
          <w:color w:val="auto"/>
        </w:rPr>
      </w:pPr>
      <w:r>
        <w:rPr>
          <w:rFonts w:ascii="Arial" w:cs="Arial" w:eastAsia="Arial" w:hAnsi="Arial"/>
          <w:sz w:val="18"/>
          <w:szCs w:val="18"/>
          <w:color w:val="auto"/>
        </w:rPr>
        <w:t>Portions of the registrant's proxy statement for the 2019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2018.</w:t>
      </w:r>
    </w:p>
    <w:p>
      <w:pPr>
        <w:sectPr>
          <w:pgSz w:w="11900" w:h="16838" w:orient="portrait"/>
          <w:cols w:equalWidth="0" w:num="1">
            <w:col w:w="11260"/>
          </w:cols>
          <w:pgMar w:left="240" w:top="714"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1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4"/>
          </w:tcPr>
          <w:p>
            <w:pPr>
              <w:jc w:val="center"/>
              <w:ind w:right="3840"/>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tcBorders>
              <w:top w:val="single" w:sz="8" w:color="0000EE"/>
            </w:tcBorders>
            <w:gridSpan w:val="3"/>
          </w:tcPr>
          <w:p>
            <w:pPr>
              <w:spacing w:after="0"/>
              <w:rPr>
                <w:sz w:val="21"/>
                <w:szCs w:val="21"/>
                <w:color w:val="auto"/>
              </w:rPr>
            </w:pPr>
          </w:p>
        </w:tc>
        <w:tc>
          <w:tcPr>
            <w:tcW w:w="3840" w:type="dxa"/>
            <w:vAlign w:val="bottom"/>
            <w:gridSpan w:val="11"/>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ITEM 1A.</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ITEM 1B.</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UNRESOLVED STAFF COMMENTS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49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PROPERTIES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49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7940" w:type="dxa"/>
            <w:vAlign w:val="bottom"/>
            <w:gridSpan w:val="3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3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49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7940" w:type="dxa"/>
            <w:vAlign w:val="bottom"/>
            <w:gridSpan w:val="3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3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49</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PART II</w:t>
              </w:r>
            </w:hyperlink>
          </w:p>
        </w:tc>
        <w:tc>
          <w:tcPr>
            <w:tcW w:w="3800" w:type="dxa"/>
            <w:vAlign w:val="bottom"/>
            <w:gridSpan w:val="1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5.</w:t>
              </w:r>
            </w:hyperlink>
          </w:p>
        </w:tc>
        <w:tc>
          <w:tcPr>
            <w:tcW w:w="794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MARKET FOR THE COMPANY'S COMMON EQUITY, RELATED STOCKHOLDER MATTERS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AND ISSUER PURCHASES OF EQUITY SECURITIES</w:t>
              </w:r>
            </w:hyperlink>
          </w:p>
        </w:tc>
        <w:tc>
          <w:tcPr>
            <w:tcW w:w="66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6.</w:t>
              </w:r>
            </w:hyperlink>
          </w:p>
        </w:tc>
        <w:tc>
          <w:tcPr>
            <w:tcW w:w="416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SELECTED FINANCIAL DATA</w:t>
              </w:r>
            </w:hyperlink>
          </w:p>
        </w:tc>
        <w:tc>
          <w:tcPr>
            <w:tcW w:w="3780" w:type="dxa"/>
            <w:vAlign w:val="bottom"/>
            <w:gridSpan w:val="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7.</w:t>
              </w:r>
            </w:hyperlink>
          </w:p>
        </w:tc>
        <w:tc>
          <w:tcPr>
            <w:tcW w:w="7940" w:type="dxa"/>
            <w:vAlign w:val="bottom"/>
            <w:gridSpan w:val="3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OF OPERATIONS</w:t>
              </w:r>
            </w:hyperlink>
          </w:p>
        </w:tc>
        <w:tc>
          <w:tcPr>
            <w:tcW w:w="6100" w:type="dxa"/>
            <w:vAlign w:val="bottom"/>
            <w:tcBorders>
              <w:top w:val="single" w:sz="8" w:color="0000EE"/>
            </w:tcBorders>
            <w:gridSpan w:val="24"/>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ITEM 7A.</w:t>
              </w:r>
            </w:hyperlink>
          </w:p>
        </w:tc>
        <w:tc>
          <w:tcPr>
            <w:tcW w:w="14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w w:val="98"/>
              </w:rPr>
            </w:pPr>
            <w:hyperlink w:anchor="page84">
              <w:r>
                <w:rPr>
                  <w:rFonts w:ascii="Arial" w:cs="Arial" w:eastAsia="Arial" w:hAnsi="Arial"/>
                  <w:sz w:val="18"/>
                  <w:szCs w:val="18"/>
                  <w:color w:val="0000EE"/>
                  <w:w w:val="98"/>
                </w:rPr>
                <w:t>QUANTITATIVE AND QUALITATIVE DISCLOSURES ABOUT MARKET RISK</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79</w:t>
              </w:r>
            </w:hyperlink>
          </w:p>
        </w:tc>
      </w:tr>
      <w:tr>
        <w:trPr>
          <w:trHeight w:val="20"/>
        </w:trPr>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8.</w:t>
              </w:r>
            </w:hyperlink>
          </w:p>
        </w:tc>
        <w:tc>
          <w:tcPr>
            <w:tcW w:w="14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FINANCIAL STATEMENTS AND SUPPLEMENTARY DATA</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9.</w:t>
              </w:r>
            </w:hyperlink>
          </w:p>
        </w:tc>
        <w:tc>
          <w:tcPr>
            <w:tcW w:w="7940" w:type="dxa"/>
            <w:vAlign w:val="bottom"/>
            <w:gridSpan w:val="3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CHANGES IN AND DISAGREEMENTS WITH ACCOUNTANTS ON ACCOUNTING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125">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8"/>
          </w:tcPr>
          <w:p>
            <w:pPr>
              <w:spacing w:after="0"/>
              <w:rPr>
                <w:sz w:val="17"/>
                <w:szCs w:val="17"/>
                <w:color w:val="auto"/>
              </w:rPr>
            </w:pPr>
          </w:p>
        </w:tc>
        <w:tc>
          <w:tcPr>
            <w:tcW w:w="10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25">
              <w:r>
                <w:rPr>
                  <w:rFonts w:ascii="Arial" w:cs="Arial" w:eastAsia="Arial" w:hAnsi="Arial"/>
                  <w:sz w:val="18"/>
                  <w:szCs w:val="18"/>
                  <w:color w:val="0000EE"/>
                  <w:w w:val="86"/>
                </w:rPr>
                <w:t>120</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ITEM 9A.</w:t>
              </w:r>
            </w:hyperlink>
          </w:p>
        </w:tc>
        <w:tc>
          <w:tcPr>
            <w:tcW w:w="140" w:type="dxa"/>
            <w:vAlign w:val="bottom"/>
          </w:tcPr>
          <w:p>
            <w:pPr>
              <w:spacing w:after="0"/>
              <w:rPr>
                <w:sz w:val="21"/>
                <w:szCs w:val="21"/>
                <w:color w:val="auto"/>
              </w:rPr>
            </w:pPr>
          </w:p>
        </w:tc>
        <w:tc>
          <w:tcPr>
            <w:tcW w:w="26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CONTROLS AND PROCEDURES</w:t>
              </w:r>
            </w:hyperlink>
          </w:p>
        </w:tc>
        <w:tc>
          <w:tcPr>
            <w:tcW w:w="5340" w:type="dxa"/>
            <w:vAlign w:val="bottom"/>
            <w:gridSpan w:val="19"/>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120</w:t>
              </w:r>
            </w:hyperlink>
          </w:p>
        </w:tc>
      </w:tr>
      <w:tr>
        <w:trPr>
          <w:trHeight w:val="250"/>
        </w:trPr>
        <w:tc>
          <w:tcPr>
            <w:tcW w:w="880" w:type="dxa"/>
            <w:vAlign w:val="bottom"/>
            <w:gridSpan w:val="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9B.</w:t>
              </w:r>
            </w:hyperlink>
          </w:p>
        </w:tc>
        <w:tc>
          <w:tcPr>
            <w:tcW w:w="7940" w:type="dxa"/>
            <w:vAlign w:val="bottom"/>
            <w:gridSpan w:val="3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360" w:type="dxa"/>
            <w:vAlign w:val="bottom"/>
            <w:gridSpan w:val="4"/>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PART III</w:t>
              </w:r>
            </w:hyperlink>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10.</w:t>
              </w:r>
            </w:hyperlink>
          </w:p>
        </w:tc>
        <w:tc>
          <w:tcPr>
            <w:tcW w:w="140" w:type="dxa"/>
            <w:vAlign w:val="bottom"/>
          </w:tcPr>
          <w:p>
            <w:pPr>
              <w:spacing w:after="0"/>
              <w:rPr>
                <w:sz w:val="21"/>
                <w:szCs w:val="21"/>
                <w:color w:val="auto"/>
              </w:rPr>
            </w:pPr>
          </w:p>
        </w:tc>
        <w:tc>
          <w:tcPr>
            <w:tcW w:w="580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DIRECTORS, EXECUTIVE OFFICERS AND CORPORATE GOVERNANCE</w:t>
              </w:r>
            </w:hyperlink>
          </w:p>
        </w:tc>
        <w:tc>
          <w:tcPr>
            <w:tcW w:w="214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11.</w:t>
              </w:r>
            </w:hyperlink>
          </w:p>
        </w:tc>
        <w:tc>
          <w:tcPr>
            <w:tcW w:w="140" w:type="dxa"/>
            <w:vAlign w:val="bottom"/>
          </w:tcPr>
          <w:p>
            <w:pPr>
              <w:spacing w:after="0"/>
              <w:rPr>
                <w:sz w:val="21"/>
                <w:szCs w:val="21"/>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EXECUTIVE COMPENSATION</w:t>
              </w:r>
            </w:hyperlink>
          </w:p>
        </w:tc>
        <w:tc>
          <w:tcPr>
            <w:tcW w:w="5500" w:type="dxa"/>
            <w:vAlign w:val="bottom"/>
            <w:gridSpan w:val="20"/>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12.</w:t>
              </w:r>
            </w:hyperlink>
          </w:p>
        </w:tc>
        <w:tc>
          <w:tcPr>
            <w:tcW w:w="140" w:type="dxa"/>
            <w:vAlign w:val="bottom"/>
          </w:tcPr>
          <w:p>
            <w:pPr>
              <w:spacing w:after="0"/>
              <w:rPr>
                <w:sz w:val="21"/>
                <w:szCs w:val="21"/>
                <w:color w:val="auto"/>
              </w:rPr>
            </w:pPr>
          </w:p>
        </w:tc>
        <w:tc>
          <w:tcPr>
            <w:tcW w:w="716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SECURITY OWNERSHIP OF CERTAIN BENEFICIAL OWNERS AND MANAGEMENT AND</w:t>
              </w:r>
            </w:hyperlink>
          </w:p>
        </w:tc>
        <w:tc>
          <w:tcPr>
            <w:tcW w:w="7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RELATED STOCKHOLDER MATTERS</w:t>
              </w:r>
            </w:hyperlink>
          </w:p>
        </w:tc>
        <w:tc>
          <w:tcPr>
            <w:tcW w:w="492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13.</w:t>
              </w:r>
            </w:hyperlink>
          </w:p>
        </w:tc>
        <w:tc>
          <w:tcPr>
            <w:tcW w:w="140" w:type="dxa"/>
            <w:vAlign w:val="bottom"/>
          </w:tcPr>
          <w:p>
            <w:pPr>
              <w:spacing w:after="0"/>
              <w:rPr>
                <w:sz w:val="21"/>
                <w:szCs w:val="21"/>
                <w:color w:val="auto"/>
              </w:rPr>
            </w:pPr>
          </w:p>
        </w:tc>
        <w:tc>
          <w:tcPr>
            <w:tcW w:w="62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CERTAIN RELATIONSHIPS AND RELATED TRANSACTIONS, AND DIRECTOR</w:t>
              </w:r>
            </w:hyperlink>
          </w:p>
        </w:tc>
        <w:tc>
          <w:tcPr>
            <w:tcW w:w="166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INDEPENDENCE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r>
      <w:tr>
        <w:trPr>
          <w:trHeight w:val="20"/>
        </w:trPr>
        <w:tc>
          <w:tcPr>
            <w:tcW w:w="8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ITEM 14.</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PRINCIPAL ACCOUNTING FEES AND SERVICES</w:t>
              </w:r>
            </w:hyperlink>
          </w:p>
        </w:tc>
        <w:tc>
          <w:tcPr>
            <w:tcW w:w="360" w:type="dxa"/>
            <w:vAlign w:val="bottom"/>
            <w:gridSpan w:val="4"/>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122</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4"/>
              </w:rPr>
            </w:pPr>
            <w:hyperlink w:anchor="page128">
              <w:r>
                <w:rPr>
                  <w:rFonts w:ascii="Arial" w:cs="Arial" w:eastAsia="Arial" w:hAnsi="Arial"/>
                  <w:sz w:val="18"/>
                  <w:szCs w:val="18"/>
                  <w:color w:val="0000EE"/>
                  <w:w w:val="94"/>
                </w:rPr>
                <w:t>PART IV</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8">
              <w:r>
                <w:rPr>
                  <w:rFonts w:ascii="Arial" w:cs="Arial" w:eastAsia="Arial" w:hAnsi="Arial"/>
                  <w:sz w:val="18"/>
                  <w:szCs w:val="18"/>
                  <w:color w:val="0000EE"/>
                  <w:w w:val="95"/>
                </w:rPr>
                <w:t>ITEM 15.</w:t>
              </w:r>
            </w:hyperlink>
          </w:p>
        </w:tc>
        <w:tc>
          <w:tcPr>
            <w:tcW w:w="140" w:type="dxa"/>
            <w:vAlign w:val="bottom"/>
          </w:tcPr>
          <w:p>
            <w:pPr>
              <w:spacing w:after="0"/>
              <w:rPr>
                <w:sz w:val="21"/>
                <w:szCs w:val="21"/>
                <w:color w:val="auto"/>
              </w:rPr>
            </w:pPr>
          </w:p>
        </w:tc>
        <w:tc>
          <w:tcPr>
            <w:tcW w:w="4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EXHIBITS, FINANCIAL STATEMENT SCHEDULES</w:t>
              </w:r>
            </w:hyperlink>
          </w:p>
        </w:tc>
        <w:tc>
          <w:tcPr>
            <w:tcW w:w="3900" w:type="dxa"/>
            <w:vAlign w:val="bottom"/>
            <w:gridSpan w:val="12"/>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123</w:t>
              </w:r>
            </w:hyperlink>
          </w:p>
        </w:tc>
      </w:tr>
      <w:tr>
        <w:trPr>
          <w:trHeight w:val="250"/>
        </w:trPr>
        <w:tc>
          <w:tcPr>
            <w:tcW w:w="8820" w:type="dxa"/>
            <w:vAlign w:val="bottom"/>
            <w:gridSpan w:val="33"/>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SIGNATURES</w:t>
              </w:r>
            </w:hyperlink>
          </w:p>
        </w:tc>
        <w:tc>
          <w:tcPr>
            <w:tcW w:w="360" w:type="dxa"/>
            <w:vAlign w:val="bottom"/>
            <w:gridSpan w:val="4"/>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125</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180"/>
          </w:cols>
          <w:pgMar w:left="1360" w:top="580" w:right="13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1A "Risk Factors," and in Part II, Item 7 "Management's Discussion and Analysis of Financial Condition and Results of Operations." These factors include, without limitation, the following:</w:t>
      </w:r>
    </w:p>
    <w:p>
      <w:pPr>
        <w:spacing w:after="0" w:line="189" w:lineRule="exact"/>
        <w:rPr>
          <w:sz w:val="20"/>
          <w:szCs w:val="20"/>
          <w:color w:val="auto"/>
        </w:rPr>
      </w:pPr>
    </w:p>
    <w:p>
      <w:pPr>
        <w:ind w:left="660" w:right="1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pacing w:after="0" w:line="225" w:lineRule="exact"/>
        <w:rPr>
          <w:rFonts w:ascii="Arial" w:cs="Arial" w:eastAsia="Arial" w:hAnsi="Arial"/>
          <w:sz w:val="18"/>
          <w:szCs w:val="18"/>
          <w:color w:val="auto"/>
        </w:rPr>
      </w:pPr>
    </w:p>
    <w:p>
      <w:pPr>
        <w:ind w:left="660" w:right="3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580" w:right="319" w:bottom="1440" w:gutter="0" w:footer="0" w:header="0"/>
        </w:sectPr>
      </w:pPr>
    </w:p>
    <w:bookmarkStart w:id="4" w:name="page5"/>
    <w:bookmarkEnd w:id="4"/>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40" w:top="800" w:right="379" w:bottom="1440" w:gutter="0" w:footer="0" w:header="0"/>
        </w:sectPr>
      </w:pPr>
    </w:p>
    <w:bookmarkStart w:id="5" w:name="page6"/>
    <w:bookmarkEnd w:id="5"/>
    <w:p>
      <w:pPr>
        <w:ind w:right="200"/>
        <w:spacing w:after="0" w:line="259"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are an established and growing private mortgage insurance company. 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8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Private mortgage insurance helps extend affordable home ownership by facilitating the sale of low down payment loans into the secondary market. The GSEs purchase residential mortgages from banks and other lenders and guaranty mortgage-backed securities that are offered to investors in the secondary mortgage market. The GSEs, which are U.S. Federal government-sponsored enterprises,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5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primary U.S. mortgage insurance subsidiary, Essent Guaranty, Inc.,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since 1995 by Fannie Mae and Freddie Mac, which we refer to collectively as the GSEs. We are licensed to write coverage in all 50 states and the District of Columbia.</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the years ended December 31, 2018, 2017 and 2016, we generated new insurance written, or NIW, of approximately $47.5 billion, $43.9 billion and $34.9 billion, respectively. As of December 31, 2018, we had approximately $137.7 billion of insurance in force. Our top ten customers represented approximately 43.5%, 45.8% and 35.1% of our NIW on a flow basis for the years ended December 31, 2018, 2017 and 2016, respectively. The financial strength rating of our primary mortgage insurance subsidiary, Essent Guaranty, Inc., which we refer to as "Essent Guaranty," is Baa1 with a stable outlook by Moody's Investors Service and BBB+ with a stable outlook by S&amp;P Global Ratings. On September 5, 2018, A.M. Best's Financial Strength Rating of A (Excellent) with a stable outlook was assigned to Essent Guaranty.</w:t>
      </w:r>
    </w:p>
    <w:p>
      <w:pPr>
        <w:spacing w:after="0" w:line="19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December 31, 2018, Essent Re provided insurance or reinsurance relating to the GSE risk share and other reinsurance transactions covering approximately $655.4 million of risk. Essent Re has also reinsured 25% of Essent Guaranty, Inc.'s GSE-eligible mortgage insurance NIW originated since July 1, 2014 under a quota share reinsurance agreement. The insurer financial strength rating of Essent Re is BBB+ with a stable outlook by S&amp;P Global Ratings. On September 5, 2018, A.M. Best's Financial Strength Rating of A (Excellent) with a stable outlook was assigned to Essent Re.</w:t>
      </w:r>
    </w:p>
    <w:p>
      <w:pPr>
        <w:spacing w:after="0" w:line="19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of 385 employees as of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25"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The U.S. residential mortgage market is one of the largest in the world, with over $10.8 trillion of debt outstanding as of September 30, 2018,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4" w:right="279" w:bottom="1440" w:gutter="0" w:footer="0" w:header="0"/>
        </w:sectPr>
      </w:pPr>
    </w:p>
    <w:bookmarkStart w:id="6" w:name="page7"/>
    <w:bookmarkEnd w:id="6"/>
    <w:p>
      <w:pPr>
        <w:ind w:right="100"/>
        <w:spacing w:after="0" w:line="255" w:lineRule="auto"/>
        <w:rPr>
          <w:sz w:val="20"/>
          <w:szCs w:val="20"/>
          <w:color w:val="auto"/>
        </w:rPr>
      </w:pPr>
      <w:r>
        <w:rPr>
          <w:rFonts w:ascii="Arial" w:cs="Arial" w:eastAsia="Arial" w:hAnsi="Arial"/>
          <w:sz w:val="18"/>
          <w:szCs w:val="18"/>
          <w:color w:val="auto"/>
        </w:rPr>
        <w:t>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GSEs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$4.8 trillion, or 44.2%, of total U.S. residential mortgage debt outstanding as of September 30, 2018.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1999 through 2018, an average of 24.0% of total annual mortgage origination volume utilized mortgage insurance.</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2018, total U.S. residential mortgage origination volume was estimated at $1.64 trillion, comprised of $1.19 trillion of purchase originations and $458 billion of refinancing originations. In the years immediately following the 2007 - 2008 financial crisis, historically low interest rates and special refinance programs, such as the Home Affordable Refinance Program, or HARP, caused refinancing volume to significantly outpace purchase originations. Purchase originations, however, have accounted for an increasing percentage of the overall mortgage market in recent years as favorable housing market fundamentals have stimulated growth in home buying activity and a rising interest rate environment has slowed refinancing volume.</w:t>
      </w:r>
    </w:p>
    <w:p>
      <w:pPr>
        <w:spacing w:after="0" w:line="178"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96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7" w:name="page8"/>
    <w:bookmarkEnd w:id="7"/>
    <w:p>
      <w:pPr>
        <w:ind w:left="42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severe economic and housing market dislocation experienced as a result of the 2007-2008 financial crisis had a profound impact on our industry. Incumbent insurers experienced record high claims activity and sustained significant financial losses, resulting in depleted capital positions. Three private mortgage insurers who wrote more than $125 billion of NIW in 2007, accounting for approximately 36% of total private mortgage insurance market NIW that year, have since exited the market, and several other insurers were forced, in the years following the crisis, to raise capital to repair their balance sheets and remain in operation. Although certain remaining incumbent insurers continue to deal with legacy, pre-crisis, challenges, improved housing market fundamentals and the high credit quality of post-crisis new business have, and we expect will continue to, support improved growth and profitability in the private mortgage insurance sector.</w:t>
      </w:r>
    </w:p>
    <w:p>
      <w:pPr>
        <w:spacing w:after="0" w:line="24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Prior to the financial crisis, private mortgage insurers accounted for the majority of the insured mortgage origination market. In 2007, private mortgage insurance represented 77.3% of insured mortgages and covered 15.5% of the total residential mortgage origination volume. As a result of the 2007 - 2008 financial crisis, government agencies began to insure an increasing percentage of the market as incumbent private insurers came under significant financial stress. By 2009, private mortgage insurance represented only 15.4% of the insured mortgage market and covered 4.1% of the total residential mortgage origination volume.</w:t>
      </w:r>
    </w:p>
    <w:p>
      <w:pPr>
        <w:spacing w:after="0" w:line="242"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color w:val="auto"/>
        </w:rPr>
        <w:t>The private mortgage insurance industry, however, has more than doubled its share of the total insured market since 2009, leading to higher private mortgage insurance penetration of the total mortgage origination market. In 2018, private mortgage insurance increased to an estimated 45% of the total insured market and covered 18% of the total mortgage origination volume. These gains have been driven in part by the improved financial position of incumbent insurers, the influx of private capital into the sector to support post-crisis entrants such as Essent, and aggregate increase since 2010 in the mortgage insurance premium rates and upfront fees charged for FHA insurance.</w:t>
      </w:r>
    </w:p>
    <w:p>
      <w:pPr>
        <w:spacing w:after="0" w:line="24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201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Inside Mortgage Finance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3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87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Source: Inside Mortgage Finance, except for total originations for the purpose of calculating private mortgage insurance penetration, which is based on Mortgage Bankers Association. For 2011 through 2018, private mortgage insurance penetration includes private mortgage insurance NIW originated under HARP.</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private mortgage insurance industry is highly competitive.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 The private mortgage insurance industry currently consists of six active private mortgage insurers, including Essent Guaranty and each of Arch Mortgage Insurance Company (which also acquired United Guaranty Corporation in 2016), Genworth Financial, Inc., Mortgage Guaranty Insurance Corporation, National Mortgage Insurance Corporation and Radian Guaranty Inc.</w:t>
      </w:r>
    </w:p>
    <w:p>
      <w:pPr>
        <w:spacing w:after="0" w:line="2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and other private mortgage insurers compete directly with Federal and state governmental and quasi-governmental agencies that provide mortgage insurance, principally, the FHA and, to a lesser degree, the VA. As discussed above, the FHA's share of the mortgage insurance market increased as a result of the 2007 - 2008 financial crisis, and since 2009 has decreased as the private mortgage insurance industry has recovered and FHA premiums have increased in the aggregate. In addition to competition from the FHA and the VA, we and other private mortgage insurers currently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23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Primary Mortgage Insurance</w:t>
      </w:r>
    </w:p>
    <w:p>
      <w:pPr>
        <w:spacing w:after="0" w:line="27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22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w:t>
      </w:r>
    </w:p>
    <w:p>
      <w:pPr>
        <w:sectPr>
          <w:pgSz w:w="11900" w:h="16838" w:orient="portrait"/>
          <w:cols w:equalWidth="0" w:num="1">
            <w:col w:w="11400"/>
          </w:cols>
          <w:pgMar w:left="240" w:top="499"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99" w:right="2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written is approximately 25% of the underlying primary insurance in force, but may vary from policy to policy between 6% and 35% coverage.</w:t>
      </w:r>
    </w:p>
    <w:p>
      <w:pPr>
        <w:spacing w:after="0" w:line="2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spacing w:after="0" w:line="24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71"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single payment, where the entire premium is paid upfront at the time the mortgage loan is originated;</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65" w:lineRule="exact"/>
        <w:rPr>
          <w:rFonts w:ascii="Arial" w:cs="Arial" w:eastAsia="Arial" w:hAnsi="Arial"/>
          <w:sz w:val="18"/>
          <w:szCs w:val="18"/>
          <w:color w:val="auto"/>
        </w:rPr>
      </w:pPr>
    </w:p>
    <w:p>
      <w:pPr>
        <w:ind w:left="420" w:right="3380" w:hanging="7"/>
        <w:spacing w:after="0" w:line="536" w:lineRule="auto"/>
        <w:tabs>
          <w:tab w:leader="none" w:pos="726"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2018, substantially all of our policies are monthly or single premium policies.</w:t>
      </w:r>
    </w:p>
    <w:p>
      <w:pPr>
        <w:spacing w:after="0" w:line="2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Regulations—Homeowners Protection Act of 1988" below. In addition, some states impose their own mortgage insurance notice and cancellation requirements on mortgage loan servicers.</w:t>
      </w:r>
    </w:p>
    <w:p>
      <w:pPr>
        <w:spacing w:after="0" w:line="8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GSEs have implemented certain guidelines that may provide more flexibility to certain borrowers in cancelling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 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spacing w:after="0" w:line="17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2018, the GSEs announced changes to various mortgage insurance termination requirements that are intended to further simplify the process of evaluating borrower-initiated requests for mortgage insurance termination. Among other things, these changes update evidence of value requirements for borrower-requested cancellation based on the original value of the property and the current value of the property, raise Fannie Mae’s loan-to-value ratio for cancellation based on substantial improvements from 75% or less to 80% or less, provide clarification regarding what constitutes substantial improvements to the property, allow servicers to respond to either verbal or written requests for mortgage insurance cancellation by a borrower, and provide servicers flexibility in evaluating the payment history of borrowers that have been impacted by certain disaster events. Fannie Mae’s changes in this area must be implemented by March 1, 2019, although certain requirements have been implemented as early as January 1, 2019. Freddie Mac’s new requirements became effective on October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03" w:right="25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i w:val="1"/>
          <w:iCs w:val="1"/>
          <w:color w:val="auto"/>
        </w:rPr>
        <w:t>Pool Insurance</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Master Policy</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which we refer to as the "Rescission Relief Principles," instituted by the GSEs and the Federal Housing Finance Agency, or FHFA, master policies provide rescission relief for loans that remain current up to 36 months after origination and that have not experienced more than two late payments of 30 days or more and have never been 60 days late, and are permitted to provide rescission relief after 12 payments provided the mortgage insurer can independently validate the representations for which it provides rescission relief. The current Rescission Relief Principles require that the master policies reserve rescission rights with respect to fraud committed by the insured or those under its control and certain patterns of fraud.</w:t>
      </w:r>
    </w:p>
    <w:p>
      <w:pPr>
        <w:spacing w:after="0" w:line="23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GSEs and the FHFA have adopted revised Rescission Relief Principles which require mortgage insurers to implement conforming master policies in 2019. The revised Rescission Relief Principles add requirements that rescission relief be provided for loans that are current after 60 payments and permit provision of rescission relief concurrent with independent validation of representations, including validation by use of duly approved automated tools. The revised Rescission Relief Principles also require that master policies reserve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 the mortgage insurer to offer certain alternatives to rescission. See "Risk Factors—Risks Relating to Our Business—</w:t>
      </w:r>
      <w:r>
        <w:rPr>
          <w:rFonts w:ascii="Arial" w:cs="Arial" w:eastAsia="Arial" w:hAnsi="Arial"/>
          <w:sz w:val="17"/>
          <w:szCs w:val="17"/>
          <w:i w:val="1"/>
          <w:iCs w:val="1"/>
          <w:color w:val="auto"/>
        </w:rPr>
        <w:t>Changes in the business practices of the GSEs, including actions or decisions to decrease or</w:t>
      </w:r>
      <w:r>
        <w:rPr>
          <w:rFonts w:ascii="Arial" w:cs="Arial" w:eastAsia="Arial" w:hAnsi="Arial"/>
          <w:sz w:val="17"/>
          <w:szCs w:val="17"/>
          <w:color w:val="auto"/>
        </w:rPr>
        <w:t xml:space="preserve"> </w:t>
      </w:r>
      <w:r>
        <w:rPr>
          <w:rFonts w:ascii="Arial" w:cs="Arial" w:eastAsia="Arial" w:hAnsi="Arial"/>
          <w:sz w:val="17"/>
          <w:szCs w:val="17"/>
          <w:i w:val="1"/>
          <w:iCs w:val="1"/>
          <w:color w:val="auto"/>
        </w:rPr>
        <w:t>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 elsewhere in this Annual Report and "—Regulation—Direct U.S. Regulation—GSE Qualified Mortgage Insurer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below.</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27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Our Business—</w:t>
      </w:r>
      <w:r>
        <w:rPr>
          <w:rFonts w:ascii="Arial" w:cs="Arial" w:eastAsia="Arial" w:hAnsi="Arial"/>
          <w:sz w:val="16"/>
          <w:szCs w:val="16"/>
          <w:i w:val="1"/>
          <w:iCs w:val="1"/>
          <w:color w:val="auto"/>
        </w:rPr>
        <w:t>We face risks associated with our contract underwriting business."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279"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offer mortgage-related insurance and reinsurance through Essent Re, a Class 3A insurance company licensed pursuant to Section 4 of the Bermuda Insurance Act 1978. Essent Re provides insurance or reinsurance relating to the GSE risk share and other reinsurance transactions. Essent Re also reinsures 25% of Essent Guaranty's GSE-eligible mortgage insurance NIW originated since July 1, 2014 under a quota share reinsurance agreement. Essent Re also provides underwriting consulting services to third-party reinsurers through its wholly-owned subsidiary, Essent Agency (Bermuda) Ltd.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0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primary mortgage insurance portfolio for policies written by Essent Guaranty.</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sets forth our insurance in force, or IIF, as of December 31, 2018, by year of policy origination. IIF refers to the unpaid principal balance of mortgage loans that we insure.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6"/>
                <w:szCs w:val="16"/>
                <w:color w:val="auto"/>
              </w:rPr>
            </w:pPr>
          </w:p>
        </w:tc>
        <w:tc>
          <w:tcPr>
            <w:tcW w:w="1240" w:type="dxa"/>
            <w:vAlign w:val="bottom"/>
          </w:tcPr>
          <w:p>
            <w:pPr>
              <w:jc w:val="right"/>
              <w:ind w:right="6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50"/>
        </w:trPr>
        <w:tc>
          <w:tcPr>
            <w:tcW w:w="8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45,850,221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37,850,574</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27.5</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25,252,309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13,410,795</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9.7</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8,257,561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2013 and prior</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7,099,326</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5.2</w:t>
            </w:r>
          </w:p>
        </w:tc>
      </w:tr>
      <w:tr>
        <w:trPr>
          <w:trHeight w:val="27"/>
        </w:trPr>
        <w:tc>
          <w:tcPr>
            <w:tcW w:w="8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137,720,786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IIF by loan type and amortization, each as of December 31, 2018 and 2017. RIF refers to the product of the coverage percentage applied to the unpaid principal balance of mortgage loans that we insure.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IIF by FICO score</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auto"/>
              <w:bottom w:val="single" w:sz="8" w:color="CCEEFF"/>
            </w:tcBorders>
            <w:shd w:val="clear" w:color="auto" w:fill="CCEEFF"/>
          </w:tcPr>
          <w:p>
            <w:pPr>
              <w:jc w:val="right"/>
              <w:ind w:right="5774"/>
              <w:spacing w:after="0"/>
              <w:rPr>
                <w:sz w:val="20"/>
                <w:szCs w:val="20"/>
                <w:color w:val="auto"/>
              </w:rPr>
            </w:pPr>
            <w:r>
              <w:rPr>
                <w:rFonts w:ascii="Arial" w:cs="Arial" w:eastAsia="Arial" w:hAnsi="Arial"/>
                <w:sz w:val="18"/>
                <w:szCs w:val="18"/>
                <w:color w:val="auto"/>
              </w:rPr>
              <w:t>&gt;=760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59,249,659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48,668,705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740-759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22,843,145</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17,939,206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720-739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19,898,885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15,761,787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700-719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15,714,206</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12,167,285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680-699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11,299,829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9,156,196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540" w:type="dxa"/>
            <w:vAlign w:val="bottom"/>
          </w:tcPr>
          <w:p>
            <w:pPr>
              <w:jc w:val="right"/>
              <w:ind w:right="5774"/>
              <w:spacing w:after="0"/>
              <w:rPr>
                <w:sz w:val="20"/>
                <w:szCs w:val="20"/>
                <w:color w:val="auto"/>
              </w:rPr>
            </w:pPr>
            <w:r>
              <w:rPr>
                <w:rFonts w:ascii="Arial" w:cs="Arial" w:eastAsia="Arial" w:hAnsi="Arial"/>
                <w:sz w:val="18"/>
                <w:szCs w:val="18"/>
                <w:color w:val="auto"/>
              </w:rPr>
              <w:t>&lt;=679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8,715,062</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6,768,771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137,720,786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110,461,950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6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Gross RIF (1) by FICO score</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auto"/>
              <w:bottom w:val="single" w:sz="8" w:color="CCEEFF"/>
            </w:tcBorders>
            <w:shd w:val="clear" w:color="auto" w:fill="CCEEFF"/>
          </w:tcPr>
          <w:p>
            <w:pPr>
              <w:jc w:val="right"/>
              <w:ind w:right="5774"/>
              <w:spacing w:after="0"/>
              <w:rPr>
                <w:sz w:val="20"/>
                <w:szCs w:val="20"/>
                <w:color w:val="auto"/>
              </w:rPr>
            </w:pPr>
            <w:r>
              <w:rPr>
                <w:rFonts w:ascii="Arial" w:cs="Arial" w:eastAsia="Arial" w:hAnsi="Arial"/>
                <w:sz w:val="18"/>
                <w:szCs w:val="18"/>
                <w:color w:val="auto"/>
              </w:rPr>
              <w:t>&gt;=760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14,789,783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12,058,196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740-759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5,736,432</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4,485,439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720-739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5,036,063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3,957,922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6540" w:type="dxa"/>
            <w:vAlign w:val="bottom"/>
          </w:tcPr>
          <w:p>
            <w:pPr>
              <w:jc w:val="right"/>
              <w:ind w:right="5674"/>
              <w:spacing w:after="0"/>
              <w:rPr>
                <w:sz w:val="20"/>
                <w:szCs w:val="20"/>
                <w:color w:val="auto"/>
              </w:rPr>
            </w:pPr>
            <w:r>
              <w:rPr>
                <w:rFonts w:ascii="Arial" w:cs="Arial" w:eastAsia="Arial" w:hAnsi="Arial"/>
                <w:sz w:val="18"/>
                <w:szCs w:val="18"/>
                <w:color w:val="auto"/>
              </w:rPr>
              <w:t>700-719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3,943,925</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3,018,341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jc w:val="right"/>
              <w:ind w:right="5674"/>
              <w:spacing w:after="0"/>
              <w:rPr>
                <w:sz w:val="20"/>
                <w:szCs w:val="20"/>
                <w:color w:val="auto"/>
              </w:rPr>
            </w:pPr>
            <w:r>
              <w:rPr>
                <w:rFonts w:ascii="Arial" w:cs="Arial" w:eastAsia="Arial" w:hAnsi="Arial"/>
                <w:sz w:val="18"/>
                <w:szCs w:val="18"/>
                <w:color w:val="auto"/>
              </w:rPr>
              <w:t>680-699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2,846,297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2,286,082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540" w:type="dxa"/>
            <w:vAlign w:val="bottom"/>
          </w:tcPr>
          <w:p>
            <w:pPr>
              <w:jc w:val="right"/>
              <w:ind w:right="5774"/>
              <w:spacing w:after="0"/>
              <w:rPr>
                <w:sz w:val="20"/>
                <w:szCs w:val="20"/>
                <w:color w:val="auto"/>
              </w:rPr>
            </w:pPr>
            <w:r>
              <w:rPr>
                <w:rFonts w:ascii="Arial" w:cs="Arial" w:eastAsia="Arial" w:hAnsi="Arial"/>
                <w:sz w:val="18"/>
                <w:szCs w:val="18"/>
                <w:color w:val="auto"/>
              </w:rPr>
              <w:t>&lt;=679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2,129,948</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1,638,005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34,482,448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27,443,985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(1)  Gross RIF includes risk ceded under third-party reinsurance.</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99"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i w:val="1"/>
          <w:iCs w:val="1"/>
          <w:color w:val="auto"/>
        </w:rPr>
        <w:t>Portfolio by LTV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0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IIF by LTV</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6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15,123,578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12,917,751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41,020,839</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34,794,108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66,028,990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54,323,103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15,547,379</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8,426,988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137,720,786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110,461,950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0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Gross RIF by LTV</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6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1,741,823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1,462,351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9,819,171</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8,262,322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18,912,421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15,576,125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4,009,033</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2,143,187</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34,482,448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27,443,985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00" w:type="dxa"/>
            <w:vAlign w:val="bottom"/>
          </w:tcPr>
          <w:p>
            <w:pPr>
              <w:spacing w:after="0"/>
              <w:rPr>
                <w:sz w:val="24"/>
                <w:szCs w:val="24"/>
                <w:color w:val="auto"/>
              </w:rPr>
            </w:pPr>
          </w:p>
        </w:tc>
        <w:tc>
          <w:tcPr>
            <w:tcW w:w="4920" w:type="dxa"/>
            <w:vAlign w:val="bottom"/>
            <w:gridSpan w:val="5"/>
          </w:tcPr>
          <w:p>
            <w:pPr>
              <w:ind w:left="1120"/>
              <w:spacing w:after="0"/>
              <w:rPr>
                <w:sz w:val="20"/>
                <w:szCs w:val="20"/>
                <w:color w:val="auto"/>
              </w:rPr>
            </w:pPr>
            <w:r>
              <w:rPr>
                <w:rFonts w:ascii="Arial" w:cs="Arial" w:eastAsia="Arial" w:hAnsi="Arial"/>
                <w:sz w:val="18"/>
                <w:szCs w:val="18"/>
                <w:i w:val="1"/>
                <w:iCs w:val="1"/>
                <w:color w:val="auto"/>
              </w:rPr>
              <w:t>Portfolio by Loan Amortization Period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0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IIF by Loan Amortization Period</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30 years and higher</w:t>
            </w:r>
          </w:p>
        </w:tc>
        <w:tc>
          <w:tcPr>
            <w:tcW w:w="36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128,083,429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100,592,946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FRM 20-25 years</w:t>
            </w: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2,965,782</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2,879,977</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15 years</w:t>
            </w:r>
          </w:p>
        </w:tc>
        <w:tc>
          <w:tcPr>
            <w:tcW w:w="3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3,445,447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3,857,152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ARM 5 years and higher</w:t>
            </w: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3,226,128</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3,131,875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137,720,786</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110,461,950</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in force portfolio is geographically diverse. As of December 31, 2018, only three states accounted for greater than 5% of our portfolio and no single metropolitan statistical area accounted for greater than 3% of our portfolio, as measured by either IIF or Gross RIF. The following tables provide detail of the IIF and Gross RIF in our top ten most concentrated states and our top ten most concentrated U.S. metropolitan statistical areas as of December 31, 2018 and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i w:val="1"/>
          <w:iCs w:val="1"/>
          <w:color w:val="auto"/>
        </w:rPr>
        <w:t>Top Ten States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State</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CA</w:t>
            </w: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7.0</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NC</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CO</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OH</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49.9</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67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RIF by State</w:t>
            </w:r>
          </w:p>
        </w:tc>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CA</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FL</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IL</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NC</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OH</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w:t>
            </w:r>
          </w:p>
        </w:tc>
        <w:tc>
          <w:tcPr>
            <w:tcW w:w="6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6740" w:type="dxa"/>
            <w:vAlign w:val="bottom"/>
            <w:gridSpan w:val="2"/>
          </w:tcPr>
          <w:p>
            <w:pPr>
              <w:jc w:val="right"/>
              <w:ind w:right="108"/>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jc w:val="right"/>
              <w:ind w:right="3491"/>
              <w:spacing w:after="0"/>
              <w:rPr>
                <w:sz w:val="20"/>
                <w:szCs w:val="20"/>
                <w:color w:val="auto"/>
              </w:rPr>
            </w:pPr>
            <w:r>
              <w:rPr>
                <w:rFonts w:ascii="Arial" w:cs="Arial" w:eastAsia="Arial" w:hAnsi="Arial"/>
                <w:sz w:val="18"/>
                <w:szCs w:val="18"/>
                <w:color w:val="auto"/>
              </w:rPr>
              <w:t>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8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i w:val="1"/>
          <w:iCs w:val="1"/>
          <w:color w:val="auto"/>
        </w:rPr>
        <w:t>Top Ten Metropolitan Statistical Areas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Phoenix-Mesa-Chandler, AZ</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Chicago-Naperville-Evanston, IL</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Atlanta-Sandy Springs-Alpharetta, GA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Seattle-Bellevue-Kent,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Denver-Aurora-Lakewood, CO</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77.0</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Atlanta-Sandy Springs-Alpharetta, GA</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Phoenix-Mesa-Chandler, 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Chicago-Naperville-Evanston, 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2.7</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Seattle-Bellevue-Kent,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Denver-Aurora-Lakewood, CO</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77.1</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target our marketing efforts based on the customer's operating model and whether decisions to select a mortgage insurance provider are made centrally, or at the field or customer branch level:</w:t>
      </w:r>
    </w:p>
    <w:p>
      <w:pPr>
        <w:spacing w:after="0" w:line="181" w:lineRule="exact"/>
        <w:rPr>
          <w:sz w:val="20"/>
          <w:szCs w:val="20"/>
          <w:color w:val="auto"/>
        </w:rPr>
      </w:pPr>
    </w:p>
    <w:p>
      <w:pPr>
        <w:ind w:left="660" w:right="120" w:hanging="247"/>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Centralized</w:t>
      </w:r>
      <w:r>
        <w:rPr>
          <w:rFonts w:ascii="Arial" w:cs="Arial" w:eastAsia="Arial" w:hAnsi="Arial"/>
          <w:sz w:val="17"/>
          <w:szCs w:val="17"/>
          <w:color w:val="auto"/>
        </w:rPr>
        <w:t>—Centralized customers make decisions regarding the placement and allocation of mortgage insurance among their approved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65" w:lineRule="exact"/>
        <w:rPr>
          <w:rFonts w:ascii="Arial" w:cs="Arial" w:eastAsia="Arial" w:hAnsi="Arial"/>
          <w:sz w:val="17"/>
          <w:szCs w:val="17"/>
          <w:color w:val="auto"/>
        </w:rPr>
      </w:pPr>
    </w:p>
    <w:p>
      <w:pPr>
        <w:jc w:val="both"/>
        <w:ind w:left="660" w:right="100" w:hanging="247"/>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 are</w:t>
      </w:r>
      <w:r>
        <w:rPr>
          <w:rFonts w:ascii="Arial" w:cs="Arial" w:eastAsia="Arial" w:hAnsi="Arial"/>
          <w:sz w:val="18"/>
          <w:szCs w:val="18"/>
          <w:i w:val="1"/>
          <w:iCs w:val="1"/>
          <w:color w:val="auto"/>
        </w:rPr>
        <w:t xml:space="preserve"> </w:t>
      </w:r>
      <w:r>
        <w:rPr>
          <w:rFonts w:ascii="Arial" w:cs="Arial" w:eastAsia="Arial" w:hAnsi="Arial"/>
          <w:sz w:val="18"/>
          <w:szCs w:val="18"/>
          <w:color w:val="auto"/>
        </w:rPr>
        <w:t>more prevalent with regional and mid-size lenders which originate mortgages in a smaller geographic footprint, but are also seen, on a limited basis, among some national lenders.</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5" w:name="page16"/>
    <w:bookmarkEnd w:id="15"/>
    <w:p>
      <w:pPr>
        <w:jc w:val="both"/>
        <w:ind w:right="220" w:firstLine="432"/>
        <w:spacing w:after="0" w:line="312"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4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top ten customers generated 43.5% of our NIW on a flow basis during the year ended December 31, 2018, compared to 45.8% and 35.1% for the years ended December 31, 2017 and 2016, respectively. For the year ended December 31, 2018, one customer, Quicken Loans Inc., exceeded 10% of our consolidated revenue. The loss of any of our larger customers could have a material adverse impact on us and our business. See "Risk Factors—Risks Relating to Our Business—</w:t>
      </w:r>
      <w:r>
        <w:rPr>
          <w:rFonts w:ascii="Arial" w:cs="Arial" w:eastAsia="Arial" w:hAnsi="Arial"/>
          <w:sz w:val="17"/>
          <w:szCs w:val="17"/>
          <w:i w:val="1"/>
          <w:iCs w:val="1"/>
          <w:color w:val="auto"/>
        </w:rPr>
        <w:t>Our revenues, profitability and returns would decline if we lose a significant customer</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We emphasize a collaborative approach with our customers that includes a number of educational offerings and joint product development and marketing initiatives:</w:t>
      </w:r>
    </w:p>
    <w:p>
      <w:pPr>
        <w:spacing w:after="0" w:line="170" w:lineRule="exact"/>
        <w:rPr>
          <w:sz w:val="20"/>
          <w:szCs w:val="20"/>
          <w:color w:val="auto"/>
        </w:rPr>
      </w:pPr>
    </w:p>
    <w:p>
      <w:pPr>
        <w:ind w:left="660" w:right="6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metrics.</w:t>
      </w:r>
    </w:p>
    <w:p>
      <w:pPr>
        <w:spacing w:after="0" w:line="170" w:lineRule="exact"/>
        <w:rPr>
          <w:rFonts w:ascii="Arial" w:cs="Arial" w:eastAsia="Arial" w:hAnsi="Arial"/>
          <w:sz w:val="18"/>
          <w:szCs w:val="18"/>
          <w:color w:val="auto"/>
        </w:rPr>
      </w:pPr>
    </w:p>
    <w:p>
      <w:pPr>
        <w:ind w:left="660" w:right="80" w:hanging="247"/>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Joint Product Development and Marketing Initiatives. </w:t>
      </w:r>
      <w:r>
        <w:rPr>
          <w:rFonts w:ascii="Arial" w:cs="Arial" w:eastAsia="Arial" w:hAnsi="Arial"/>
          <w:sz w:val="18"/>
          <w:szCs w:val="18"/>
          <w:color w:val="auto"/>
        </w:rPr>
        <w:t>We emphasize the development of specialized products and programs that provide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86" w:lineRule="exact"/>
        <w:rPr>
          <w:rFonts w:ascii="Arial" w:cs="Arial" w:eastAsia="Arial" w:hAnsi="Arial"/>
          <w:sz w:val="18"/>
          <w:szCs w:val="18"/>
          <w:color w:val="auto"/>
        </w:rPr>
      </w:pPr>
    </w:p>
    <w:p>
      <w:pPr>
        <w:ind w:left="660" w:right="20" w:hanging="247"/>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Support and Trainings. </w:t>
      </w:r>
      <w:r>
        <w:rPr>
          <w:rFonts w:ascii="Arial" w:cs="Arial" w:eastAsia="Arial" w:hAnsi="Arial"/>
          <w:sz w:val="18"/>
          <w:szCs w:val="18"/>
          <w:color w:val="auto"/>
        </w:rPr>
        <w:t>We have an experienced and knowledgeable customer services team that strives to provide premier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8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7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5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71"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build our sales force by hiring qualified mortgage professionals who generally have well-established relationships with industry-leading lenders and significant experience in both mortgage insurance and mortgage lending. Our approach is reflected in and supported by our compensation structure, pursuant to which we have successfully implemented a</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800" w:right="299" w:bottom="1440" w:gutter="0" w:footer="0" w:header="0"/>
        </w:sectPr>
      </w:pPr>
    </w:p>
    <w:bookmarkStart w:id="16" w:name="page17"/>
    <w:bookmarkEnd w:id="16"/>
    <w:p>
      <w:pPr>
        <w:ind w:right="280"/>
        <w:spacing w:after="0" w:line="277" w:lineRule="auto"/>
        <w:rPr>
          <w:sz w:val="20"/>
          <w:szCs w:val="20"/>
          <w:color w:val="auto"/>
        </w:rPr>
      </w:pPr>
      <w:r>
        <w:rPr>
          <w:rFonts w:ascii="Arial" w:cs="Arial" w:eastAsia="Arial" w:hAnsi="Arial"/>
          <w:sz w:val="18"/>
          <w:szCs w:val="18"/>
          <w:color w:val="auto"/>
        </w:rPr>
        <w:t>non-commission-based structure that includes an equity ownership program, which we believe aligns their efforts with our long-term corporate objectives, including providing better customer service and better risk selection.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continue to upgrade and enhance our systems and technology, including:</w:t>
      </w:r>
    </w:p>
    <w:p>
      <w:pPr>
        <w:spacing w:after="0" w:line="225" w:lineRule="exact"/>
        <w:rPr>
          <w:sz w:val="20"/>
          <w:szCs w:val="20"/>
          <w:color w:val="auto"/>
        </w:rPr>
      </w:pPr>
    </w:p>
    <w:p>
      <w:pPr>
        <w:ind w:left="660" w:right="24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70"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implementing a business rules engine that automatically enforces our eligibility guidelines and pricing rules at the time the mortgage insurance application is submitted; and</w:t>
      </w:r>
    </w:p>
    <w:p>
      <w:pPr>
        <w:spacing w:after="0" w:line="170"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technology, together with our information technology team, greatly enhances our operating efficiency and creates competitive advantages. Our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17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25" w:lineRule="exact"/>
        <w:rPr>
          <w:sz w:val="20"/>
          <w:szCs w:val="20"/>
          <w:color w:val="auto"/>
        </w:rPr>
      </w:pPr>
    </w:p>
    <w:p>
      <w:pPr>
        <w:ind w:left="660" w:right="8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Delegated Underwriting. </w:t>
      </w:r>
      <w:r>
        <w:rPr>
          <w:rFonts w:ascii="Arial" w:cs="Arial" w:eastAsia="Arial" w:hAnsi="Arial"/>
          <w:sz w:val="17"/>
          <w:szCs w:val="17"/>
          <w:color w:val="auto"/>
        </w:rPr>
        <w:t>We delegate to eligible customers the ability to underwrite the loans based on agreed-upon underwriting guidelines. To</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2018, approximately 62% of our insurance in force had been originated on a delegated basis, compared to 60% as of December 31, 2017. See "Risk Factors—Risks Relating to Our Business—</w:t>
      </w:r>
      <w:r>
        <w:rPr>
          <w:rFonts w:ascii="Arial" w:cs="Arial" w:eastAsia="Arial" w:hAnsi="Arial"/>
          <w:sz w:val="17"/>
          <w:szCs w:val="17"/>
          <w:i w:val="1"/>
          <w:iCs w:val="1"/>
          <w:color w:val="auto"/>
        </w:rPr>
        <w:t>Our delegated underwriting</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may subject our mortgage insurance business to unanticipated claims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w:t>
      </w:r>
      <w:r>
        <w:rPr>
          <w:rFonts w:ascii="Arial" w:cs="Arial" w:eastAsia="Arial" w:hAnsi="Arial"/>
          <w:sz w:val="17"/>
          <w:szCs w:val="17"/>
          <w:i w:val="1"/>
          <w:iCs w:val="1"/>
          <w:color w:val="auto"/>
        </w:rPr>
        <w:t xml:space="preserve"> </w:t>
      </w:r>
      <w:r>
        <w:rPr>
          <w:rFonts w:ascii="Arial" w:cs="Arial" w:eastAsia="Arial" w:hAnsi="Arial"/>
          <w:sz w:val="17"/>
          <w:szCs w:val="17"/>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2018, approximately 38% of our insurance in force had been originated on a non-delegated basis, compared to 40% as of December 31, 2017.</w:t>
      </w:r>
    </w:p>
    <w:p>
      <w:pPr>
        <w:spacing w:after="0" w:line="17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spacing w:after="0" w:line="18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25"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—loan performance and lender monitoring with continuous oversight through the settlement of a claim.</w:t>
      </w:r>
    </w:p>
    <w:p>
      <w:pPr>
        <w:spacing w:after="0" w:line="225"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8" w:name="page19"/>
    <w:bookmarkEnd w:id="18"/>
    <w:p>
      <w:pPr>
        <w:ind w:right="20" w:firstLine="432"/>
        <w:spacing w:after="0" w:line="257" w:lineRule="auto"/>
        <w:rPr>
          <w:sz w:val="20"/>
          <w:szCs w:val="20"/>
          <w:color w:val="auto"/>
        </w:rPr>
      </w:pPr>
      <w:r>
        <w:rPr>
          <w:rFonts w:ascii="Arial" w:cs="Arial" w:eastAsia="Arial" w:hAnsi="Arial"/>
          <w:sz w:val="18"/>
          <w:szCs w:val="18"/>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8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Defaults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18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 Relating to Our Business—</w:t>
      </w:r>
      <w:r>
        <w:rPr>
          <w:rFonts w:ascii="Arial" w:cs="Arial" w:eastAsia="Arial" w:hAnsi="Arial"/>
          <w:sz w:val="16"/>
          <w:szCs w:val="16"/>
          <w:i w:val="1"/>
          <w:iCs w:val="1"/>
          <w:color w:val="auto"/>
        </w:rPr>
        <w:t>If servicers fail</w:t>
      </w:r>
      <w:r>
        <w:rPr>
          <w:rFonts w:ascii="Arial" w:cs="Arial" w:eastAsia="Arial" w:hAnsi="Arial"/>
          <w:sz w:val="16"/>
          <w:szCs w:val="16"/>
          <w:color w:val="auto"/>
        </w:rPr>
        <w:t xml:space="preserve"> </w:t>
      </w:r>
      <w:r>
        <w:rPr>
          <w:rFonts w:ascii="Arial" w:cs="Arial" w:eastAsia="Arial" w:hAnsi="Arial"/>
          <w:sz w:val="16"/>
          <w:szCs w:val="16"/>
          <w:i w:val="1"/>
          <w:iCs w:val="1"/>
          <w:color w:val="auto"/>
        </w:rPr>
        <w:t>to adhere to appropriate servicing standards or experience disruptions to their businesses, our losses could unexpectedly increase</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9" w:name="page20"/>
    <w:bookmarkEnd w:id="19"/>
    <w:p>
      <w:pPr>
        <w:ind w:right="220" w:firstLine="432"/>
        <w:spacing w:after="0" w:line="277"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2018 and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policies in force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608,135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496,477</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Loans in default</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gridSpan w:val="3"/>
          </w:tcPr>
          <w:p>
            <w:pPr>
              <w:jc w:val="right"/>
              <w:ind w:right="63"/>
              <w:spacing w:after="0"/>
              <w:rPr>
                <w:sz w:val="20"/>
                <w:szCs w:val="20"/>
                <w:color w:val="auto"/>
              </w:rPr>
            </w:pPr>
            <w:r>
              <w:rPr>
                <w:rFonts w:ascii="Arial" w:cs="Arial" w:eastAsia="Arial" w:hAnsi="Arial"/>
                <w:sz w:val="18"/>
                <w:szCs w:val="18"/>
                <w:color w:val="auto"/>
              </w:rPr>
              <w:t>4,024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ind w:left="220"/>
              <w:spacing w:after="0"/>
              <w:rPr>
                <w:sz w:val="20"/>
                <w:szCs w:val="20"/>
                <w:color w:val="auto"/>
              </w:rPr>
            </w:pPr>
            <w:r>
              <w:rPr>
                <w:rFonts w:ascii="Arial" w:cs="Arial" w:eastAsia="Arial" w:hAnsi="Arial"/>
                <w:sz w:val="18"/>
                <w:szCs w:val="18"/>
                <w:i w:val="1"/>
                <w:iCs w:val="1"/>
                <w:color w:val="auto"/>
                <w:w w:val="94"/>
              </w:rPr>
              <w:t>Loan Defaults by Originating Year</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5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2017</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Defaulted</w:t>
            </w: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4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0"/>
              </w:rPr>
              <w:t>Loans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Loans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Originating Year</w:t>
            </w: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written in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RIF</w:t>
            </w:r>
          </w:p>
        </w:tc>
        <w:tc>
          <w:tcPr>
            <w:tcW w:w="1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written 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6"/>
              </w:rPr>
              <w:t>Default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Default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2011</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320" w:type="dxa"/>
            <w:vAlign w:val="bottom"/>
            <w:gridSpan w:val="3"/>
          </w:tcPr>
          <w:p>
            <w:pPr>
              <w:jc w:val="right"/>
              <w:ind w:right="103"/>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320" w:type="dxa"/>
            <w:vAlign w:val="bottom"/>
            <w:tcBorders>
              <w:bottom w:val="single" w:sz="8" w:color="CCEEFF"/>
            </w:tcBorders>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2013</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14,328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440</w:t>
            </w:r>
          </w:p>
        </w:tc>
        <w:tc>
          <w:tcPr>
            <w:tcW w:w="1320" w:type="dxa"/>
            <w:vAlign w:val="bottom"/>
            <w:gridSpan w:val="3"/>
          </w:tcPr>
          <w:p>
            <w:pPr>
              <w:jc w:val="right"/>
              <w:ind w:right="103"/>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23,464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w:t>
            </w:r>
          </w:p>
        </w:tc>
        <w:tc>
          <w:tcPr>
            <w:tcW w:w="1320" w:type="dxa"/>
            <w:vAlign w:val="bottom"/>
            <w:tcBorders>
              <w:bottom w:val="single" w:sz="8" w:color="CCEEFF"/>
            </w:tcBorders>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49,788</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35,307</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1,023</w:t>
            </w:r>
          </w:p>
        </w:tc>
        <w:tc>
          <w:tcPr>
            <w:tcW w:w="1320" w:type="dxa"/>
            <w:vAlign w:val="bottom"/>
            <w:gridSpan w:val="3"/>
          </w:tcPr>
          <w:p>
            <w:pPr>
              <w:jc w:val="right"/>
              <w:ind w:right="103"/>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60,052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49,287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w:t>
            </w:r>
          </w:p>
        </w:tc>
        <w:tc>
          <w:tcPr>
            <w:tcW w:w="1320" w:type="dxa"/>
            <w:vAlign w:val="bottom"/>
            <w:tcBorders>
              <w:bottom w:val="single" w:sz="8" w:color="CCEEFF"/>
            </w:tcBorders>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69,270</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1,160</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60,598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1,065</w:t>
            </w:r>
          </w:p>
        </w:tc>
        <w:tc>
          <w:tcPr>
            <w:tcW w:w="1320" w:type="dxa"/>
            <w:vAlign w:val="bottom"/>
            <w:gridSpan w:val="3"/>
          </w:tcPr>
          <w:p>
            <w:pPr>
              <w:jc w:val="right"/>
              <w:ind w:right="103"/>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62,132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17,012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4,024</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215,489</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4,783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274,204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have experienced a low level of defaults to date. This is due, in part, to the weighted average life of our mortgage insurance portfolio being 22.3 months as of December 31, 2018,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historically experienced by mortgage insurers. During the third quarter of 2017, certain regions of the U.S. experienced hurricanes which impacted our insured portfolio’s performance. Loans in default identified as hurricane-related defaults resulting from those storms totaled 2,288 as of December 31, 2017. In the year ended December 31, 2018, 2,150 of the 2,288 defaults previously identified as hurricane-related cured. Based on our experience to date and prior industry experience, we expect the ultimate number of hurricane-related defaults from 2017, and from future similar events, that eventually result in claims will be less than the default-to-claim experience for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 impact on our reserves in future periods will be dependent upon the performance of the hurricane-related defaults and our expectations for the amount of ultimate losses on these delinquencies.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0" w:name="page21"/>
    <w:bookmarkEnd w:id="20"/>
    <w:p>
      <w:pPr>
        <w:ind w:right="100"/>
        <w:spacing w:after="0" w:line="277" w:lineRule="auto"/>
        <w:rPr>
          <w:sz w:val="20"/>
          <w:szCs w:val="20"/>
          <w:color w:val="auto"/>
        </w:rPr>
      </w:pPr>
      <w:r>
        <w:rPr>
          <w:rFonts w:ascii="Arial" w:cs="Arial" w:eastAsia="Arial" w:hAnsi="Arial"/>
          <w:sz w:val="18"/>
          <w:szCs w:val="18"/>
          <w:color w:val="auto"/>
        </w:rPr>
        <w:t>largely due to foreclosure moratoriums imposed by various government entities and lenders and increased scrutiny within the mortgage servicing industry on the foreclosure process.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25" w:lineRule="exact"/>
        <w:rPr>
          <w:sz w:val="20"/>
          <w:szCs w:val="20"/>
          <w:color w:val="auto"/>
        </w:rPr>
      </w:pPr>
    </w:p>
    <w:p>
      <w:pPr>
        <w:jc w:val="both"/>
        <w:ind w:left="660" w:right="440" w:hanging="247"/>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18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Our investment portfolio, including cash, comprises the largest single component of our balance sheet, representing 90.7% of our total assets at December 31, 2018. Our primary objectives with respect to our investment portfolio are to preserve capital, generate investment income and maintain sufficient liquidity to cover operating expenses and pay future insurance claims. As of December 31, 2018, predominantly all of our investment securities were rated investment-grade.</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8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94.9% of our investments available for sale were managed by external managers as of December 31, 2018.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15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to examine insurance companies and to enforce rules or to exercise discretion affecting almost every significant aspect of the insurance business.</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Insurance—Master Policy" above.</w:t>
      </w:r>
    </w:p>
    <w:p>
      <w:pPr>
        <w:spacing w:after="0" w:line="18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2018, Essent Guaranty, our GSE-approved mortgage insurance company, was in compliance with the PMIERs.</w:t>
      </w:r>
    </w:p>
    <w:p>
      <w:pPr>
        <w:spacing w:after="0" w:line="17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GSEs released a revised version of the PMIERs, which we refer to as "PMIERs 2.0," on September 27, 2018 and have indicated that the PMIERs 2.0 framework will take effect on March 31, 2019. If PMIERs 2.0 had been in effect as of December 31, 2018, Essent Guaranty’s excess of Available Assets over Minimum Required Assets would be substantially unchanged from the amount computed under the original PMIERs, Essent expects to remain in full compliance with the existing and revised PMIERs, as applicable, prior to and after March 31, 2019.</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 Insurance Regulation</w:t>
      </w:r>
    </w:p>
    <w:p>
      <w:pPr>
        <w:spacing w:after="0" w:line="22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25" w:lineRule="exact"/>
        <w:rPr>
          <w:sz w:val="20"/>
          <w:szCs w:val="20"/>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2" w:name="page23"/>
    <w:bookmarkEnd w:id="22"/>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2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and may be the subject of examination, by state regulators. See "Management's Discussion and Analysis of Financial Condition and Results of Operations—Liquidity and Capital Resources" for information about regulations governing our capital adequacy, information about our current capital and our expectations regarding our future capital position.</w:t>
      </w:r>
    </w:p>
    <w:p>
      <w:pPr>
        <w:spacing w:after="0" w:line="17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67"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State insurance law, and not Federal bankruptcy law, would apply to any insolvency or financially hazardous condition of our U.S. insurance subsidiaries.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The NAIC has established a Mortgage Guaranty Insurance Working Group, which we refer to as the "MGIWG," to determine and make recommendations to the NAIC's Financial Condition Committee regarding what, if any, changes are deemed necessary to the solvency regulation of mortgage guaranty insurers, including, but not limited to, revisions to </w:t>
      </w:r>
      <w:r>
        <w:rPr>
          <w:rFonts w:ascii="Arial" w:cs="Arial" w:eastAsia="Arial" w:hAnsi="Arial"/>
          <w:sz w:val="18"/>
          <w:szCs w:val="18"/>
          <w:i w:val="1"/>
          <w:iCs w:val="1"/>
          <w:color w:val="auto"/>
        </w:rPr>
        <w:t>Statement of Statutory Accounting Principles (SSAP) No. 58 - Mortgage Guaranty Insurance</w:t>
      </w:r>
      <w:r>
        <w:rPr>
          <w:rFonts w:ascii="Arial" w:cs="Arial" w:eastAsia="Arial" w:hAnsi="Arial"/>
          <w:sz w:val="18"/>
          <w:szCs w:val="18"/>
          <w:color w:val="auto"/>
        </w:rPr>
        <w:t>. The MGIWG has advanced a draft revised Model Act and is overseeing the work of a consultant on the testing and finalization of a proposed risk-based mortgage guaranty capital model and plans to finalize the Model Act by August 2019.</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Accounting</w:t>
      </w:r>
    </w:p>
    <w:p>
      <w:pPr>
        <w:spacing w:after="0" w:line="225"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23" w:name="page24"/>
    <w:bookmarkEnd w:id="23"/>
    <w:p>
      <w:pPr>
        <w:ind w:right="80" w:firstLine="432"/>
        <w:spacing w:after="0" w:line="257" w:lineRule="auto"/>
        <w:rPr>
          <w:sz w:val="20"/>
          <w:szCs w:val="20"/>
          <w:color w:val="auto"/>
        </w:rPr>
      </w:pPr>
      <w:r>
        <w:rPr>
          <w:rFonts w:ascii="Arial" w:cs="Arial" w:eastAsia="Arial" w:hAnsi="Arial"/>
          <w:sz w:val="18"/>
          <w:szCs w:val="18"/>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17 to our consolidated financial statements entitled "Statutory Accounting" included elsewhere in this Annual Report.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Mortgage-Related Laws and Regulations</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or QM, definition. Creditors who violate the ability-to-repay, or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65"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Pursuant to the CFPB's final rule regarding QMs, which we refer to as the QM Rule, a loan is deemed to be a QM if it meets certain specified requirements, including if:</w:t>
      </w:r>
    </w:p>
    <w:p>
      <w:pPr>
        <w:spacing w:after="0" w:line="170"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debt-to-income ratio does not exceed 43%.</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Dodd-Frank Act separately granted statutory authority to HUD (for FHA-insured loans), the VA (for VA-guaranteed loans) and certain other government agency insurance programs have developed their own definitions of a qualified mortgage in consultation with the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making a QM loan through these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24" w:name="page25"/>
    <w:bookmarkEnd w:id="24"/>
    <w:p>
      <w:pPr>
        <w:ind w:right="80"/>
        <w:spacing w:after="0" w:line="264" w:lineRule="auto"/>
        <w:rPr>
          <w:sz w:val="20"/>
          <w:szCs w:val="20"/>
          <w:color w:val="auto"/>
        </w:rPr>
      </w:pPr>
      <w:r>
        <w:rPr>
          <w:rFonts w:ascii="Arial" w:cs="Arial" w:eastAsia="Arial" w:hAnsi="Arial"/>
          <w:sz w:val="18"/>
          <w:szCs w:val="18"/>
          <w:color w:val="auto"/>
        </w:rPr>
        <w:t>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QM Rule also provides for a second, temporary category that allows for more flexible underwriting requirements. To qualify under the temporary QM definition, a mortgage must meet the general product feature requirements and be eligible to be purchased or guaranteed by either of the GSEs (while they remain under FHFA conservatorship), the FHA, the VA, and the U.S. Department of Agriculture Rural Development program. This temporary QM category expires on January 10, 2021, or earlier if the Federal agencies issue their own qualified mortgage rules or, with respect to GSEs, if the FHFA's conservatorship ends.</w:t>
      </w:r>
    </w:p>
    <w:p>
      <w:pPr>
        <w:spacing w:after="0" w:line="18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Our Business—</w:t>
      </w:r>
      <w:r>
        <w:rPr>
          <w:rFonts w:ascii="Arial" w:cs="Arial" w:eastAsia="Arial" w:hAnsi="Arial"/>
          <w:sz w:val="17"/>
          <w:szCs w:val="17"/>
          <w:i w:val="1"/>
          <w:iCs w:val="1"/>
          <w:color w:val="auto"/>
        </w:rPr>
        <w:t>Our business prospects and operating results could be adversely impacted</w:t>
      </w:r>
      <w:r>
        <w:rPr>
          <w:rFonts w:ascii="Arial" w:cs="Arial" w:eastAsia="Arial" w:hAnsi="Arial"/>
          <w:sz w:val="17"/>
          <w:szCs w:val="17"/>
          <w:color w:val="auto"/>
        </w:rPr>
        <w:t xml:space="preserve"> </w:t>
      </w:r>
      <w:r>
        <w:rPr>
          <w:rFonts w:ascii="Arial" w:cs="Arial" w:eastAsia="Arial" w:hAnsi="Arial"/>
          <w:sz w:val="17"/>
          <w:szCs w:val="17"/>
          <w:i w:val="1"/>
          <w:iCs w:val="1"/>
          <w:color w:val="auto"/>
        </w:rPr>
        <w:t>if, and to the extent that, the Consumer Financial Protection Bureau's ("CFPB") final rule defining a qualified mortgage ("QM") reduces the size of the origination market or creates incentives to use government mortgage insurance programs."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Our Business—</w:t>
      </w:r>
      <w:r>
        <w:rPr>
          <w:rFonts w:ascii="Arial" w:cs="Arial" w:eastAsia="Arial" w:hAnsi="Arial"/>
          <w:sz w:val="17"/>
          <w:szCs w:val="17"/>
          <w:i w:val="1"/>
          <w:iCs w:val="1"/>
          <w:color w:val="auto"/>
        </w:rPr>
        <w:t>The amount of insurance we write could be adversely</w:t>
      </w:r>
      <w:r>
        <w:rPr>
          <w:rFonts w:ascii="Arial" w:cs="Arial" w:eastAsia="Arial" w:hAnsi="Arial"/>
          <w:sz w:val="17"/>
          <w:szCs w:val="17"/>
          <w:color w:val="auto"/>
        </w:rPr>
        <w:t xml:space="preserve"> </w:t>
      </w:r>
      <w:r>
        <w:rPr>
          <w:rFonts w:ascii="Arial" w:cs="Arial" w:eastAsia="Arial" w:hAnsi="Arial"/>
          <w:sz w:val="17"/>
          <w:szCs w:val="17"/>
          <w:i w:val="1"/>
          <w:iCs w:val="1"/>
          <w:color w:val="auto"/>
        </w:rPr>
        <w:t>affected by the Dodd-Frank Act's risk retention requirements and the definition of Qualified Residential Mortgage ("QRM").</w:t>
      </w:r>
      <w:r>
        <w:rPr>
          <w:rFonts w:ascii="Arial" w:cs="Arial" w:eastAsia="Arial" w:hAnsi="Arial"/>
          <w:sz w:val="17"/>
          <w:szCs w:val="17"/>
          <w:color w:val="auto"/>
        </w:rPr>
        <w: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Mortgage Servicing Rules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Homeowners Protection Act of 1998</w:t>
      </w:r>
    </w:p>
    <w:p>
      <w:pPr>
        <w:spacing w:after="0" w:line="225" w:lineRule="exact"/>
        <w:rPr>
          <w:sz w:val="20"/>
          <w:szCs w:val="20"/>
          <w:color w:val="auto"/>
        </w:rPr>
      </w:pPr>
    </w:p>
    <w:p>
      <w:pPr>
        <w:ind w:right="440" w:firstLine="432"/>
        <w:spacing w:after="0" w:line="293"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5" w:name="page26"/>
    <w:bookmarkEnd w:id="25"/>
    <w:p>
      <w:pPr>
        <w:spacing w:after="0" w:line="302" w:lineRule="auto"/>
        <w:rPr>
          <w:sz w:val="20"/>
          <w:szCs w:val="20"/>
          <w:color w:val="auto"/>
        </w:rPr>
      </w:pPr>
      <w:r>
        <w:rPr>
          <w:rFonts w:ascii="Arial" w:cs="Arial" w:eastAsia="Arial" w:hAnsi="Arial"/>
          <w:sz w:val="16"/>
          <w:szCs w:val="16"/>
          <w:color w:val="auto"/>
        </w:rPr>
        <w:t>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5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GSE's have implemented certain guidelines that may provide more flexibility to certain borrowers in cancelling BPMI than is otherwise required for such loans under HOPA. See "—Our Products and Services—Mortgage Insurance—Primary Mortgage Insurance" above.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Privacy and Information Security</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auto"/>
        </w:rPr>
        <w:t>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1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New York Department of Financial Services, or NYDFS, has adopted a Cybersecurity Regulation that applies to all individuals and entities licensed by the NYDFS, pursuant to which licensees must file for exemption or submit an annual compliance certification by February 15 of each year. Several other jurisdictions in which we operate have enacted similar laws, including South Carolina (Insurance Data Security Act, which became effective January 1, 2019), California (Consumer Privacy Act, which will become effective January 1, 2020) and Bermuda (Personal Information Protection Act, which became effective December 1, 2018).</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Credit Reporting Act</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Housing Finance Reform</w:t>
      </w:r>
    </w:p>
    <w:p>
      <w:pPr>
        <w:spacing w:after="0" w:line="22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 In January 2018, the FHFA offered its own perspectives on housing finance reform in a communication to Congressional leaders, including a proposal to privatize the GSEs with an explicit guarantee from the U.S. Government for catastrophic losses on their mortgage-backed securities in return for fees paid into a reserve fund.</w:t>
      </w:r>
    </w:p>
    <w:p>
      <w:pPr>
        <w:spacing w:after="0" w:line="16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8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Our Business— </w:t>
      </w:r>
      <w:r>
        <w:rPr>
          <w:rFonts w:ascii="Arial" w:cs="Arial" w:eastAsia="Arial" w:hAnsi="Arial"/>
          <w:sz w:val="16"/>
          <w:szCs w:val="16"/>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compete with the single-family mortgage insurance programs of the FHA, which is part of HUD. The most recent FHA report to Congress dated November 15, 2018 on the financial status of the FHA Mutual Mortgage Insurance Fund, or MMIF, showed the capital reserve ratio of the MMIF at 2.76%, above the Congressionally mandated required minimum level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of 2%. As a result of the financial improvements in the condition of the MMIF over the past few years and the stated desire to support the housing recovery, the FHA reduced its mortgage insurance premiums by 50 basis points in January 2015.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 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Lobbying Disclosure Act of 1995</w:t>
      </w:r>
    </w:p>
    <w:p>
      <w:pPr>
        <w:spacing w:after="0" w:line="225"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We have from time to time employed lobbyists in order to engage in the public policy debates that have been referred to herein, and accordingly have registered with the Secretary of the Senate and the Clerk of the House of Representatives as required by the Lobbying Disclosure Act. The Lobbying Disclosure Act requires initial registration and periodic reports relative to an organization's Federal lobbying activities and expenditures.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was January 1, 2014 for advanced approaches banking organizations that are not savings and loan holding companies.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Federal banking agencies' proposed rule to implement Basel III in the United States would have made extensive changes to the capital requirements for residential mortgages. In addition, the proposed rule would have eliminated existing capital recognition for certain low down payment mortgages if covered by mortgage insurance. After consideration of extensive comments with regard to the proposed capital rules for residential mortgages, the Federal banking agencies revised the Basel III Rules to retain the treatment for residential mortgage exposures under the general risk-based capital rules and the treatment of mortgage insurance. Consistent with such rules, the Basel III Rules assign a 50% or 100% risk weight to loans secured by one-to-four-family residential properties. Generally, residential mortgage exposures secured by a first lien on a one-to-four family residential property that are prudently underwritten and that are performing according to their original terms receive a 50% risk weighting. All other one-to-four family residential mortgage loans are assigned a 100% risk weight. The Basel III Rules continue to afford FHA-insured loans a lower risk weighting than low down payment loans insured with private mortgage insurance, and Ginnie Mae mortgage-backed securities are afforded a lower risk weighting than Fannie Mae and Freddie Mac mortgage-backed securities.</w:t>
      </w:r>
    </w:p>
    <w:p>
      <w:pPr>
        <w:spacing w:after="0" w:line="17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8" w:name="page29"/>
    <w:bookmarkEnd w:id="28"/>
    <w:p>
      <w:pPr>
        <w:ind w:right="240" w:firstLine="432"/>
        <w:spacing w:after="0" w:line="277" w:lineRule="auto"/>
        <w:rPr>
          <w:sz w:val="20"/>
          <w:szCs w:val="20"/>
          <w:color w:val="auto"/>
        </w:rPr>
      </w:pPr>
      <w:r>
        <w:rPr>
          <w:rFonts w:ascii="Arial" w:cs="Arial" w:eastAsia="Arial" w:hAnsi="Arial"/>
          <w:sz w:val="18"/>
          <w:szCs w:val="18"/>
          <w:color w:val="auto"/>
        </w:rPr>
        <w:t>See "Risk Factors—Risks Relating to Our Business—</w:t>
      </w:r>
      <w:r>
        <w:rPr>
          <w:rFonts w:ascii="Arial" w:cs="Arial" w:eastAsia="Arial" w:hAnsi="Arial"/>
          <w:sz w:val="18"/>
          <w:szCs w:val="18"/>
          <w:i w:val="1"/>
          <w:iCs w:val="1"/>
          <w:color w:val="auto"/>
        </w:rPr>
        <w:t>The implementation of the Basel III Capital Accord, or other changes to our customers'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may discourage the use of mortgage insurance</w:t>
      </w:r>
      <w:r>
        <w:rPr>
          <w:rFonts w:ascii="Arial" w:cs="Arial" w:eastAsia="Arial" w:hAnsi="Arial"/>
          <w:sz w:val="18"/>
          <w:szCs w:val="18"/>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6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Classification of Insurers</w:t>
      </w:r>
    </w:p>
    <w:p>
      <w:pPr>
        <w:spacing w:after="0" w:line="22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Representative</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Independent Approved Auditor</w:t>
      </w:r>
    </w:p>
    <w:p>
      <w:pPr>
        <w:spacing w:after="0" w:line="225"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 Class 3A insurer must appoint an independent auditor who will annually audit and report on the insurer's financial statements prepared under generally accepted accounting principles or international financial reporting standards, statutory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Reserve Specialist</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Financial Statements</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Statutory Financial Return</w:t>
      </w:r>
    </w:p>
    <w:p>
      <w:pPr>
        <w:spacing w:after="0" w:line="225"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25"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7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Liquidity Ratio</w:t>
      </w:r>
    </w:p>
    <w:p>
      <w:pPr>
        <w:spacing w:after="0" w:line="22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30" w:name="page31"/>
    <w:bookmarkEnd w:id="30"/>
    <w:p>
      <w:pPr>
        <w:ind w:firstLine="432"/>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7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8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Information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December 31, 2018, we had 385 employees, including 380 employees based in the United States and 5 employees in Bermuda. None of our employees are represented by a labor union and we consider our employee relations to be good. We also periodically engage contractors who provide services to us on a temporary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right="760" w:firstLine="432"/>
        <w:spacing w:after="0" w:line="312"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47"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0" w:right="27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81"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ten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 Since 2011, a number of comprehensive GSE/secondary market legislative reform bills have also been introduced or announced, differing widely with regard to the future role of the GSEs, the overall structure of the secondary market and the role of the Federal government within the mortgage market.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7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8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5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2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70"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36" w:lineRule="exact"/>
        <w:rPr>
          <w:rFonts w:ascii="Arial" w:cs="Arial" w:eastAsia="Arial" w:hAnsi="Arial"/>
          <w:sz w:val="17"/>
          <w:szCs w:val="17"/>
          <w:color w:val="auto"/>
        </w:rPr>
      </w:pPr>
    </w:p>
    <w:p>
      <w:pPr>
        <w:ind w:left="660" w:right="100" w:hanging="247"/>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0" w:right="279" w:bottom="1440" w:gutter="0" w:footer="0" w:header="0"/>
        </w:sectPr>
      </w:pPr>
    </w:p>
    <w:bookmarkStart w:id="33" w:name="page34"/>
    <w:bookmarkEnd w:id="33"/>
    <w:p>
      <w:pPr>
        <w:ind w:left="660" w:right="440" w:hanging="247"/>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on which mortgage insurance coverage can be cancelled before reaching the cancellation thresholds established by law;</w:t>
      </w:r>
    </w:p>
    <w:p>
      <w:pPr>
        <w:spacing w:after="0" w:line="225" w:lineRule="exact"/>
        <w:rPr>
          <w:rFonts w:ascii="Arial" w:cs="Arial" w:eastAsia="Arial" w:hAnsi="Arial"/>
          <w:sz w:val="18"/>
          <w:szCs w:val="18"/>
          <w:color w:val="auto"/>
        </w:rPr>
      </w:pPr>
    </w:p>
    <w:p>
      <w:pPr>
        <w:ind w:left="660" w:right="120" w:hanging="247"/>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to which the GSEs establish requirements for mortgage insurers' rescission practices or rescission settlement practices with lenders;</w:t>
      </w:r>
    </w:p>
    <w:p>
      <w:pPr>
        <w:spacing w:after="0" w:line="236" w:lineRule="exact"/>
        <w:rPr>
          <w:rFonts w:ascii="Arial" w:cs="Arial" w:eastAsia="Arial" w:hAnsi="Arial"/>
          <w:sz w:val="17"/>
          <w:szCs w:val="17"/>
          <w:color w:val="auto"/>
        </w:rPr>
      </w:pPr>
    </w:p>
    <w:p>
      <w:pPr>
        <w:ind w:left="660" w:right="580" w:hanging="247"/>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46" w:lineRule="exact"/>
        <w:rPr>
          <w:rFonts w:ascii="Arial" w:cs="Arial" w:eastAsia="Arial" w:hAnsi="Arial"/>
          <w:sz w:val="17"/>
          <w:szCs w:val="17"/>
          <w:color w:val="auto"/>
        </w:rPr>
      </w:pPr>
    </w:p>
    <w:p>
      <w:pPr>
        <w:ind w:left="660" w:right="340" w:hanging="247"/>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and the terms that the GSEs require to be included in mortgage insurance master policies for loans that they purchase or guaranty.</w:t>
      </w:r>
    </w:p>
    <w:p>
      <w:pPr>
        <w:spacing w:after="0" w:line="18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Effective for insurance applications received after October 1, 2014, the GSEs, in coordination with the FHFA, instituted minimum standards for mortgage insurer master policies, including standards relating to rescission rights. The GSEs have published revised rules for rescission relief which require mortgage insurers to implement conforming master policies in 2019. These required changes to our master policy may not be favorable to us and could result in us paying more claims than required under our present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Insurance—Master Policy" above.</w:t>
      </w:r>
    </w:p>
    <w:p>
      <w:pPr>
        <w:spacing w:after="0" w:line="17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Fannie Mae and Freddie Mac, at the direction of the FHFA, implemented new coordinated Private Mortgage Insurer Eligibility Requirements, which we refer to as the "PMIERs," beginning in 2016.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The GSEs released revisions to the PMIERs, which we refer to as "PMIERs 2.0," on September 27, 2018 and have indicated that the PMIERs 2.0 framework will take effect on March 31, 2019.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 GSE Qualified Mortgage Insurer Requirements" above.</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25" w:lineRule="exact"/>
        <w:rPr>
          <w:sz w:val="20"/>
          <w:szCs w:val="20"/>
          <w:color w:val="auto"/>
        </w:rPr>
      </w:pPr>
    </w:p>
    <w:p>
      <w:pPr>
        <w:ind w:right="340" w:firstLine="432"/>
        <w:spacing w:after="0" w:line="291" w:lineRule="auto"/>
        <w:rPr>
          <w:sz w:val="20"/>
          <w:szCs w:val="20"/>
          <w:color w:val="auto"/>
        </w:rPr>
      </w:pPr>
      <w:r>
        <w:rPr>
          <w:rFonts w:ascii="Arial" w:cs="Arial" w:eastAsia="Arial" w:hAnsi="Arial"/>
          <w:sz w:val="16"/>
          <w:szCs w:val="16"/>
          <w:color w:val="auto"/>
        </w:rPr>
        <w:t>Our mortgage insurance business depends on our relationships with our customers, and in particular, our relationships with our largest lending customers. Our top ten customers generated 43.5% of our new insurance written, or NIW, during year ended December 31, 2018, compared to 45.8% and</w:t>
      </w:r>
    </w:p>
    <w:p>
      <w:pPr>
        <w:ind w:right="100"/>
        <w:spacing w:after="0" w:line="255" w:lineRule="auto"/>
        <w:rPr>
          <w:sz w:val="20"/>
          <w:szCs w:val="20"/>
          <w:color w:val="auto"/>
        </w:rPr>
      </w:pPr>
      <w:r>
        <w:rPr>
          <w:rFonts w:ascii="Arial" w:cs="Arial" w:eastAsia="Arial" w:hAnsi="Arial"/>
          <w:sz w:val="18"/>
          <w:szCs w:val="18"/>
          <w:color w:val="auto"/>
        </w:rPr>
        <w:t>35.1% for the years ended December 31, 2017 and 2016, respectively. For the year ended December 31, 2018, one customer represented more than 10% of our consolidated revenues. Maintaining our business relationships and business volumes with our largest lending customers remains critical to the success of our business.</w:t>
      </w:r>
    </w:p>
    <w:p>
      <w:pPr>
        <w:spacing w:after="0" w:line="1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6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if the U.S. economy enters into a recessionary period, these customers could become subject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Government-supported mortgage insurance programs include, but are not limited to:</w:t>
      </w:r>
    </w:p>
    <w:p>
      <w:pPr>
        <w:spacing w:after="0" w:line="225"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mortgage insurance programs, including those offered by the FHA and VA; and</w:t>
      </w:r>
    </w:p>
    <w:p>
      <w:pPr>
        <w:spacing w:after="0" w:line="225" w:lineRule="exact"/>
        <w:rPr>
          <w:rFonts w:ascii="Arial" w:cs="Arial" w:eastAsia="Arial" w:hAnsi="Arial"/>
          <w:sz w:val="18"/>
          <w:szCs w:val="18"/>
          <w:color w:val="auto"/>
        </w:rPr>
      </w:pPr>
    </w:p>
    <w:p>
      <w:pPr>
        <w:ind w:left="440" w:right="920" w:hanging="27"/>
        <w:spacing w:after="0" w:line="501"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state-supported mortgage insurance funds, including, but not limited to, those funds supported by the states of California and New York. Alternatives to mortgage insurance include, but are not limited to:</w:t>
      </w: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25"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70" w:lineRule="exact"/>
        <w:rPr>
          <w:rFonts w:ascii="Arial" w:cs="Arial" w:eastAsia="Arial" w:hAnsi="Arial"/>
          <w:sz w:val="18"/>
          <w:szCs w:val="18"/>
          <w:color w:val="auto"/>
        </w:rPr>
      </w:pPr>
    </w:p>
    <w:p>
      <w:pPr>
        <w:ind w:left="660" w:right="60" w:hanging="247"/>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8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Any of these alternatives to private mortgage insurance could reduce or eliminate the demand for our product, cause us to lose business or limit our ability to attract the business that we would prefer to insure. In particular, there was and continues to be substantial competition from government-sponsored mortgage insurance programs in the wake of the 2007 - 2008 financial crisis.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Ginnie Mae securities, which may be viewed by investors as more desirable than Fannie Mae and Freddie Mac securities due to the explicit backing of Ginnie Mae securities by the full faith and credit of the U.S. Federal government.</w:t>
      </w:r>
    </w:p>
    <w:p>
      <w:pPr>
        <w:spacing w:after="0" w:line="170"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and industry could be affected. Factors that could cause the FHA or other government-supported mortgage insurance programs to maintain or increase their share of the mortgage insurance market include:</w:t>
      </w:r>
    </w:p>
    <w:p>
      <w:pPr>
        <w:spacing w:after="0" w:line="181"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25" w:lineRule="exact"/>
        <w:rPr>
          <w:rFonts w:ascii="Arial" w:cs="Arial" w:eastAsia="Arial" w:hAnsi="Arial"/>
          <w:sz w:val="18"/>
          <w:szCs w:val="18"/>
          <w:color w:val="auto"/>
        </w:rPr>
      </w:pPr>
    </w:p>
    <w:p>
      <w:pPr>
        <w:ind w:left="660" w:right="54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70" w:lineRule="exact"/>
        <w:rPr>
          <w:rFonts w:ascii="Arial" w:cs="Arial" w:eastAsia="Arial" w:hAnsi="Arial"/>
          <w:sz w:val="18"/>
          <w:szCs w:val="18"/>
          <w:color w:val="auto"/>
        </w:rPr>
      </w:pPr>
    </w:p>
    <w:p>
      <w:pPr>
        <w:ind w:left="660" w:right="70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25" w:lineRule="exact"/>
        <w:rPr>
          <w:rFonts w:ascii="Arial" w:cs="Arial" w:eastAsia="Arial" w:hAnsi="Arial"/>
          <w:sz w:val="18"/>
          <w:szCs w:val="18"/>
          <w:color w:val="auto"/>
        </w:rPr>
      </w:pPr>
    </w:p>
    <w:p>
      <w:pPr>
        <w:ind w:left="660" w:right="14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25" w:lineRule="exact"/>
        <w:rPr>
          <w:rFonts w:ascii="Arial" w:cs="Arial" w:eastAsia="Arial" w:hAnsi="Arial"/>
          <w:sz w:val="18"/>
          <w:szCs w:val="18"/>
          <w:color w:val="auto"/>
        </w:rPr>
      </w:pPr>
    </w:p>
    <w:p>
      <w:pPr>
        <w:ind w:left="660" w:right="80" w:hanging="247"/>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implementation of new or the amendment of current regulations under the Dodd-Frank Act (particularly with respect to the Qualified Mortgage and Qualified Residential Mortgage rules) and the Basel III Rules, which may be more favorable to the FHA than to private mortgage insurers (see "</w:t>
      </w:r>
      <w:r>
        <w:rPr>
          <w:rFonts w:ascii="Arial" w:cs="Arial" w:eastAsia="Arial" w:hAnsi="Arial"/>
          <w:sz w:val="16"/>
          <w:szCs w:val="16"/>
          <w:i w:val="1"/>
          <w:iCs w:val="1"/>
          <w:color w:val="auto"/>
        </w:rPr>
        <w:t>—Our business prospects and operating results could be adversely impacted if, and to the extent that, the Consumer Financial Protection Bureau's</w:t>
      </w:r>
      <w:r>
        <w:rPr>
          <w:rFonts w:ascii="Arial" w:cs="Arial" w:eastAsia="Arial" w:hAnsi="Arial"/>
          <w:sz w:val="16"/>
          <w:szCs w:val="16"/>
          <w:color w:val="auto"/>
        </w:rPr>
        <w:t xml:space="preserve"> </w:t>
      </w:r>
      <w:r>
        <w:rPr>
          <w:rFonts w:ascii="Arial" w:cs="Arial" w:eastAsia="Arial" w:hAnsi="Arial"/>
          <w:sz w:val="16"/>
          <w:szCs w:val="16"/>
          <w:i w:val="1"/>
          <w:iCs w:val="1"/>
          <w:color w:val="auto"/>
        </w:rPr>
        <w:t>("CFPB") final rule defining a qualified mortgage ("QM") reduces the size of the origination market or creates incentives to use government mortgage insurance programs</w:t>
      </w:r>
      <w:r>
        <w:rPr>
          <w:rFonts w:ascii="Arial" w:cs="Arial" w:eastAsia="Arial" w:hAnsi="Arial"/>
          <w:sz w:val="16"/>
          <w:szCs w:val="16"/>
          <w:color w:val="auto"/>
        </w:rPr>
        <w:t>", "—</w:t>
      </w:r>
      <w:r>
        <w:rPr>
          <w:rFonts w:ascii="Arial" w:cs="Arial" w:eastAsia="Arial" w:hAnsi="Arial"/>
          <w:sz w:val="16"/>
          <w:szCs w:val="16"/>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6"/>
          <w:szCs w:val="16"/>
          <w:color w:val="auto"/>
        </w:rPr>
        <w:t>" and "—</w:t>
      </w:r>
      <w:r>
        <w:rPr>
          <w:rFonts w:ascii="Arial" w:cs="Arial" w:eastAsia="Arial" w:hAnsi="Arial"/>
          <w:sz w:val="16"/>
          <w:szCs w:val="16"/>
          <w:i w:val="1"/>
          <w:iCs w:val="1"/>
          <w:color w:val="auto"/>
        </w:rPr>
        <w:t>The implementation of the Basel III Capital Accord, or other changes to our customers' capital requirements, may discourage the use of mortgage insurance</w:t>
      </w:r>
      <w:r>
        <w:rPr>
          <w:rFonts w:ascii="Arial" w:cs="Arial" w:eastAsia="Arial" w:hAnsi="Arial"/>
          <w:sz w:val="16"/>
          <w:szCs w:val="16"/>
          <w:color w:val="auto"/>
        </w:rPr>
        <w:t>"); and</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25"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Further, at the direction of the FHFA, the GSEs continue to expand their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As part of their expanded risk sharing programs, the GSEs have also developed pilot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spacing w:after="0" w:line="167"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6" w:name="page37"/>
    <w:bookmarkEnd w:id="36"/>
    <w:p>
      <w:pPr>
        <w:ind w:right="160"/>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7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ability to write new business depends, among other things, on the origination volume of low down payment mortgages that require mortgage insurance. Factors that affect the volume of low down payment mortgage originations include:</w:t>
      </w:r>
    </w:p>
    <w:p>
      <w:pPr>
        <w:spacing w:after="0" w:line="170"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home mortgage interest rates and the deductibility of mortgage interest and mortgage insurance for income tax purposes;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36" w:lineRule="exact"/>
        <w:rPr>
          <w:rFonts w:ascii="Arial" w:cs="Arial" w:eastAsia="Arial" w:hAnsi="Arial"/>
          <w:sz w:val="17"/>
          <w:szCs w:val="17"/>
          <w:color w:val="auto"/>
        </w:rPr>
      </w:pPr>
    </w:p>
    <w:p>
      <w:pPr>
        <w:ind w:left="660" w:right="2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25"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believe that, based upon our experience and industry data, claims incidence for mortgage insurance is generally highest in the third through sixth years after loan origination. Although the claims experience on new insurance written by us since we began to write coverage in 2010 has been favorable to date,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70"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7" w:name="page38"/>
    <w:bookmarkEnd w:id="37"/>
    <w:p>
      <w:pPr>
        <w:ind w:right="340"/>
        <w:spacing w:after="0" w:line="277" w:lineRule="auto"/>
        <w:rPr>
          <w:sz w:val="20"/>
          <w:szCs w:val="20"/>
          <w:color w:val="auto"/>
        </w:rPr>
      </w:pPr>
      <w:r>
        <w:rPr>
          <w:rFonts w:ascii="Arial" w:cs="Arial" w:eastAsia="Arial" w:hAnsi="Arial"/>
          <w:sz w:val="18"/>
          <w:szCs w:val="18"/>
          <w:color w:val="auto"/>
        </w:rPr>
        <w:t>under our policies in force at any period end is not reflected in our financial statements, except in the case where a premium deficiency exists. As a result, future losses may have a material impact on future results as defaults occur.</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4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3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8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spacing w:after="0" w:line="173"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The Dodd-Frank Act separately granted statutory authority to HUD (for FHA-insured loans), the VA (for VA-guaranteed loans) and certain other government agency insurance programs to develop their own definitions of a qualified mortgage in consultation with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8" w:name="page39"/>
    <w:bookmarkEnd w:id="38"/>
    <w:p>
      <w:pPr>
        <w:ind w:right="20"/>
        <w:spacing w:after="0" w:line="264" w:lineRule="auto"/>
        <w:rPr>
          <w:sz w:val="20"/>
          <w:szCs w:val="20"/>
          <w:color w:val="auto"/>
        </w:rPr>
      </w:pPr>
      <w:r>
        <w:rPr>
          <w:rFonts w:ascii="Arial" w:cs="Arial" w:eastAsia="Arial" w:hAnsi="Arial"/>
          <w:sz w:val="18"/>
          <w:szCs w:val="18"/>
          <w:color w:val="auto"/>
        </w:rPr>
        <w:t>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8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or the Rural Housing Service. The second temporary category still requires that loans satisfy certain criteria, including the requirement that the loans are fully amortizing, have terms of 30 years or less and have points and fees representing 3% or less of the total loan amount. This temporary QM category expires on January 10, 2021, or earlier if the Federal agencies issue their own qualified mortgage rules or, with respect to GSEs, if the FHFA's conservatorship ends.</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Dodd-Frank Act's risk retention requirements and the definition of Qualified Residential Mortgage ("QRM").</w:t>
      </w:r>
    </w:p>
    <w:p>
      <w:pPr>
        <w:spacing w:after="0" w:line="17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implementation of the Basel III Capital Accord, or other changes to our customers' capital requirements, may discourage the use of mortgage insurance.</w:t>
      </w:r>
    </w:p>
    <w:p>
      <w:pPr>
        <w:spacing w:after="0" w:line="170"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19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 insurance.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1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9" w:name="page40"/>
    <w:bookmarkEnd w:id="39"/>
    <w:p>
      <w:pPr>
        <w:ind w:right="20"/>
        <w:spacing w:after="0" w:line="279" w:lineRule="auto"/>
        <w:rPr>
          <w:sz w:val="20"/>
          <w:szCs w:val="20"/>
          <w:color w:val="auto"/>
        </w:rPr>
      </w:pPr>
      <w:r>
        <w:rPr>
          <w:rFonts w:ascii="Arial" w:cs="Arial" w:eastAsia="Arial" w:hAnsi="Arial"/>
          <w:sz w:val="17"/>
          <w:szCs w:val="17"/>
          <w:color w:val="auto"/>
        </w:rPr>
        <w:t>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investment portfolio consists predominantly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87" w:lineRule="exact"/>
        <w:rPr>
          <w:sz w:val="20"/>
          <w:szCs w:val="20"/>
          <w:color w:val="auto"/>
        </w:rPr>
      </w:pPr>
    </w:p>
    <w:p>
      <w:pPr>
        <w:jc w:val="both"/>
        <w:ind w:right="180" w:firstLine="432"/>
        <w:spacing w:after="0" w:line="255"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93"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4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84.9%, 83.9% and 77.7% at December 31, 2018, 2017 and 2016, respectively. The factors affecting the persistency of our insurance portfolio include:</w:t>
      </w:r>
    </w:p>
    <w:p>
      <w:pPr>
        <w:spacing w:after="0" w:line="187" w:lineRule="exact"/>
        <w:rPr>
          <w:sz w:val="20"/>
          <w:szCs w:val="20"/>
          <w:color w:val="auto"/>
        </w:rPr>
      </w:pPr>
    </w:p>
    <w:p>
      <w:pPr>
        <w:ind w:left="660" w:right="68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170" w:lineRule="exact"/>
        <w:rPr>
          <w:rFonts w:ascii="Arial" w:cs="Arial" w:eastAsia="Arial" w:hAnsi="Arial"/>
          <w:sz w:val="18"/>
          <w:szCs w:val="18"/>
          <w:color w:val="auto"/>
        </w:rPr>
      </w:pPr>
    </w:p>
    <w:p>
      <w:pPr>
        <w:ind w:left="660" w:right="2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70" w:lineRule="exact"/>
        <w:rPr>
          <w:rFonts w:ascii="Arial" w:cs="Arial" w:eastAsia="Arial" w:hAnsi="Arial"/>
          <w:sz w:val="18"/>
          <w:szCs w:val="18"/>
          <w:color w:val="auto"/>
        </w:rPr>
      </w:pPr>
    </w:p>
    <w:p>
      <w:pPr>
        <w:ind w:left="660" w:right="54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170" w:lineRule="exact"/>
        <w:rPr>
          <w:rFonts w:ascii="Arial" w:cs="Arial" w:eastAsia="Arial" w:hAnsi="Arial"/>
          <w:sz w:val="18"/>
          <w:szCs w:val="18"/>
          <w:color w:val="auto"/>
        </w:rPr>
      </w:pPr>
    </w:p>
    <w:p>
      <w:pPr>
        <w:ind w:left="660" w:right="4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70" w:lineRule="exact"/>
        <w:rPr>
          <w:rFonts w:ascii="Arial" w:cs="Arial" w:eastAsia="Arial" w:hAnsi="Arial"/>
          <w:sz w:val="18"/>
          <w:szCs w:val="18"/>
          <w:color w:val="auto"/>
        </w:rPr>
      </w:pPr>
    </w:p>
    <w:p>
      <w:pPr>
        <w:ind w:left="660" w:right="44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584" w:right="279" w:bottom="1440" w:gutter="0" w:footer="0" w:header="0"/>
        </w:sectPr>
      </w:pPr>
    </w:p>
    <w:bookmarkStart w:id="40" w:name="page41"/>
    <w:bookmarkEnd w:id="40"/>
    <w:p>
      <w:pPr>
        <w:ind w:right="40" w:firstLine="432"/>
        <w:spacing w:after="0" w:line="286" w:lineRule="auto"/>
        <w:rPr>
          <w:sz w:val="20"/>
          <w:szCs w:val="20"/>
          <w:color w:val="auto"/>
        </w:rPr>
      </w:pPr>
      <w:r>
        <w:rPr>
          <w:rFonts w:ascii="Arial" w:cs="Arial" w:eastAsia="Arial" w:hAnsi="Arial"/>
          <w:sz w:val="17"/>
          <w:szCs w:val="17"/>
          <w:color w:val="auto"/>
        </w:rPr>
        <w:t>Mortgage interest rates have risen in the past few years from the near historic lows experienced in the wake of the 2007 - 2008 financial crisis, and may continue to rise in response to future changes in monetary policy by the Federal Reserve. If interest rates rise, persistency is likely to increase, which may extend the average life of our insured portfolio and result in higher levels of future claims as more loans remain outstanding.</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7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25" w:lineRule="exact"/>
        <w:rPr>
          <w:sz w:val="20"/>
          <w:szCs w:val="20"/>
          <w:color w:val="auto"/>
        </w:rPr>
      </w:pPr>
    </w:p>
    <w:p>
      <w:pPr>
        <w:jc w:val="both"/>
        <w:ind w:right="360" w:firstLine="432"/>
        <w:spacing w:after="0" w:line="288"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w:t>
      </w:r>
    </w:p>
    <w:p>
      <w:pPr>
        <w:spacing w:after="0"/>
        <w:rPr>
          <w:sz w:val="20"/>
          <w:szCs w:val="20"/>
          <w:color w:val="auto"/>
        </w:rPr>
      </w:pPr>
      <w:r>
        <w:rPr>
          <w:rFonts w:ascii="Arial" w:cs="Arial" w:eastAsia="Arial" w:hAnsi="Arial"/>
          <w:sz w:val="16"/>
          <w:szCs w:val="16"/>
          <w:color w:val="auto"/>
        </w:rPr>
        <w:t>Accordingly, we have assumed some risk in connection with providing these services. We also face regulatory and litigation risk in providing these services.</w:t>
      </w:r>
    </w:p>
    <w:p>
      <w:pPr>
        <w:spacing w:after="0" w:line="2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7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5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Financial strength ratings, which various ratings organizations publish as a measure of an insurance company's ability to meet contractholder and policyholder obligations, are important to maintain confidence in our products and our competitive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41" w:name="page42"/>
    <w:bookmarkEnd w:id="41"/>
    <w:p>
      <w:pPr>
        <w:ind w:right="40"/>
        <w:spacing w:after="0" w:line="257" w:lineRule="auto"/>
        <w:rPr>
          <w:sz w:val="20"/>
          <w:szCs w:val="20"/>
          <w:color w:val="auto"/>
        </w:rPr>
      </w:pPr>
      <w:r>
        <w:rPr>
          <w:rFonts w:ascii="Arial" w:cs="Arial" w:eastAsia="Arial" w:hAnsi="Arial"/>
          <w:sz w:val="18"/>
          <w:szCs w:val="18"/>
          <w:color w:val="auto"/>
        </w:rPr>
        <w:t>position. A downgrade in our financial strength ratings, or the announced potential for a downgrade, could have an adverse effect on our financial condition and results of operations in many ways, including: (i) 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Arial" w:cs="Arial" w:eastAsia="Arial" w:hAnsi="Arial"/>
          <w:sz w:val="18"/>
          <w:szCs w:val="18"/>
          <w:color w:val="auto"/>
        </w:rPr>
        <w:t>and "Business—Regulation—Direct 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Regulation—GSE Qualified Mortgage Insurer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2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48"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2" w:name="page43"/>
    <w:bookmarkEnd w:id="42"/>
    <w:p>
      <w:pPr>
        <w:ind w:right="140"/>
        <w:spacing w:after="0" w:line="277"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$166.8 million as of December 31, 2018, and paid to its parent, Essent US Holdings, Inc., a $40 million dividend in May 2018 which was used to pay outstanding indebtedness. In addition, Essent Guaranty of PA, Inc. had unassigned surplus of approximately $10.3 million as of December 31, 2018. For further information, see Note 11 to our consolidated financial statements entitled "Dividends Restrictions" included elsewhere in this Annual Report.</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 relief under insurance laws applicable to us and the regulations of the GSEs. Potential investors, lenders or reinsurers may be unable to provide us with financing or reinsurance that is attractive to us. Our access to such financing will depend, in part, on:</w:t>
      </w:r>
    </w:p>
    <w:p>
      <w:pPr>
        <w:spacing w:after="0" w:line="188"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cash flow;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principal capital demands include funds for (i) the expansion of our business, (ii) the payment of certain corporate operating expenses, (iii) capital support for our subsidiaries, and (iv) Federal, state and local taxes. We may need to provide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800" w:right="299" w:bottom="1440" w:gutter="0" w:footer="0" w:header="0"/>
        </w:sectPr>
      </w:pPr>
    </w:p>
    <w:bookmarkStart w:id="43" w:name="page44"/>
    <w:bookmarkEnd w:id="43"/>
    <w:p>
      <w:pPr>
        <w:ind w:right="60"/>
        <w:spacing w:after="0" w:line="264" w:lineRule="auto"/>
        <w:rPr>
          <w:sz w:val="20"/>
          <w:szCs w:val="20"/>
          <w:color w:val="auto"/>
        </w:rPr>
      </w:pPr>
      <w:r>
        <w:rPr>
          <w:rFonts w:ascii="Arial" w:cs="Arial" w:eastAsia="Arial" w:hAnsi="Arial"/>
          <w:sz w:val="18"/>
          <w:szCs w:val="18"/>
          <w:color w:val="auto"/>
        </w:rPr>
        <w:t>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collect all amounts due to us from reinsurers and reinsurance coverage may not be available to us in the future at commercially reasonable rates or at all.</w:t>
      </w:r>
    </w:p>
    <w:p>
      <w:pPr>
        <w:spacing w:after="0" w:line="1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have ceded to third-party reinsurers certain risk that we have insured in order to limit our maximum net loss arising in periods of elevated claims as well as to potentially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 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This, in turn, could have a material adverse effect on our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8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mortgage insurance industry is, and as a participant in that industry we are, subject to litigation and regulatory risk generally.</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mortgage insurance industry faces litigation risk in the ordinary course of operations, including the risk of class action lawsuits and administrative enforcement by Federal and state agencies. Litigation relating to capital markets transactions and securities-related matters in general has increased and is expected to continue to increase as a result of the recent financial crisis.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44" w:name="page45"/>
    <w:bookmarkEnd w:id="44"/>
    <w:p>
      <w:pPr>
        <w:ind w:right="40"/>
        <w:spacing w:after="0" w:line="268" w:lineRule="auto"/>
        <w:rPr>
          <w:sz w:val="20"/>
          <w:szCs w:val="20"/>
          <w:color w:val="auto"/>
        </w:rPr>
      </w:pPr>
      <w:r>
        <w:rPr>
          <w:rFonts w:ascii="Arial" w:cs="Arial" w:eastAsia="Arial" w:hAnsi="Arial"/>
          <w:sz w:val="17"/>
          <w:szCs w:val="17"/>
          <w:color w:val="auto"/>
        </w:rPr>
        <w:t>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70"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5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25" w:lineRule="exact"/>
        <w:rPr>
          <w:sz w:val="20"/>
          <w:szCs w:val="20"/>
          <w:color w:val="auto"/>
        </w:rPr>
      </w:pPr>
    </w:p>
    <w:p>
      <w:pPr>
        <w:ind w:right="340" w:firstLine="432"/>
        <w:spacing w:after="0" w:line="291" w:lineRule="auto"/>
        <w:rPr>
          <w:sz w:val="20"/>
          <w:szCs w:val="20"/>
          <w:color w:val="auto"/>
        </w:rPr>
      </w:pPr>
      <w:r>
        <w:rPr>
          <w:rFonts w:ascii="Arial" w:cs="Arial" w:eastAsia="Arial" w:hAnsi="Arial"/>
          <w:sz w:val="16"/>
          <w:szCs w:val="16"/>
          <w:color w:val="auto"/>
        </w:rPr>
        <w:t xml:space="preserve">The NAIC examines existing state insurance laws and regulations in the United States. During 2012, the NAIC established a Mortgage Guaranty Insurance Working Group, which we refer to as the "MGIWG," to determine and make recommendations to the NAIC's Financial Condition Committee including, but not limited to, revisions to </w:t>
      </w:r>
      <w:r>
        <w:rPr>
          <w:rFonts w:ascii="Arial" w:cs="Arial" w:eastAsia="Arial" w:hAnsi="Arial"/>
          <w:sz w:val="16"/>
          <w:szCs w:val="16"/>
          <w:i w:val="1"/>
          <w:iCs w:val="1"/>
          <w:color w:val="auto"/>
        </w:rPr>
        <w:t>Statement of Statutory Accounting Principles (SSAP) No. 58 - Mortgage Guaranty Insurance</w:t>
      </w:r>
      <w:r>
        <w:rPr>
          <w:rFonts w:ascii="Arial" w:cs="Arial" w:eastAsia="Arial" w:hAnsi="Arial"/>
          <w:sz w:val="16"/>
          <w:szCs w:val="16"/>
          <w:color w:val="auto"/>
        </w:rPr>
        <w:t>. The MGIWG has advanced a draft revised Mortgage Guaranty Insurance Model Act and is overseeing the work of a consultant on the testing and finalization of a proposed risk-based mortgage guaranty capital model and plans to finalize the Model Act by August 2019. If the NAIC were to adopt a revised Mortgage Guaranty Insurance Model Act,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8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Our primary reinsurance subsidiary, Essent Reinsurance Ltd., is a registered Bermuda Class 3A insurer pursuant to Section 4 of the Insurance Act 1978. As such, it is subject to regulation and supervision in Bermuda and is not licensed or 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5" w:name="page46"/>
    <w:bookmarkEnd w:id="45"/>
    <w:p>
      <w:pPr>
        <w:jc w:val="both"/>
        <w:ind w:right="180"/>
        <w:spacing w:after="0" w:line="264" w:lineRule="auto"/>
        <w:rPr>
          <w:sz w:val="20"/>
          <w:szCs w:val="20"/>
          <w:color w:val="auto"/>
        </w:rPr>
      </w:pPr>
      <w:r>
        <w:rPr>
          <w:rFonts w:ascii="Arial" w:cs="Arial" w:eastAsia="Arial" w:hAnsi="Arial"/>
          <w:sz w:val="18"/>
          <w:szCs w:val="18"/>
          <w:color w:val="auto"/>
        </w:rPr>
        <w:t>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18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181"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144" w:lineRule="exact"/>
        <w:rPr>
          <w:sz w:val="20"/>
          <w:szCs w:val="20"/>
          <w:color w:val="auto"/>
        </w:rPr>
      </w:pPr>
    </w:p>
    <w:p>
      <w:pPr>
        <w:jc w:val="both"/>
        <w:ind w:right="100" w:firstLine="405"/>
        <w:spacing w:after="0" w:line="288" w:lineRule="auto"/>
        <w:rPr>
          <w:sz w:val="20"/>
          <w:szCs w:val="20"/>
          <w:color w:val="auto"/>
        </w:rPr>
      </w:pPr>
      <w:r>
        <w:rPr>
          <w:rFonts w:ascii="Arial" w:cs="Arial" w:eastAsia="Arial" w:hAnsi="Arial"/>
          <w:sz w:val="16"/>
          <w:szCs w:val="16"/>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and dividends paid from U.S. subsidiaries) on their income.</w:t>
      </w:r>
    </w:p>
    <w:p>
      <w:pPr>
        <w:ind w:right="20"/>
        <w:spacing w:after="0" w:line="290" w:lineRule="auto"/>
        <w:rPr>
          <w:sz w:val="20"/>
          <w:szCs w:val="20"/>
          <w:color w:val="auto"/>
        </w:rPr>
      </w:pPr>
      <w:r>
        <w:rPr>
          <w:rFonts w:ascii="Arial" w:cs="Arial" w:eastAsia="Arial" w:hAnsi="Arial"/>
          <w:sz w:val="16"/>
          <w:szCs w:val="16"/>
          <w:color w:val="auto"/>
        </w:rPr>
        <w:t>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16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Tax Cuts and Jobs Act of 2017 (“TCJA”) contains substantial law changes to the CFC rules, and such changes could impact our shareholders under certain circumstances summarized below.</w:t>
      </w:r>
    </w:p>
    <w:p>
      <w:pPr>
        <w:spacing w:after="0" w:line="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If you are a "10% U.S. Shareholder" of a non-U.S. corporation defined to be a "U.S. Person" (as defined below) who owns (directly, or indirectly through non-U.S. entities) or ("constructively," as defined below) at least 10% of the total combined value or voting power of all classes of stock own shares in such non-U.S. corporation directly or indirectly through non-U.S. entities on the last day of the non-U.S. corporation's taxable year, and such non-U.S. corporation is a CFC at any time during that taxable year, you must include in your gross income for U.S. Federal income tax purposes your pro rata share of the CFC's "subpart F income," even if the subpart F income is not distributed. Also, due to attribution rule changes contained in TCJA, the Company believes that, based upon ownership of its U.S. subsidiaries, its foreign reinsurer (Essent Reinsurance Ltd.), and foreign intermediate holding company (Essent Irish Intermediate Holdings Ltd.) will both be deemed CFC’s.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9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1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89"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9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U.S. Persons who dispose of our shares may be subject to U.S. Federal income taxation at the rates applicable to dividends on a portion of such disposition.</w:t>
      </w:r>
    </w:p>
    <w:p>
      <w:pPr>
        <w:spacing w:after="0" w:line="89"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and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might have retroactive effect. The U.S. Treasury has authority to impose, among other things, additional reporting requirements with respect to RPII.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meaning of the RPII provisions and the application thereof to us is uncertain.</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8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TCJA contains substantial law changes to the PFIC rules, and such changes could impact our shareholders under certain circumstances summarized below.</w:t>
      </w:r>
    </w:p>
    <w:p>
      <w:pPr>
        <w:spacing w:after="0" w:line="89"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Due to changes to the PFIC rules contained in the TCJA, we believe that Essent Reinsurance Ltd. will be deemed a PFIC, and any U.S. Person owning shares in the company could be subject to adverse tax consequences.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Also, if future tax law changes redefine whom may be considered a “U.S. Person” subject to PFIC income inclusion,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88"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believe that Essent Group Ltd. is not, has not been, and currently does not expect to become, a PFIC for U.S. Federal income tax purposes. Proposed regulations are currently being drafted by the IRS regarding the PFIC changes from TCJA, which may include changes to the definition of “U.S. Person” subject to PFIC income inclusions to include “indirect” or “downstream” foreign subsidiaries such as Essent Reinsurance Ltd. and/or changes to domestic subsidiary look-through rules. There can be no assurance that such new regulations when adopted will not adversely impact Essent Group Ltd.'s PFIC status. If Essent Group Ltd. were considered a PFIC, it would have material adverse tax consequences for an investor that is subject to U.S. Federal income taxation.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4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14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4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14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It is possible that legislation could be introduced and enacted by the current Congress or future Congresses that could have an adverse impact on us or holders of our common shares. It is also possible that Treasury Regulations, and/or IRS administrative rulings could be written under the TCJA that could have an adverse impact on the Company or the holders of our common shares. Specifically, as discussed above, new Treasury Regulations addressing TCJA changes to the PFIC rules could cause a U.S. Person to be subject to PFIC income inclusion from an indirectly owned foreign subsidiary. We cannot be certain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8" w:name="page49"/>
    <w:bookmarkEnd w:id="48"/>
    <w:p>
      <w:pPr>
        <w:ind w:right="780"/>
        <w:spacing w:after="0" w:line="277" w:lineRule="auto"/>
        <w:rPr>
          <w:sz w:val="20"/>
          <w:szCs w:val="20"/>
          <w:color w:val="auto"/>
        </w:rPr>
      </w:pPr>
      <w:r>
        <w:rPr>
          <w:rFonts w:ascii="Arial" w:cs="Arial" w:eastAsia="Arial" w:hAnsi="Arial"/>
          <w:sz w:val="18"/>
          <w:szCs w:val="18"/>
          <w:color w:val="auto"/>
        </w:rPr>
        <w:t>if, when or in what form such Treasury Regulations or IRS administrative pronouncements may be provided and whether such guidance will have a retroactive effect, and/or a negative impact upon an investor subject to U.S. taxation.</w:t>
      </w:r>
    </w:p>
    <w:p>
      <w:pPr>
        <w:spacing w:after="0" w:line="8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TCJA contains provisions intended to eliminate certain perceived tax advantages of companies (including insurance companies) that have legal domiciles outside the United States but have certain affiliate transactions, U.S. connections, and/or United States persons investing in such companies. For example, the TCJA includes a base erosion anti-abuse tax or “BEAT” that could make certain levels of affiliate reinsurance between United States and non-U.S. members of our group economically unfeasible. Although we are not currently impacted by BEAT, there can be no assurance that changes to future taxable income calculations or future changes to BEAT will not have a negative impact on us. Further, it is possible that other legislation could be introduced and enacted by the current Congress or future Congresses that could adversely impact 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70"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12, 2019, we had 98,287,957 outstanding common shares. In the future, we may issue additional common shares or other equity or debt securities convertible into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9" w:name="page50"/>
    <w:bookmarkEnd w:id="49"/>
    <w:p>
      <w:pPr>
        <w:ind w:right="340"/>
        <w:spacing w:after="0" w:line="308" w:lineRule="auto"/>
        <w:rPr>
          <w:sz w:val="20"/>
          <w:szCs w:val="20"/>
          <w:color w:val="auto"/>
        </w:rPr>
      </w:pPr>
      <w:r>
        <w:rPr>
          <w:rFonts w:ascii="Arial" w:cs="Arial" w:eastAsia="Arial" w:hAnsi="Arial"/>
          <w:sz w:val="17"/>
          <w:szCs w:val="17"/>
          <w:color w:val="auto"/>
        </w:rPr>
        <w:t>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not to date paid dividends on our common shares and your ability to achieve a return on your investment may depend on appreciation in the price of our common shares.</w:t>
      </w:r>
    </w:p>
    <w:p>
      <w:pPr>
        <w:spacing w:after="0" w:line="1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not to date declare and paid dividends on our share capital. We have historically retained all our earnings to fund our growth. The success of an investment in our common shares may therefore depend upon any future appreciation in their value. There is no guarantee that our common shares will appreciate in value or even maintain the price at which our shareholders have purchased their shares. Furthermore, our subsidiaries are restricted by state insurance laws and regulations from declaring dividends to us. See "—</w:t>
      </w:r>
      <w:r>
        <w:rPr>
          <w:rFonts w:ascii="Arial" w:cs="Arial" w:eastAsia="Arial" w:hAnsi="Arial"/>
          <w:sz w:val="16"/>
          <w:szCs w:val="16"/>
          <w:i w:val="1"/>
          <w:iCs w:val="1"/>
          <w:color w:val="auto"/>
        </w:rPr>
        <w:t>Our holding company structure and certain regulatory and other constraints,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adverse business performance, could negatively impact our liquidity and potentially require us to raise more capital.</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shares may have difficulty effecting service of process on us or enforcing judgments against us in the United States.</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persons who own our shares may have more difficulty in protecting their interests than U.S. persons who are shareholders of a U.S. corporation.</w:t>
      </w:r>
    </w:p>
    <w:p>
      <w:pPr>
        <w:spacing w:after="0" w:line="24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8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Interested Directors: </w:t>
      </w:r>
      <w:r>
        <w:rPr>
          <w:rFonts w:ascii="Arial" w:cs="Arial" w:eastAsia="Arial" w:hAnsi="Arial"/>
          <w:sz w:val="17"/>
          <w:szCs w:val="17"/>
          <w:color w:val="auto"/>
        </w:rPr>
        <w:t>Bermuda law provides that if a director has an interest in a material contract or proposed material contract with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66" w:lineRule="exact"/>
        <w:rPr>
          <w:sz w:val="20"/>
          <w:szCs w:val="20"/>
          <w:color w:val="auto"/>
        </w:rPr>
      </w:pPr>
    </w:p>
    <w:p>
      <w:pPr>
        <w:ind w:left="660" w:right="360" w:hanging="247"/>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46" w:lineRule="exact"/>
        <w:rPr>
          <w:rFonts w:ascii="Arial" w:cs="Arial" w:eastAsia="Arial" w:hAnsi="Arial"/>
          <w:sz w:val="17"/>
          <w:szCs w:val="17"/>
          <w:color w:val="auto"/>
        </w:rPr>
      </w:pPr>
    </w:p>
    <w:p>
      <w:pPr>
        <w:ind w:left="660" w:right="540" w:hanging="247"/>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50" w:name="page51"/>
    <w:bookmarkEnd w:id="50"/>
    <w:p>
      <w:pPr>
        <w:ind w:left="660" w:right="60" w:hanging="247"/>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18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2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4" w:right="25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shares were not "controlled shares" of the 9.5% U.S. Shareholder so long as such reallocation does not cause any person to become a 9.5% U.S. Shareholder.</w:t>
      </w:r>
    </w:p>
    <w:p>
      <w:pPr>
        <w:spacing w:after="0" w:line="2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7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7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securities will depend on market conditions and other factors beyond our control, and we cannot predict or estimate the amount, timing or nature of our future offerings.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4" w:right="279" w:bottom="1440" w:gutter="0" w:footer="0" w:header="0"/>
        </w:sectPr>
      </w:pPr>
    </w:p>
    <w:bookmarkStart w:id="53" w:name="page54"/>
    <w:bookmarkEnd w:id="53"/>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jc w:val="center"/>
        <w:ind w:right="9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lease office facilities in Radnor, Pennsylvania and additional offices in Winston-Salem, North Carolina, and Irvine, California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80" w:right="2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6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common shares trade on the New York Stock Exchange (NYSE) under the symbol "ESNT." As of February 12, 2019, we had approximately 11 holders of record of our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2018,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5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117475</wp:posOffset>
            </wp:positionV>
            <wp:extent cx="5848985" cy="2324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10/31/2013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12/31/2013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12/31/2014</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12/31/2015</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12/31/2016</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12/31/2017</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12/31/2018</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116.36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Peer Index</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101.24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133.32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166.77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173.37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152.23</w:t>
            </w:r>
          </w:p>
        </w:tc>
      </w:tr>
      <w:tr>
        <w:trPr>
          <w:trHeight w:val="27"/>
        </w:trPr>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104.24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162.76</w:t>
            </w:r>
          </w:p>
        </w:tc>
      </w:tr>
      <w:tr>
        <w:trPr>
          <w:trHeight w:val="27"/>
        </w:trPr>
        <w:tc>
          <w:tcPr>
            <w:tcW w:w="3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repurchase any of our common shares during the fourth quarter of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5" w:name="page56"/>
    <w:bookmarkEnd w:id="55"/>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1"/>
          </w:tcPr>
          <w:p>
            <w:pPr>
              <w:jc w:val="right"/>
              <w:ind w:right="231"/>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6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8"/>
        </w:trPr>
        <w:tc>
          <w:tcPr>
            <w:tcW w:w="336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Net premiums written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685,287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570,186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441,278</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gridSpan w:val="6"/>
          </w:tcPr>
          <w:p>
            <w:pPr>
              <w:jc w:val="right"/>
              <w:ind w:right="10"/>
              <w:spacing w:after="0"/>
              <w:rPr>
                <w:sz w:val="20"/>
                <w:szCs w:val="20"/>
                <w:color w:val="auto"/>
              </w:rPr>
            </w:pPr>
            <w:r>
              <w:rPr>
                <w:rFonts w:ascii="Arial" w:cs="Arial" w:eastAsia="Arial" w:hAnsi="Arial"/>
                <w:sz w:val="18"/>
                <w:szCs w:val="18"/>
                <w:color w:val="auto"/>
              </w:rPr>
              <w:t>370,568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276,778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Increase in unearned premiums</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(35,795)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(18,571)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w:t>
            </w:r>
          </w:p>
        </w:tc>
        <w:tc>
          <w:tcPr>
            <w:tcW w:w="0" w:type="dxa"/>
            <w:vAlign w:val="bottom"/>
          </w:tcPr>
          <w:p>
            <w:pPr>
              <w:spacing w:after="0"/>
              <w:rPr>
                <w:sz w:val="1"/>
                <w:szCs w:val="1"/>
                <w:color w:val="auto"/>
              </w:rPr>
            </w:pPr>
          </w:p>
        </w:tc>
      </w:tr>
      <w:tr>
        <w:trPr>
          <w:trHeight w:val="237"/>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649,492</w:t>
            </w: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530,130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422,707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326,471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223,229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40,226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27,890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19,885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Realized investment gains, net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gridSpan w:val="5"/>
          </w:tcPr>
          <w:p>
            <w:pPr>
              <w:jc w:val="right"/>
              <w:ind w:right="10"/>
              <w:spacing w:after="0"/>
              <w:rPr>
                <w:sz w:val="20"/>
                <w:szCs w:val="20"/>
                <w:color w:val="auto"/>
              </w:rPr>
            </w:pPr>
            <w:r>
              <w:rPr>
                <w:rFonts w:ascii="Arial" w:cs="Arial" w:eastAsia="Arial" w:hAnsi="Arial"/>
                <w:sz w:val="18"/>
                <w:szCs w:val="18"/>
                <w:color w:val="auto"/>
                <w:w w:val="88"/>
              </w:rPr>
              <w:t>2,554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w w:val="88"/>
              </w:rPr>
              <w:t>4,380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719,353</w:t>
            </w: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576,511</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458,258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353,290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239,467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Provision for losses and LAE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27,232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15,525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6"/>
          </w:tcPr>
          <w:p>
            <w:pPr>
              <w:jc w:val="right"/>
              <w:ind w:right="10"/>
              <w:spacing w:after="0"/>
              <w:rPr>
                <w:sz w:val="20"/>
                <w:szCs w:val="20"/>
                <w:color w:val="auto"/>
              </w:rPr>
            </w:pPr>
            <w:r>
              <w:rPr>
                <w:rFonts w:ascii="Arial" w:cs="Arial" w:eastAsia="Arial" w:hAnsi="Arial"/>
                <w:sz w:val="18"/>
                <w:szCs w:val="18"/>
                <w:color w:val="auto"/>
              </w:rPr>
              <w:t>11,905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5"/>
              </w:rPr>
              <w:t>Other underwriting and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150,900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145,533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130,425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112,987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97,232</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losses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172,654</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177,943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146,376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124,892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103,540</w:t>
            </w:r>
          </w:p>
        </w:tc>
        <w:tc>
          <w:tcPr>
            <w:tcW w:w="0" w:type="dxa"/>
            <w:vAlign w:val="bottom"/>
          </w:tcPr>
          <w:p>
            <w:pPr>
              <w:spacing w:after="0"/>
              <w:rPr>
                <w:sz w:val="1"/>
                <w:szCs w:val="1"/>
                <w:color w:val="auto"/>
              </w:rPr>
            </w:pPr>
          </w:p>
        </w:tc>
      </w:tr>
      <w:tr>
        <w:trPr>
          <w:trHeight w:val="237"/>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546,699</w:t>
            </w: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398,568</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311,882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228,398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135,927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79,336</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18,821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89,276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71,067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47,430</w:t>
            </w:r>
          </w:p>
        </w:tc>
        <w:tc>
          <w:tcPr>
            <w:tcW w:w="0" w:type="dxa"/>
            <w:vAlign w:val="bottom"/>
          </w:tcPr>
          <w:p>
            <w:pPr>
              <w:spacing w:after="0"/>
              <w:rPr>
                <w:sz w:val="1"/>
                <w:szCs w:val="1"/>
                <w:color w:val="auto"/>
              </w:rPr>
            </w:pPr>
          </w:p>
        </w:tc>
      </w:tr>
      <w:tr>
        <w:trPr>
          <w:trHeight w:val="297"/>
        </w:trPr>
        <w:tc>
          <w:tcPr>
            <w:tcW w:w="33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467,363</w:t>
            </w: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379,747</w:t>
            </w:r>
          </w:p>
        </w:tc>
        <w:tc>
          <w:tcPr>
            <w:tcW w:w="10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222,606</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157,331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88,497</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(EPS):</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520" w:type="dxa"/>
            <w:vAlign w:val="bottom"/>
            <w:gridSpan w:val="5"/>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Weighted average shares outstanding:</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97,403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90,913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90,351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97,974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95,211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92,245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6"/>
          </w:tcPr>
          <w:p>
            <w:pPr>
              <w:jc w:val="right"/>
              <w:ind w:right="10"/>
              <w:spacing w:after="0"/>
              <w:rPr>
                <w:sz w:val="20"/>
                <w:szCs w:val="20"/>
                <w:color w:val="auto"/>
              </w:rPr>
            </w:pPr>
            <w:r>
              <w:rPr>
                <w:rFonts w:ascii="Arial" w:cs="Arial" w:eastAsia="Arial" w:hAnsi="Arial"/>
                <w:sz w:val="18"/>
                <w:szCs w:val="18"/>
                <w:color w:val="auto"/>
              </w:rPr>
              <w:t>91,738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85,602</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6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Balance sheet data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58"/>
        </w:trPr>
        <w:tc>
          <w:tcPr>
            <w:tcW w:w="3360" w:type="dxa"/>
            <w:vAlign w:val="bottom"/>
            <w:gridSpan w:val="4"/>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2,791,018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2,305,565</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1,615,102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1,276,634</w:t>
            </w:r>
          </w:p>
        </w:tc>
        <w:tc>
          <w:tcPr>
            <w:tcW w:w="52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1,057,613</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64,946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43,524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27,531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24,606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24,411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3,149,971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2,674,368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1,882,998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1,469,099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1,181,461</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Reserve for losses and LAE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49,464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46,850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28,142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17,760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Unearned premium reserve</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295,467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259,672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219,616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201,045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156,948</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Credit facility borrowings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223,664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248,591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2,365,717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1,940,436</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1,343,773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1,119,241</w:t>
            </w:r>
          </w:p>
        </w:tc>
        <w:tc>
          <w:tcPr>
            <w:tcW w:w="52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955,738</w:t>
            </w: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6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Selected additional data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158"/>
        </w:trPr>
        <w:tc>
          <w:tcPr>
            <w:tcW w:w="3360" w:type="dxa"/>
            <w:vAlign w:val="bottom"/>
            <w:gridSpan w:val="4"/>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New insurance written(1)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47,508,525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color w:val="auto"/>
                <w:w w:val="97"/>
              </w:rPr>
              <w:t>43,858,322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34,949,319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5"/>
            <w:shd w:val="clear" w:color="auto" w:fill="CCEEFF"/>
          </w:tcPr>
          <w:p>
            <w:pPr>
              <w:jc w:val="right"/>
              <w:ind w:right="71"/>
              <w:spacing w:after="0"/>
              <w:rPr>
                <w:sz w:val="20"/>
                <w:szCs w:val="20"/>
                <w:color w:val="auto"/>
              </w:rPr>
            </w:pPr>
            <w:r>
              <w:rPr>
                <w:rFonts w:ascii="Arial" w:cs="Arial" w:eastAsia="Arial" w:hAnsi="Arial"/>
                <w:sz w:val="18"/>
                <w:szCs w:val="18"/>
                <w:color w:val="auto"/>
              </w:rPr>
              <w:t>26,193,656</w:t>
            </w:r>
          </w:p>
        </w:tc>
        <w:tc>
          <w:tcPr>
            <w:tcW w:w="520" w:type="dxa"/>
            <w:vAlign w:val="bottom"/>
            <w:tcBorders>
              <w:bottom w:val="single" w:sz="8" w:color="CCEEFF"/>
            </w:tcBorders>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0"/>
              </w:rPr>
              <w:t>24,799,434</w:t>
            </w:r>
          </w:p>
        </w:tc>
        <w:tc>
          <w:tcPr>
            <w:tcW w:w="0" w:type="dxa"/>
            <w:vAlign w:val="bottom"/>
          </w:tcPr>
          <w:p>
            <w:pPr>
              <w:spacing w:after="0"/>
              <w:rPr>
                <w:sz w:val="1"/>
                <w:szCs w:val="1"/>
                <w:color w:val="auto"/>
              </w:rPr>
            </w:pPr>
          </w:p>
        </w:tc>
      </w:tr>
      <w:tr>
        <w:trPr>
          <w:trHeight w:val="243"/>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Loss ratio(2)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 ratio(3)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1"/>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97"/>
        </w:trPr>
        <w:tc>
          <w:tcPr>
            <w:tcW w:w="33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Combined ratio</w:t>
            </w:r>
          </w:p>
        </w:tc>
        <w:tc>
          <w:tcPr>
            <w:tcW w:w="2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32.6%</w:t>
            </w:r>
          </w:p>
        </w:tc>
        <w:tc>
          <w:tcPr>
            <w:tcW w:w="100" w:type="dxa"/>
            <w:vAlign w:val="bottom"/>
            <w:tcBorders>
              <w:bottom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34.5%</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8"/>
                <w:szCs w:val="18"/>
                <w:color w:val="auto"/>
                <w:w w:val="90"/>
              </w:rPr>
              <w:t>38.3%</w:t>
            </w: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3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Return on average equity</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0"/>
              </w:rPr>
              <w:t>15.2%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715"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6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Insurance portfolio</w:t>
            </w:r>
          </w:p>
        </w:tc>
        <w:tc>
          <w:tcPr>
            <w:tcW w:w="280" w:type="dxa"/>
            <w:vAlign w:val="bottom"/>
          </w:tcPr>
          <w:p>
            <w:pPr>
              <w:spacing w:after="0"/>
              <w:rPr>
                <w:sz w:val="12"/>
                <w:szCs w:val="12"/>
                <w:color w:val="auto"/>
              </w:rPr>
            </w:pPr>
          </w:p>
        </w:tc>
        <w:tc>
          <w:tcPr>
            <w:tcW w:w="12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8"/>
        </w:trPr>
        <w:tc>
          <w:tcPr>
            <w:tcW w:w="33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 in force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137,720,786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110,461,950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83,265,522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65,242,453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50,762,594</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Risk in force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33,892,869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27,443,985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20,627,317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16,073,174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12,227,270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Policies in force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608,135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496,477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375,898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297,437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229,721</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Loans in default</w:t>
            </w:r>
          </w:p>
        </w:tc>
        <w:tc>
          <w:tcPr>
            <w:tcW w:w="2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6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Insurance company capital</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60" w:type="dxa"/>
            <w:vAlign w:val="bottom"/>
            <w:gridSpan w:val="3"/>
            <w:shd w:val="clear" w:color="auto" w:fill="CCEEFF"/>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i w:val="1"/>
                <w:iCs w:val="1"/>
                <w:color w:val="auto"/>
              </w:rPr>
              <w:t>U.S. Mortgage Insurance Subsidiaries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Combined statutory capital(4)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1,886,929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1,528,869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1,144,279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913,182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705,890</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Risk-to-capital ratios: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Essent Guaranty of PA, Inc.</w:t>
            </w:r>
          </w:p>
        </w:tc>
        <w:tc>
          <w:tcPr>
            <w:tcW w:w="2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Combined(5)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Essent Reinsurance Ltd.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Stockholder's equity (GAAP basis)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798,612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662,819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401,273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220,178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155,123</w:t>
            </w:r>
          </w:p>
        </w:tc>
        <w:tc>
          <w:tcPr>
            <w:tcW w:w="0" w:type="dxa"/>
            <w:vAlign w:val="bottom"/>
          </w:tcPr>
          <w:p>
            <w:pPr>
              <w:spacing w:after="0"/>
              <w:rPr>
                <w:sz w:val="1"/>
                <w:szCs w:val="1"/>
                <w:color w:val="auto"/>
              </w:rPr>
            </w:pPr>
          </w:p>
        </w:tc>
      </w:tr>
      <w:tr>
        <w:trPr>
          <w:trHeight w:val="270"/>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Net risk in force(6)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8,265,763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6,299,437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4,181,737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2,364,692</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835,976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200" w:hanging="412"/>
        <w:spacing w:after="0" w:line="25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insurance written ("NIW") includes NIW on a flow basis (in which loans are insured in individual, loan-by-loan transactions) and bulk insurance that we write (in which each loan in a portfolio of loans is insured in a single transaction).</w:t>
      </w:r>
    </w:p>
    <w:p>
      <w:pPr>
        <w:spacing w:after="0" w:line="185"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losses and loss adjustment expenses ("LAE") by net premiums earned.</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by net premiums earned.</w:t>
      </w:r>
    </w:p>
    <w:p>
      <w:pPr>
        <w:spacing w:after="0" w:line="225" w:lineRule="exact"/>
        <w:rPr>
          <w:rFonts w:ascii="Arial" w:cs="Arial" w:eastAsia="Arial" w:hAnsi="Arial"/>
          <w:sz w:val="18"/>
          <w:szCs w:val="18"/>
          <w:color w:val="auto"/>
        </w:rPr>
      </w:pPr>
    </w:p>
    <w:p>
      <w:pPr>
        <w:ind w:left="420" w:right="100" w:hanging="412"/>
        <w:spacing w:after="0" w:line="286"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Combined statutory capital equals the sum of statutory capital of Essent Guaranty, Inc. plus Essent Guaranty of PA, Inc., after eliminating the impact of intercompany transactions. Statutory capital is computed based on accounting practices prescribed or permitted by the Pennsylvania Insurance Department and the National Association of Insurance Commissioners Accounting Practices and Procedures Manual.</w:t>
      </w:r>
    </w:p>
    <w:p>
      <w:pPr>
        <w:spacing w:after="0" w:line="165" w:lineRule="exact"/>
        <w:rPr>
          <w:rFonts w:ascii="Arial" w:cs="Arial" w:eastAsia="Arial" w:hAnsi="Arial"/>
          <w:sz w:val="17"/>
          <w:szCs w:val="17"/>
          <w:color w:val="auto"/>
        </w:rPr>
      </w:pPr>
    </w:p>
    <w:p>
      <w:pPr>
        <w:ind w:left="420" w:right="640"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Combined risk-to-capital ratio equals the sum of net risk in force of Essent Guaranty, Inc. and Essent Guaranty of PA, Inc. divided by combined statutory capital.</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risk in force represents total risk in force, net of reinsurance ceded and net of exposures on policies for which loss reserves have been established.</w:t>
      </w:r>
    </w:p>
    <w:p>
      <w:pPr>
        <w:spacing w:after="0" w:line="27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52</w:t>
      </w:r>
    </w:p>
    <w:p>
      <w:pPr>
        <w:sectPr>
          <w:pgSz w:w="11900" w:h="16838" w:orient="portrait"/>
          <w:cols w:equalWidth="0" w:num="1">
            <w:col w:w="11420"/>
          </w:cols>
          <w:pgMar w:left="240" w:top="806" w:right="239" w:bottom="1440" w:gutter="0" w:footer="0" w:header="0"/>
        </w:sectPr>
      </w:pPr>
    </w:p>
    <w:bookmarkStart w:id="57" w:name="page58"/>
    <w:bookmarkEnd w:id="57"/>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of Essent Guaranty is rated Baa1 with a stable outlook by Moody's Investors Service ("Moody's") and BBB+ with a stable outlook by S&amp;P Global Ratings ("S&amp;P"). On September 5, 2018, A.M. Best's Financial Strength Rating of A (Excellent) with a stable outlook was assigned to Essent Guaranty.</w:t>
      </w:r>
    </w:p>
    <w:p>
      <w:pPr>
        <w:spacing w:after="0" w:line="17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385 employees as of December 31, 2018. For the years ended December 31, 2018, 2017 and 2016, we generated new insurance written, or NIW, of approximately $47.5 billion, $43.9 billion and $34.9 billion, respectively. As of December 31, 2018, we had approximately $137.7 billion of insurance in force. Our top ten customers represented approximately 43.5%, 45.8% and 35.1% of our NIW on a flow basis for the years ended December 31, 2018, 2017 and 2016, respectively.</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December 31, 2018, Essent Re provided insurance or reinsurance relating to GSE risk share and other reinsurance transactions covering approximately $655.4 million of risk. Essent Re has also reinsured 25% of Essent Guaranty's GSE-eligible mortgage insurance NIW originated since July 1, 2014 under a quota share reinsurance agreement. The insurer financial strength rating of Essent Re is BBB+ with a stable outlook by S&amp;P. On September 5, 2018, A.M. Best's Financial Strength Rating of A (Excellent) with a stable outlook was assigned to Essent 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Because a substantial majority of our current and expected future business is the provision of mortgage insurance on loans sold to the GSEs, changes to the business practices of the GSEs or any regulation relating to the GSEs may impact our business and our results of operations. The Federal Housing Finance Agency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17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 In January 2018, the FHFA offered its own perspectives on housing finance reform in a communication to Congressional leaders, including a proposal to privatize the GSEs with an explicit guarantee from the U.S. Government for catastrophic losses on their mortgage-backed securities in return for fees paid into a reserve fund. See "Business—Regulation—Federal Mortgage-Related Laws and Regulations—Housing Finance Reform," "Risk Factors—Risks Relating to Our Business—</w:t>
      </w:r>
      <w:r>
        <w:rPr>
          <w:rFonts w:ascii="Arial" w:cs="Arial" w:eastAsia="Arial" w:hAnsi="Arial"/>
          <w:sz w:val="16"/>
          <w:szCs w:val="16"/>
          <w:i w:val="1"/>
          <w:iCs w:val="1"/>
          <w:color w:val="auto"/>
        </w:rPr>
        <w:t>Legislative or regulatory actions or decisions to change</w:t>
      </w:r>
      <w:r>
        <w:rPr>
          <w:rFonts w:ascii="Arial" w:cs="Arial" w:eastAsia="Arial" w:hAnsi="Arial"/>
          <w:sz w:val="16"/>
          <w:szCs w:val="16"/>
          <w:color w:val="auto"/>
        </w:rPr>
        <w:t xml:space="preserve"> </w:t>
      </w:r>
      <w:r>
        <w:rPr>
          <w:rFonts w:ascii="Arial" w:cs="Arial" w:eastAsia="Arial" w:hAnsi="Arial"/>
          <w:sz w:val="16"/>
          <w:szCs w:val="16"/>
          <w:i w:val="1"/>
          <w:iCs w:val="1"/>
          <w:color w:val="auto"/>
        </w:rPr>
        <w:t>the role of the GSEs in the U.S. housing market generally, or changes to the charters of the GSEs with regard to the use of credit enhancements generally and private mortgage insurance specifically, could reduce our revenues or adversely affect our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8" w:name="page59"/>
    <w:bookmarkEnd w:id="58"/>
    <w:p>
      <w:pPr>
        <w:ind w:right="300"/>
        <w:spacing w:after="0" w:line="264" w:lineRule="auto"/>
        <w:rPr>
          <w:sz w:val="20"/>
          <w:szCs w:val="20"/>
          <w:color w:val="auto"/>
        </w:rPr>
      </w:pPr>
      <w:r>
        <w:rPr>
          <w:rFonts w:ascii="Arial" w:cs="Arial" w:eastAsia="Arial" w:hAnsi="Arial"/>
          <w:sz w:val="18"/>
          <w:szCs w:val="18"/>
          <w:i w:val="1"/>
          <w:iCs w:val="1"/>
          <w:color w:val="auto"/>
        </w:rPr>
        <w:t>profitability and returns,</w:t>
      </w:r>
      <w:r>
        <w:rPr>
          <w:rFonts w:ascii="Arial" w:cs="Arial" w:eastAsia="Arial" w:hAnsi="Arial"/>
          <w:sz w:val="18"/>
          <w:szCs w:val="18"/>
          <w:color w:val="auto"/>
        </w:rPr>
        <w:t>" and "—</w:t>
      </w:r>
      <w:r>
        <w:rPr>
          <w:rFonts w:ascii="Arial" w:cs="Arial" w:eastAsia="Arial" w:hAnsi="Arial"/>
          <w:sz w:val="18"/>
          <w:szCs w:val="18"/>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8"/>
          <w:szCs w:val="18"/>
          <w:color w:val="auto"/>
        </w:rPr>
        <w:t>"</w:t>
      </w:r>
    </w:p>
    <w:p>
      <w:pPr>
        <w:spacing w:after="0" w:line="18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2018, Essent Guaranty, our GSE-approved mortgage insurance company, was in compliance with the PMIERs.</w:t>
      </w:r>
    </w:p>
    <w:p>
      <w:pPr>
        <w:spacing w:after="0" w:line="165"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The GSEs released the revised PMIERs ("PMIERs 2.0") on September 27, 2018 and have indicated that the PMIERs 2.0 framework will take effect on March 31, 2019. Essent expects to remain in full compliance with the existing and revised PMIERs, as applicable, prior to and after March 31, 2019.</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Dodd-Frank Act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QM Definition</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Dodd-Frank Act, the Consumer Financial Protection Bureau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Under the CFPB's final rule regarding QMs, which we refer to as the "QM Rule," a loan is deemed to be a QM if it has certain loan features, satisfies extensive documentation requirements and meets limitations on fees and points and APRs. 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 Persistency and Business Mix" and "Risk Factors—Risks Relating to Our Business—</w:t>
      </w:r>
      <w:r>
        <w:rPr>
          <w:rFonts w:ascii="Arial" w:cs="Arial" w:eastAsia="Arial" w:hAnsi="Arial"/>
          <w:sz w:val="16"/>
          <w:szCs w:val="16"/>
          <w:i w:val="1"/>
          <w:iCs w:val="1"/>
          <w:color w:val="auto"/>
        </w:rPr>
        <w:t>Our business prospects and operating results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impacted if, and to the extent that, the Consumer Financial Protection Bureau's ("CFPB") final rule defining a qualified mortgage ("QM") reduces the size of the origination market or creates incentives to use government mortgage insurance programs."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Dodd-Frank Act provides for an originator or issuer risk retention requirement on securitized mortgage loans that do not meet the definition of a QRM. 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"Business—Regulation—Federal Mortgage-Related Laws and Regulation—Dodd-Frank Act— Qualified Residential Mortgage Regulations—Risk Retention Requirements" and "Risk Factors—Risks Relating to Our Business—</w:t>
      </w:r>
      <w:r>
        <w:rPr>
          <w:rFonts w:ascii="Arial" w:cs="Arial" w:eastAsia="Arial" w:hAnsi="Arial"/>
          <w:sz w:val="16"/>
          <w:szCs w:val="16"/>
          <w:i w:val="1"/>
          <w:iCs w:val="1"/>
          <w:color w:val="auto"/>
        </w:rPr>
        <w:t>The amount of insurance</w:t>
      </w:r>
      <w:r>
        <w:rPr>
          <w:rFonts w:ascii="Arial" w:cs="Arial" w:eastAsia="Arial" w:hAnsi="Arial"/>
          <w:sz w:val="16"/>
          <w:szCs w:val="16"/>
          <w:color w:val="auto"/>
        </w:rPr>
        <w:t xml:space="preserve"> </w:t>
      </w:r>
      <w:r>
        <w:rPr>
          <w:rFonts w:ascii="Arial" w:cs="Arial" w:eastAsia="Arial" w:hAnsi="Arial"/>
          <w:sz w:val="16"/>
          <w:szCs w:val="16"/>
          <w:i w:val="1"/>
          <w:iCs w:val="1"/>
          <w:color w:val="auto"/>
        </w:rPr>
        <w:t>we write could be adversely affected by the Dodd-Frank Act's risk retention requirements and the definition of Qualified Residential Mortgage ("QRM")</w:t>
      </w:r>
      <w:r>
        <w:rPr>
          <w:rFonts w:ascii="Arial" w:cs="Arial" w:eastAsia="Arial" w:hAnsi="Arial"/>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9" w:name="page60"/>
    <w:bookmarkEnd w:id="59"/>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compete with the single-family mortgage insurance programs of the FHA, which is part of the Department of Housing and Urban Development. The most recent FHA report to Congress dated November 15, 2018 on the financial status of the FHA's Mutual Mortgage Insurance Fund, or MMIF, showed the capital reserve ratio of the MMIF at 2.76%,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 See "Risk Factors—Risks Relating to Our Business—</w:t>
      </w:r>
      <w:r>
        <w:rPr>
          <w:rFonts w:ascii="Arial" w:cs="Arial" w:eastAsia="Arial" w:hAnsi="Arial"/>
          <w:sz w:val="17"/>
          <w:szCs w:val="17"/>
          <w:i w:val="1"/>
          <w:iCs w:val="1"/>
          <w:color w:val="auto"/>
        </w:rPr>
        <w:t>The amount of insurance we may be able to</w:t>
      </w:r>
      <w:r>
        <w:rPr>
          <w:rFonts w:ascii="Arial" w:cs="Arial" w:eastAsia="Arial" w:hAnsi="Arial"/>
          <w:sz w:val="17"/>
          <w:szCs w:val="17"/>
          <w:color w:val="auto"/>
        </w:rPr>
        <w:t xml:space="preserve"> </w:t>
      </w:r>
      <w:r>
        <w:rPr>
          <w:rFonts w:ascii="Arial" w:cs="Arial" w:eastAsia="Arial" w:hAnsi="Arial"/>
          <w:sz w:val="17"/>
          <w:szCs w:val="17"/>
          <w:i w:val="1"/>
          <w:iCs w:val="1"/>
          <w:color w:val="auto"/>
        </w:rPr>
        <w:t>write could be adversely affected if lenders and investors select alternatives to private mortgage insurance.</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Reform</w:t>
      </w:r>
    </w:p>
    <w:p>
      <w:pPr>
        <w:spacing w:after="0" w:line="225"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On December 22, 2017, the “Tax Cuts and Jobs Act” (“TCJA”) was enacted. The provisions of TCJA include broad tax reforms that are applicable to the Company, including a reduction in the U.S. corporate tax rate from 35% to 21% effective January 1, 2018. This change in tax rates required us to remeasure our deferred tax assets and liabilities as of the enactment date resulting in a one-time $85.1 million income tax benefit in the accompanying consolidated statement of comprehensive income for the year ended December 31, 2017. In addition, TCJA includes a base erosion and anti-abuse tax (“BEAT”). The BEAT is an alternative tax which must be paid if it is greater than the Company's regular tax liability. This alternative base erosion tax, if applicable, may limit or eliminate the tax benefit associated with certain base erosion payments. Premiums ceded by Essent Guaranty under the quota share reinsurance agreement to Essent Re are considered base erosion payments under TCJA. The Company may be subject to the BEAT tax in future periods depending on the earnings of the Company’s U.S. insurance companies and the level of premiums ceded to Essent Re. See "Risk Factors—Risks Relating to Taxes—</w:t>
      </w:r>
      <w:r>
        <w:rPr>
          <w:rFonts w:ascii="Arial" w:cs="Arial" w:eastAsia="Arial" w:hAnsi="Arial"/>
          <w:sz w:val="16"/>
          <w:szCs w:val="16"/>
          <w:i w:val="1"/>
          <w:iCs w:val="1"/>
          <w:color w:val="auto"/>
        </w:rPr>
        <w:t>Proposed U.S. tax legislation could have an adverse impact on us or holders of our common shares.</w:t>
      </w:r>
      <w:r>
        <w:rPr>
          <w:rFonts w:ascii="Arial" w:cs="Arial" w:eastAsia="Arial" w:hAnsi="Arial"/>
          <w:sz w:val="16"/>
          <w:szCs w:val="16"/>
          <w:color w:val="auto"/>
        </w:rPr>
        <w:t>"</w:t>
      </w:r>
    </w:p>
    <w:p>
      <w:pPr>
        <w:spacing w:after="0" w:line="163" w:lineRule="exact"/>
        <w:rPr>
          <w:sz w:val="20"/>
          <w:szCs w:val="20"/>
          <w:color w:val="auto"/>
        </w:rPr>
      </w:pPr>
    </w:p>
    <w:p>
      <w:pPr>
        <w:jc w:val="center"/>
        <w:ind w:right="794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260" w:hanging="247"/>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00" w:hanging="247"/>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40" w:hanging="247"/>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right="200" w:hanging="247"/>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Prior to March 2018, we had not ceded any premiums under third-party reinsurance contracts. In 2018, Essent Guaranty entered into third-party reinsurance agreements. See Note 5 to our consolidated financial statements.</w:t>
      </w:r>
    </w:p>
    <w:p>
      <w:pPr>
        <w:spacing w:after="0" w:line="12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800" w:right="299" w:bottom="1440" w:gutter="0" w:footer="0" w:header="0"/>
        </w:sectPr>
      </w:pPr>
    </w:p>
    <w:bookmarkStart w:id="60" w:name="page61"/>
    <w:bookmarkEnd w:id="60"/>
    <w:p>
      <w:pPr>
        <w:ind w:right="120"/>
        <w:spacing w:after="0" w:line="286" w:lineRule="auto"/>
        <w:rPr>
          <w:sz w:val="20"/>
          <w:szCs w:val="20"/>
          <w:color w:val="auto"/>
        </w:rPr>
      </w:pPr>
      <w:r>
        <w:rPr>
          <w:rFonts w:ascii="Arial" w:cs="Arial" w:eastAsia="Arial" w:hAnsi="Arial"/>
          <w:sz w:val="17"/>
          <w:szCs w:val="17"/>
          <w:color w:val="auto"/>
        </w:rPr>
        <w:t>balance is immediately recognized as earned premium revenue. Substantially all of our single premium policies in force as of December 31, 2018 were non-refundable. Premiums collected on annual policies are recognized as net premiums earned on a straight-line basis over the year of coverage. For the year ended December 31, 2018, monthly and single premium policies comprised 84.7% and 15.3% of our NIW, respectively.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84.9% at December 31, 2018. Generally, higher prepayment speeds lead to lower persistency.</w:t>
      </w:r>
    </w:p>
    <w:p>
      <w:pPr>
        <w:spacing w:after="0" w:line="181"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December 31, 2018.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7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2019.</w:t>
      </w:r>
    </w:p>
    <w:p>
      <w:pPr>
        <w:spacing w:after="0" w:line="17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Other income also includes changes in the fair value of derivative instruments. Through June 30, 2016, the insurance and certain of the reinsurance policies issued by Essent Re in connection with Freddie Mac's Agency Credit Insurance Structure (ACIS) program were previously accounted for as derivatives under U.S. generally accepted accounting principles ("GAAP") with the fair value of these policies reported as an asset or liability and changes in the fair value of these policies reported in earnings. Changes in the fair value of these policies were impacted by changes in market observable factors. In the quarter ended September 30, 2016, these policies were amended and are now accounted for as insurance rather than as derivatives.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4" w:right="279" w:bottom="1440" w:gutter="0" w:footer="0" w:header="0"/>
        </w:sectPr>
      </w:pPr>
    </w:p>
    <w:bookmarkStart w:id="61" w:name="page62"/>
    <w:bookmarkEnd w:id="61"/>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40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400" w:hanging="247"/>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25" w:lineRule="exact"/>
        <w:rPr>
          <w:rFonts w:ascii="Arial" w:cs="Arial" w:eastAsia="Arial" w:hAnsi="Arial"/>
          <w:sz w:val="18"/>
          <w:szCs w:val="18"/>
          <w:color w:val="auto"/>
        </w:rPr>
      </w:pPr>
    </w:p>
    <w:p>
      <w:pPr>
        <w:ind w:left="660" w:right="80" w:hanging="247"/>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60" w:hanging="247"/>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79% of our IIF as of December 31, 2018 having been originated since January 1, 2016. As a result, based on historical industry performance, we expect the number of defaults and claims we experience, as well as our provision for losses and loss adjustment expenses, to increase as our portfolio seasons. See "—Mortgage Insurance Earnings and Cash Flow Cycle" below.</w:t>
      </w:r>
    </w:p>
    <w:p>
      <w:pPr>
        <w:spacing w:after="0" w:line="18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18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December 31, 2018, 79% of our IIF relates to business written since January 1, 2016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third quarter of 2017, certain regions of the U.S. experienced hurricanes which have impacted our insured portfolio’s performance. Loans in default identified as hurricane-related defaults resulting from those storms totaled 2,288 as of December 31, 2017. In the year ended December 31, 2018, 2,150 of the 2,288 defaults previously identified as hurricane-related cured. Based on our experience to date and prior industry experience, we expect the ultimate number of hurricane-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62" w:name="page63"/>
    <w:bookmarkEnd w:id="62"/>
    <w:p>
      <w:pPr>
        <w:ind w:right="60"/>
        <w:spacing w:after="0" w:line="259" w:lineRule="auto"/>
        <w:rPr>
          <w:sz w:val="20"/>
          <w:szCs w:val="20"/>
          <w:color w:val="auto"/>
        </w:rPr>
      </w:pPr>
      <w:r>
        <w:rPr>
          <w:rFonts w:ascii="Arial" w:cs="Arial" w:eastAsia="Arial" w:hAnsi="Arial"/>
          <w:sz w:val="18"/>
          <w:szCs w:val="18"/>
          <w:color w:val="auto"/>
        </w:rPr>
        <w:t>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most significant expense is compensation and benefits for our employees, which represented 60%, 63% and 64% of other underwriting and operating expenses for the years ended December 31, 2018, 2017 and 2016, respectively. Compensation and benefits expense includes base and incentive cash compensation, stock compensation expense, benefits and payroll taxes.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2019 as compared to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84"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From 2010, when we first began writing policies, through December 31, 2018, we have increased our NIW annually. We have also grown the number of customers who have approved us to provide mortgage insurance over this period, as well as increased our NIW from certain customers. The following table includes a summary of the change in our IIF for the years ended December 31, 2018, 2017 and 2016 for our U.S. mortgage insurance portfolio. In addition, this table includes our RIF at the end of each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110,461,950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83,265,522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65,242,453</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NIW</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47,508,525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43,858,322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34,949,319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(20,249,689)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(16,661,894)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(16,926,250)</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IIF,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137,720,786</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110,461,950</w:t>
            </w: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83,265,522</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IIF during the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123,361,264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96,039,418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72,970,600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RIF, end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33,892,869</w:t>
            </w:r>
          </w:p>
        </w:tc>
        <w:tc>
          <w:tcPr>
            <w:tcW w:w="80" w:type="dxa"/>
            <w:vAlign w:val="bottom"/>
          </w:tcPr>
          <w:p>
            <w:pPr>
              <w:spacing w:after="0"/>
              <w:rPr>
                <w:sz w:val="21"/>
                <w:szCs w:val="21"/>
                <w:color w:val="auto"/>
              </w:rPr>
            </w:pPr>
          </w:p>
        </w:tc>
        <w:tc>
          <w:tcPr>
            <w:tcW w:w="48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27,443,985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20,627,317</w:t>
            </w:r>
          </w:p>
        </w:tc>
      </w:tr>
      <w:tr>
        <w:trPr>
          <w:trHeight w:val="459"/>
        </w:trPr>
        <w:tc>
          <w:tcPr>
            <w:tcW w:w="6080" w:type="dxa"/>
            <w:vAlign w:val="bottom"/>
            <w:gridSpan w:val="2"/>
          </w:tcPr>
          <w:p>
            <w:pPr>
              <w:ind w:left="440"/>
              <w:spacing w:after="0"/>
              <w:rPr>
                <w:sz w:val="20"/>
                <w:szCs w:val="20"/>
                <w:color w:val="auto"/>
              </w:rPr>
            </w:pPr>
            <w:r>
              <w:rPr>
                <w:rFonts w:ascii="Arial" w:cs="Arial" w:eastAsia="Arial" w:hAnsi="Arial"/>
                <w:sz w:val="18"/>
                <w:szCs w:val="18"/>
                <w:color w:val="auto"/>
                <w:w w:val="98"/>
              </w:rPr>
              <w:t>The following is a summary of our IIF at December 31, 2018 by vintage:</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15"/>
        </w:trPr>
        <w:tc>
          <w:tcPr>
            <w:tcW w:w="6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45,850,221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37,850,574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27.5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25,252,309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13,410,795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9.7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8,257,561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2013 and prior</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7,099,326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5.2</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137,720,786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280" w:firstLine="432"/>
        <w:spacing w:after="0" w:line="293" w:lineRule="auto"/>
        <w:rPr>
          <w:sz w:val="20"/>
          <w:szCs w:val="20"/>
          <w:color w:val="auto"/>
        </w:rPr>
      </w:pPr>
      <w:r>
        <w:rPr>
          <w:rFonts w:ascii="Arial" w:cs="Arial" w:eastAsia="Arial" w:hAnsi="Arial"/>
          <w:sz w:val="16"/>
          <w:szCs w:val="16"/>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and (5) premiums ceded under third-party reinsurance agreements. For the years ended December 31, 2018, 2017 and 2016, our average net premium rate was 0.50%, 0.53% and 0.57%, respectively. In 2018, Essent Guaranty entered into third-party reinsurance agreements, and in June 2018, we announced a reduction in pricing on our published rates effective for future NIW. We anticipate that the continued use of third-party reinsurance and the announced pricing reductions on future NIW will reduce our average net premium rate in future periods.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96" w:right="239" w:bottom="1440" w:gutter="0" w:footer="0" w:header="0"/>
        </w:sectPr>
      </w:pPr>
    </w:p>
    <w:bookmarkStart w:id="64" w:name="page65"/>
    <w:bookmarkEnd w:id="64"/>
    <w:p>
      <w:pPr>
        <w:ind w:right="20"/>
        <w:spacing w:after="0" w:line="277" w:lineRule="auto"/>
        <w:rPr>
          <w:sz w:val="20"/>
          <w:szCs w:val="20"/>
          <w:color w:val="auto"/>
        </w:rPr>
      </w:pPr>
      <w:r>
        <w:rPr>
          <w:rFonts w:ascii="Arial" w:cs="Arial" w:eastAsia="Arial" w:hAnsi="Arial"/>
          <w:sz w:val="18"/>
          <w:szCs w:val="18"/>
          <w:color w:val="auto"/>
        </w:rPr>
        <w:t>insurance companies is computed based on accounting practices prescribed or permitted by the Pennsylvania Insurance Department. See additional discussion in "—Liquidity and Capital Resources—Insurance Company Capital."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2018, our combined net risk in force for our U.S. insurance companies was $26.2 billion and our combined statutory capital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 billion, resulting in a risk-to-capital ratio of 13.9 to 1. The amount of capital required varies in each jurisdiction in which we operate; however,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permitted risk-to-capital ratio is 25.0 to 1. State insurance regulators are currently examining their respective capital rules to determine whether,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financial crisis, changes are needed to more accurately assess mortgage insurers' ability to withstand stressful economic conditions.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capital metrics under which they assess and measure capital adequacy may change in the future. Independent of the state regulator and GSE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management continually assesses the risk of our insurance portfolio and current market and economic conditions to determine the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levels of capital to support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1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685,287</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570,186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441,278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649,492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530,130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422,707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719,353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576,511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458,258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150,900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145,533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130,425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172,654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177,943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146,376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546,699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311,882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79,336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18,821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89,276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467,363</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379,747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222,606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the Year Ended December 31, 2017</w:t>
      </w:r>
    </w:p>
    <w:p>
      <w:pPr>
        <w:spacing w:after="0" w:line="22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For the year ended December 31, 2018, we reported net income of $467.4 million, compared to net income of $379.7 million for the year ended December 31, 2017. The increase in our operating results in 2018 over 2017 was primarily due to the increase in net premiums earned associated with the growth of our IIF, the increase in net investment income and the decrease in the provision for losses and loss adjustment expense, partially offset by increases in other underwriting and operating expenses, interest expense and income taxes. The increase in income taxes is due largely to an $85.1 million income tax benefit recognized in 2017 associated with the one-time impact of the reduced U.S. statutory corporate income tax rate from 35% to 21%.</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premiums earned increased in the year ended December 31, 2018 by 23% compared to the year ended December 31, 2017 due to the increase in our average IIF from $96.0 billion in 2017 to $123.4 billion in 2018, partially offset by the decrease in the average net premium rate from 0.53% for the year ended December 31, 2017 to 0.50% for the year ended December 31, 2018. The decrease in the average net premium rate during the year ended December 31, 2018 is primarily due to premiums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5" w:name="page66"/>
    <w:bookmarkEnd w:id="65"/>
    <w:p>
      <w:pPr>
        <w:ind w:right="40"/>
        <w:spacing w:after="0" w:line="277" w:lineRule="auto"/>
        <w:rPr>
          <w:sz w:val="20"/>
          <w:szCs w:val="20"/>
          <w:color w:val="auto"/>
        </w:rPr>
      </w:pPr>
      <w:r>
        <w:rPr>
          <w:rFonts w:ascii="Arial" w:cs="Arial" w:eastAsia="Arial" w:hAnsi="Arial"/>
          <w:sz w:val="18"/>
          <w:szCs w:val="18"/>
          <w:color w:val="auto"/>
        </w:rPr>
        <w:t>ceded under third-party reinsurance agreements and a decrease in premiums earned on the cancellation of non-refundable single premium policies, along with changes in the mix of the mortgages we insure and changes in our pricing.</w:t>
      </w:r>
    </w:p>
    <w:p>
      <w:pPr>
        <w:spacing w:after="0" w:line="170"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Net premiums written increased in the year ended December 31, 2018 by 20% over the prior year. The increase was due primarily to the increase in average IIF for the year ended December 31, 2018 as compared to the year ended December 31, 2017, partially offset by the increase in premiums ceded under third-party reinsurance agreements in the year ended December 31, 2018.</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the year ended December 31, 2018, unearned premiums increased by $35.8 million as a result of net premiums written on single premium policies of $114.9 million which was partially offset by $79.1 million of unearned premium that was recognized in earnings during the year. In the year ended December 31, 2017, unearned premiums increased by $40.1 million as a result of net premiums written on single premium policies of $114.3 million which was partially offset by $74.2 million of unearned premium that was recognized in earnings during the year. Included in unearned premium recognized was $17.7 million and $23.2 million related to policy cancellations for the year ended December 31, 2018 and 2017,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41,935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1,019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66,926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42,954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40,226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increase in net investment income to $64.1 million for the year ended December 31, 2018 as compared to $40.2 million for the year ended December 31, 2017 was due to the increase in the weighted average balance of our investment portfolio and the increase in the pre-tax investment income yield. The average cash and investment portfolio balance increased to $2.6 billion during the year ended December 31, 2018 from $1.9 billion during the year ended December 31, 2017, primarily as a result of investing cash flows generated from operations and proceeds from the public offering of common shares completed in August 2017. The pre-tax investment income yield increased from 2.2% in the year ended December 31, 2017 to 2.6% in the year ended December 31, 2018 primarily due to an increase in market interest rates, an increase in the portion of our investment portfolio invested in spread and duration assets and higher yields on new investments. The pre-tax investment income yields are calculated based on amortized cost and exclude investment expenses. See "—Liquidity and Capital Resources" for further details of our investment portfolio.</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The decrease in the provision for losses and LAE in 2018 as compared to 2017 was primarily due to an increase in the number of previously identified insured loans in defaults that cured. At December 31, 2017, loans in default included 2,288 defaults we identified as hurricane-related defaults and in the fourth quarter of 2017, we provided reserves of $11.1 million for losses and LAE on these hurricane-related defaults. In the year ended December 31, 2018, 2,150 of the 2,288 defaults previously identified as hurricane-related cured. In the fourth quarter of 2018, we reduced the reserves on hurricane-related defaults by $9.9 million based on the performance to date and our expectations of the amount of ultimate losses on the remaining delinquencies.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30"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gridSpan w:val="2"/>
          </w:tcPr>
          <w:p>
            <w:pPr>
              <w:ind w:left="8780"/>
              <w:spacing w:after="0"/>
              <w:rPr>
                <w:sz w:val="20"/>
                <w:szCs w:val="20"/>
                <w:color w:val="auto"/>
              </w:rPr>
            </w:pPr>
            <w:r>
              <w:rPr>
                <w:rFonts w:ascii="Arial" w:cs="Arial" w:eastAsia="Arial" w:hAnsi="Arial"/>
                <w:sz w:val="14"/>
                <w:szCs w:val="14"/>
                <w:b w:val="1"/>
                <w:bCs w:val="1"/>
                <w:color w:val="auto"/>
                <w:w w:val="96"/>
              </w:rPr>
              <w:t>2018</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8,229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(9,226)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4,783</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decrease in the number of defaults at December 31, 2018 compared to December 31, 2017 was primarily due to the previously identified hurricane-related defaults that have cured, partially offset by new defaults resulting from the increase in our IIF and policies in force and further seasoning of our insurance portfolio.</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45,308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42,868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49,464</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46,850</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4,783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9.0</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increase in the average case reserve per default was primarily due to a decrease in the proportion of hurricane-related defaults in the default inventory at December 31, 2018 as compared to December 31, 2017. Based on our experience to date and prior industry experience, we expect the ultimate number of hurricane-related defaults that result in claims will be less than the default-to-claim experience of non-hurricane-related defaults. Accordingly, we applied a lower estimated claim rate to hurricane-related default notices than the claim rate we apply to other notices in our default inventory. Also contributing to the change in the average case reserve per default were changes in the composition (such as mark-to-market loan-to-value ratios, risk in force, and number of months past due) of the underlying loans in default and improvements in economic fundamentals.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year</w:t>
            </w:r>
          </w:p>
        </w:tc>
        <w:tc>
          <w:tcPr>
            <w:tcW w:w="38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38,178</w:t>
            </w:r>
          </w:p>
        </w:tc>
        <w:tc>
          <w:tcPr>
            <w:tcW w:w="0" w:type="dxa"/>
            <w:vAlign w:val="bottom"/>
          </w:tcPr>
          <w:p>
            <w:pPr>
              <w:spacing w:after="0"/>
              <w:rPr>
                <w:sz w:val="1"/>
                <w:szCs w:val="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year</w:t>
            </w:r>
          </w:p>
        </w:tc>
        <w:tc>
          <w:tcPr>
            <w:tcW w:w="3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7,651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year</w:t>
            </w:r>
          </w:p>
        </w:tc>
        <w:tc>
          <w:tcPr>
            <w:tcW w:w="3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Reserve for losses and LAE at end of year</w:t>
            </w:r>
          </w:p>
        </w:tc>
        <w:tc>
          <w:tcPr>
            <w:tcW w:w="346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49,464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46,850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340" w:type="dxa"/>
            <w:vAlign w:val="bottom"/>
            <w:vMerge w:val="restart"/>
          </w:tcPr>
          <w:p>
            <w:pPr>
              <w:jc w:val="right"/>
              <w:ind w:right="21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12,005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119,666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20,031</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72,222</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10,523</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20,419</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3,182</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45,308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215,489</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2017</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15,925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187,163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18,087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73,547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6,781</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11,139</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2,075</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42,868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274,204</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During the year ended December 31, 2018, the provision for losses and LAE was $11.6 million, comprised of $36.4 million of current year losses partially offset by $24.9 million of favorable prior years' loss development. During the year ended December 31, 2017, the provision for losses and LAE was $27.2 million, comprised of $38.2 million of current year losses partially offset by $10.9 million of favorable prior years' loss development. In 2018, the favorable prior years' loss development includes a $9.9 million reduction of loss and LAE reserves associated with hurricane-related defaults that cured. In both periods, the favorable prior years' loss development was the result of a re-estimation of amounts ultimately to be paid on prior year defaults in the default inventory, including the impact of previously identified defaults that cured.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Amount of claims paid</w:t>
            </w:r>
          </w:p>
        </w:tc>
        <w:tc>
          <w:tcPr>
            <w:tcW w:w="4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8,280</w:t>
            </w:r>
          </w:p>
        </w:tc>
      </w:tr>
      <w:tr>
        <w:trPr>
          <w:trHeight w:val="27"/>
        </w:trPr>
        <w:tc>
          <w:tcPr>
            <w:tcW w:w="36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675"/>
        </w:trPr>
        <w:tc>
          <w:tcPr>
            <w:tcW w:w="3660" w:type="dxa"/>
            <w:vAlign w:val="bottom"/>
          </w:tcPr>
          <w:p>
            <w:pPr>
              <w:spacing w:after="0"/>
              <w:rPr>
                <w:sz w:val="24"/>
                <w:szCs w:val="24"/>
                <w:color w:val="auto"/>
              </w:rPr>
            </w:pPr>
          </w:p>
        </w:tc>
        <w:tc>
          <w:tcPr>
            <w:tcW w:w="4220" w:type="dxa"/>
            <w:vAlign w:val="bottom"/>
          </w:tcPr>
          <w:p>
            <w:pPr>
              <w:jc w:val="right"/>
              <w:ind w:right="19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90,084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90,964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60,816</w:t>
            </w:r>
          </w:p>
        </w:tc>
        <w:tc>
          <w:tcPr>
            <w:tcW w:w="100" w:type="dxa"/>
            <w:vAlign w:val="bottom"/>
          </w:tcPr>
          <w:p>
            <w:pPr>
              <w:spacing w:after="0"/>
              <w:rPr>
                <w:sz w:val="21"/>
                <w:szCs w:val="21"/>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54,569</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37</w:t>
            </w:r>
          </w:p>
        </w:tc>
      </w:tr>
      <w:tr>
        <w:trPr>
          <w:trHeight w:val="27"/>
        </w:trPr>
        <w:tc>
          <w:tcPr>
            <w:tcW w:w="7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150,900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145,533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397</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jc w:val="both"/>
        <w:ind w:left="660" w:right="100" w:hanging="247"/>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Compensation and benefits decreased primarily due to a decrease in stock compensation expense associated with the full vesting of grants issued in 2013 and 2014, partially offset by an increase in payroll taxes associated with the vesting of these grants and increases in salaries, wages and bonus. Compensation and benefits includes salaries, wages and bonus, stock compensation expense, benefits and payroll taxes.</w:t>
      </w:r>
    </w:p>
    <w:p>
      <w:pPr>
        <w:spacing w:after="0" w:line="165" w:lineRule="exact"/>
        <w:rPr>
          <w:rFonts w:ascii="Arial" w:cs="Arial" w:eastAsia="Arial" w:hAnsi="Arial"/>
          <w:sz w:val="17"/>
          <w:szCs w:val="17"/>
          <w:color w:val="auto"/>
        </w:rPr>
      </w:pPr>
    </w:p>
    <w:p>
      <w:pPr>
        <w:ind w:left="660" w:right="4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For the year ended December 31, 2018, we incurred interest expense of $10.2 million as compared to $5.2 million for the year ended December 31, 2017. The increase was primarily due to an increase in the average amounts outstanding under the Credit Facility and an increase in the weighted average interest rate on amounts outstanding under the Credit Facility. For the year ended December 31, 2018, the average amount outstanding under the Credit Facility was $240.3 million as compared to $154.1 million for the year ended December 31, 2017. As of December 31, 2018 and 2017, the borrowings under the Credit Facility had a weighted average interest rate of 4.43% and 3.49%,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$79.3 million for the year ended December 31, 2018 compared to $18.8 million for the year ended December 31, 2017. Income tax expense for the year ended December 31, 2018 was calculated using an effective tax rate of 16.0% and includes $1.5 million of expense associated with accrual to return adjustments associated with the completion of the 2017 U.S. federal income tax return. For the year ended December 31, 2018, income tax expense was reduced by excess tax benefits associated with the vesting of common shares and common share units of $9.6 million. Income tax expense for the year ended December 31, 2017, was calculated using an effective tax rate of 26.9% and was reduced by $85.1 million of income tax benefits associated with the one-time impact of the reduced U.S. statutory corporate income tax rate on the company's net deferred tax liability position. Income tax expense for the year ended December 31, 2017 was also reduced by excess tax benefits associated with the vesting of common shares and common share units of $3.2 million. The tax effects associated with the vesting of common shares and common share units, the accrual to return adjustments associated with the completion of U.S. federal income tax returns and the income tax benefits associated with the one-time impact of the reduced U.S. statutory corporate income tax rate on the company's net deferred tax liability position are treated as discrete items in the reporting period in which they occur and are not considered in determining the annual effective tax rate. The decrease in the annual effective tax rate for 2018 reflects the reduction of the U.S. statutory corporate income tax rate from 35% to 21% and the portion of our consolidated earnings generated in Bermuda. Bermuda does not have a corporate income tax.</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and 2017, we concluded that it was more likely than not that our deferred tax assets would be realized.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For the year ended December 31, 2017, we reported net income of $379.7 million, compared to net income of $222.6 million for the year ended December 31, 2016. The increase in our operating results in 2017 over 2016 was primarily due to the increase in net premiums earned associated with the growth of our IIF, the increase in net investment income and the decrease in income taxes due largely to an $85.1 million income tax benefit associated with the one-time impact of the reduced U.S. corporate income tax rate on the company's net deferred tax liability position. These increases were partially offset by increases in other underwriting and operating expenses, the provision for losses and loss adjustment expenses and interest expense.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Net premiums earned increased in the year ended December 31, 2017 by 25% compared to the year ended December 31, 2016 primarily due to the increase in our average IIF from $73.0 billion in 2016 to $96.0 billion in 2017, partially offset by the decrease in average premium rate from 0.57% for the year ended December 31, 2016 to 0.53% for the year ended December 31, 2017. The decrease in the average premium rate during the year ended December 31, 2017 is due primarily to the decrease in premium earned on the cancellation of non-refundable single premium policies.</w:t>
      </w:r>
    </w:p>
    <w:p>
      <w:pPr>
        <w:spacing w:after="0" w:line="15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Net premiums written increased in the year ended December 31, 2017 by 29% over the prior year. The increase was due primarily to the increase in average IIF of 32% for the year ended December 31, 2017 as compared to the year ended December 31, 2016.</w:t>
      </w:r>
    </w:p>
    <w:p>
      <w:pPr>
        <w:spacing w:after="0" w:line="1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year ended December 31, 2017, unearned premiums increased by $40.1 million as a result of net premiums written on single premium policies of $114.3 million which was partially offset by $74.2 million of unearned premium that was recognized in earnings during the year. In the year ended December 31, 2016, unearned premiums increased by $18.6 million as a result of net premiums written on single premium policies of $99.4 million which was partially offset by $80.8 million of unearned premium that was recognized in earnings during the year. Included in unearned premium recognized was $23.2 million and $36.9 million related to policy cancellations for the year ended December 31, 2017 and 2016,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29,865</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142</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42,954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30,007</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27,890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increase in net investment income to $40.2 million for the year ended December 31, 2017 as compared to $27.9 million for the year ended December 31, 2016 was due to the increase in the weighted average balance of our investment portfolio and the increase in the pre-tax investment income yield. The average cash and investment portfolio balance increased to $1.9 billion during the year ended December 31, 2017 from $1.4 billion during the year ended December 31, 2016, primarily as a result of investing cash flows generated from operations, proceeds from the public offering of common shares completed in August and borrowings under our Credit Facility. The pre-tax investment income yield increased from 2.1% in the year ended December 31, 2016 to 2.2% in the year ended December 31, 2017 primarily due to the increase in the portion of our investment portfolio invested in spread and duration assets. The pre-tax investment income yields are calculated based on amortized cost and exclude investment expenses. See "—Liquidity and Capital Resources" for further details of our investment portfolio.</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and contract underwriting revenues. In 2016, other income also included changes in the fair value of the insurance and certain reinsurance policies issued by Essent Re under the ACIS program. These policies were amended in the three months ended September 30, 2016 and are accounted for as insurance rather than as derivatives subsequent to their amendment. The decrease in other income for the year ended December 31, 2017 as compared to the same period in 2016, was primarily due to the favorable net valuation adjustments recorded in 2016 associated with ACIS contracts formerly accounted for as insurance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0" w:right="25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rather than as derivatives, and the decrease in Triad service fees associated with the reduction in the number of Triad's mortgage insurance policies in force.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fees earned from Triad will continue to decrease over time as Triad's existing policies are cancelled.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increase in the provision for losses and LAE in 2017 as compared to 2016 was primarily due to the increase in the number of insured loans in default, partially offset by previously identified defaults that cured.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3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60" w:type="dxa"/>
            <w:vAlign w:val="bottom"/>
            <w:gridSpan w:val="2"/>
          </w:tcPr>
          <w:p>
            <w:pPr>
              <w:ind w:left="872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3,746</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(4,970)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1,757</w:t>
            </w:r>
          </w:p>
        </w:tc>
      </w:tr>
      <w:tr>
        <w:trPr>
          <w:trHeight w:val="27"/>
        </w:trPr>
        <w:tc>
          <w:tcPr>
            <w:tcW w:w="8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The increase in the number of defaults at December 31, 2017 compared to December 31, 2016 was primarily due to the increase in defaulted loans in the areas impacted by Hurricanes Harvey and Irma, as well as the increase in our IIF and policies in force, along with further seasoning of our insurance portfolio. In 2017, loans in default increased by a total of 3,026, including 2,288 defaults we identified as hurricane-related defaults.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42,868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25,758</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46,850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28,142</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1,757</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14.7</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7"/>
        </w:trPr>
        <w:tc>
          <w:tcPr>
            <w:tcW w:w="8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decrease in the average total reserve per default was primarily due to a lower total reserve per hurricane-related default. Based on prior industry experience, we expect the ultimate number of hurricane-related defaults that result in claims will be less than the default-to-claim experience of non-hurricane-related defaults. Accordingly, when establishing our loss reserves as of December 31, 2017, we applied a lower estimated claim rate to new default notices received in the fourth quarter of 2017 from the affected areas than the claim rate we apply to other notices in our default inventory. The reserve for losses and LAE on hurricane-related defaults was $11.1 million at December 31, 2017. Also contributing to the decrease in the average case reserve per default were changes in the composition (such as mark-to-market loan-to-value ratios, risk in force, and number of months past due) of the underlying loans in default and improvements in economic fundamentals.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71" w:name="page72"/>
    <w:bookmarkEnd w:id="71"/>
    <w:p>
      <w:pPr>
        <w:ind w:right="280" w:firstLine="432"/>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w w:val="97"/>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center"/>
              <w:ind w:right="53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Reserve for losses and LAE at beginning of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17,760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21,889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rPr>
              <w:t>Prior years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Incurred losses and LAE during the current year</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15,525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w w:val="93"/>
              </w:rPr>
              <w:t>Deduct payments for losses and LAE occurring in: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rPr>
              <w:t>Prior years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4,216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Loss and LAE payments during the current year</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5,143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gridSpan w:val="3"/>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46,850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28,142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RIF</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Three payments or less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15,925</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center"/>
              <w:ind w:left="36"/>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187,163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Four to eleven payments</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18,087</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73,547</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Twelve or more payments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6,781</w:t>
            </w:r>
          </w:p>
        </w:tc>
        <w:tc>
          <w:tcPr>
            <w:tcW w:w="1420" w:type="dxa"/>
            <w:vAlign w:val="bottom"/>
            <w:gridSpan w:val="4"/>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11,139</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Pending claims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2,075</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2,355</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case reserves</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42,868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274,204</w:t>
            </w:r>
          </w:p>
        </w:tc>
        <w:tc>
          <w:tcPr>
            <w:tcW w:w="142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4"/>
          </w:tcPr>
          <w:p>
            <w:pPr>
              <w:ind w:left="40"/>
              <w:spacing w:after="0"/>
              <w:rPr>
                <w:sz w:val="20"/>
                <w:szCs w:val="20"/>
                <w:color w:val="auto"/>
              </w:rPr>
            </w:pPr>
            <w:r>
              <w:rPr>
                <w:rFonts w:ascii="Arial" w:cs="Arial" w:eastAsia="Arial" w:hAnsi="Arial"/>
                <w:sz w:val="18"/>
                <w:szCs w:val="18"/>
                <w:color w:val="auto"/>
              </w:rPr>
              <w:t>LAE and other</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reserves for losses and LAE</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RIF</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Three payments or less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6,615</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center"/>
              <w:ind w:left="36"/>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50,737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Four to eleven payments</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11,505</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32,833</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Twelve or more payments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5,678</w:t>
            </w:r>
          </w:p>
        </w:tc>
        <w:tc>
          <w:tcPr>
            <w:tcW w:w="1420" w:type="dxa"/>
            <w:vAlign w:val="bottom"/>
            <w:gridSpan w:val="4"/>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9,575</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Pending claims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1,960</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2,272</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case reserves</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95,417</w:t>
            </w:r>
          </w:p>
        </w:tc>
        <w:tc>
          <w:tcPr>
            <w:tcW w:w="142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4"/>
          </w:tcPr>
          <w:p>
            <w:pPr>
              <w:ind w:left="40"/>
              <w:spacing w:after="0"/>
              <w:rPr>
                <w:sz w:val="20"/>
                <w:szCs w:val="20"/>
                <w:color w:val="auto"/>
              </w:rPr>
            </w:pPr>
            <w:r>
              <w:rPr>
                <w:rFonts w:ascii="Arial" w:cs="Arial" w:eastAsia="Arial" w:hAnsi="Arial"/>
                <w:sz w:val="18"/>
                <w:szCs w:val="18"/>
                <w:color w:val="auto"/>
              </w:rPr>
              <w:t>LAE and other</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gridSpan w:val="3"/>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reserves for losses and LAE</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year ended December 31, 2017, the provision for losses and LAE was $27.2 million, comprised of $38.2 million of current year losses partially offset by $10.9 million of favorable prior years' loss development. During the year ended December 31, 2016, the provision for losses and LAE was $15.5 million, comprised of $21.9 million of current year losses partially offset by $6.4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584" w:right="239" w:bottom="1440" w:gutter="0" w:footer="0" w:header="0"/>
          <w:type w:val="continuous"/>
        </w:sectPr>
      </w:pPr>
    </w:p>
    <w:bookmarkStart w:id="72" w:name="page73"/>
    <w:bookmarkEnd w:id="72"/>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154</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5,028</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90,964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84,044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54,569</w:t>
            </w:r>
          </w:p>
        </w:tc>
        <w:tc>
          <w:tcPr>
            <w:tcW w:w="120" w:type="dxa"/>
            <w:vAlign w:val="bottom"/>
          </w:tcPr>
          <w:p>
            <w:pPr>
              <w:spacing w:after="0"/>
              <w:rPr>
                <w:sz w:val="21"/>
                <w:szCs w:val="21"/>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46,381</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w:t>
            </w: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145,533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130,425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Number of employees at end of period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376</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20" w:hanging="247"/>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increases in the size of our workforce and stock compensation. Our workforce increased to 397 at December 31, 2017 from 366 at January 1, 2016, as additional employees were hired to support the growth in our business, primarily in our business development and operations functions.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Our subsidiaries in the United States file a consolidated U.S. Federal income tax return. Our income tax expense was$18.8 million for the year ended December 31, 2017 compared to $89.3 million for the year ended December 31, 2016. Income tax expense for the year ended December 31, 2017 was calculated using an effective tax rate of 26.9% and was reduced by $85.1 million of income tax benefits associated with the one-time impact of the reduced U.S. statutory corporate income tax rate on the company's net deferred tax liability position and $3.2 million of excess tax benefits associated with the vesting of common shares and common share units during the period as required by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(Topic 718), adopted on January 1, 2017. Prior to the adoption of ASU 2016-09, excess tax benefits were recognized in additional paid-in-capital. Our effective tax rate was 28.6% for the year ended 2016. During 2017, the proportion of our consolidated earnings generated in Bermuda increased as a result of insurance and reinsurance contracts executed with Freddie Mac and Fannie Mae and the quota share reinsurance agreement between Essent Guaranty and Essent Re. Bermuda does not have a corporate income tax.</w:t>
      </w:r>
    </w:p>
    <w:p>
      <w:pPr>
        <w:spacing w:after="0" w:line="182" w:lineRule="exact"/>
        <w:rPr>
          <w:sz w:val="20"/>
          <w:szCs w:val="20"/>
          <w:color w:val="auto"/>
        </w:rPr>
      </w:pPr>
    </w:p>
    <w:p>
      <w:pPr>
        <w:ind w:right="2600" w:firstLine="405"/>
        <w:spacing w:after="0" w:line="277" w:lineRule="auto"/>
        <w:rPr>
          <w:sz w:val="20"/>
          <w:szCs w:val="20"/>
          <w:color w:val="auto"/>
        </w:rPr>
      </w:pPr>
      <w:r>
        <w:rPr>
          <w:rFonts w:ascii="Arial" w:cs="Arial" w:eastAsia="Arial" w:hAnsi="Arial"/>
          <w:sz w:val="18"/>
          <w:szCs w:val="18"/>
          <w:color w:val="auto"/>
        </w:rPr>
        <w:t>At December 31, 2017 and 2016, we concluded that it was more likely than not that our deferred tax assets would be realized.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December 31, 2018, we had substantial liquidity with cash of $64.9 million, short-term investments of $154.4 million and fixed maturity investments of $2.6 billion. We also had $275 million available capacity under the revolving credit component of our Credit Facility, with $225 million of term borrowings outstanding under our Credit Facility. Borrowings under the Credit Facility contractually mature on May 17, 2021. At December 31, 2018, net cash and investments at the holding company were $78.4 million.</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May 2, 2018, we amended the Credit Facility to increase the committed capacity by $125 million to $500 million, including the issuance of $100 million of additional term loans, the proceeds of which were used to pay down borrowings outstanding under the revolving component of the Credit Facility. See Note 7 to our consolidated financial statements.</w:t>
      </w:r>
    </w:p>
    <w:p>
      <w:pPr>
        <w:spacing w:after="0" w:line="18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December 2014, Essent Guaranty became a member of the Federal Home Loan Bank of Pittsburgh (the “FHLBank”). In November 2018, Essent Guaranty entered into additional agreements with the FHLBank providing Essent Guaranty with secured borrowing capacity with the FHLBank. Such borrowings may be used by Essent Guaranty to provide supplemental liquidity. As of December 31, 2018, Essent Guaranty had no borrowings outstanding with the FHLBank.</w:t>
      </w:r>
    </w:p>
    <w:p>
      <w:pPr>
        <w:spacing w:after="0" w:line="187" w:lineRule="exact"/>
        <w:rPr>
          <w:sz w:val="20"/>
          <w:szCs w:val="20"/>
          <w:color w:val="auto"/>
        </w:rPr>
      </w:pPr>
    </w:p>
    <w:p>
      <w:pPr>
        <w:ind w:right="680" w:firstLine="432"/>
        <w:spacing w:after="0" w:line="308" w:lineRule="auto"/>
        <w:rPr>
          <w:sz w:val="20"/>
          <w:szCs w:val="20"/>
          <w:color w:val="auto"/>
        </w:rPr>
      </w:pPr>
      <w:r>
        <w:rPr>
          <w:rFonts w:ascii="Arial" w:cs="Arial" w:eastAsia="Arial" w:hAnsi="Arial"/>
          <w:sz w:val="17"/>
          <w:szCs w:val="17"/>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4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580" w:right="299" w:bottom="1440" w:gutter="0" w:footer="0" w:header="0"/>
        </w:sectPr>
      </w:pPr>
    </w:p>
    <w:bookmarkStart w:id="74" w:name="page75"/>
    <w:bookmarkEnd w:id="74"/>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increase in operating expenses.</w:t>
      </w:r>
    </w:p>
    <w:p>
      <w:pPr>
        <w:spacing w:after="0" w:line="225"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2018, Essent Guaranty, had unassigned surplus of approximately $166.8 million. During the year ended December 31, 2018, Essent Guaranty paid to its parent, Essent US Holdings, Inc. ("Essent Holdings"), a $40 million dividend which was used to repay the borrowings remaining under the revolving component of the Credit Facility. Essent Guaranty of PA, Inc. had unassigned surplus of approximately $10.3 million as of December 31, 2018.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December 31, 2018, Essent Re had total equity of $798.6 million. In connection with its insurance and reinsurance activities, Essent Re is required to maintain assets in trusts for the benefit of its contractual counterparties. See Note 3 to our consolidated financial statements. At December 31, 2018, our insurance subsidiaries were in compliance with these rules, regulations and agreements.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625,321</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368,573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274,559</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(546,905)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(690,142)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(365,316)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337,562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93,682</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in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21,422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15,993</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2,925</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300" w:firstLine="432"/>
        <w:spacing w:after="0" w:line="276" w:lineRule="auto"/>
        <w:rPr>
          <w:sz w:val="20"/>
          <w:szCs w:val="20"/>
          <w:color w:val="auto"/>
        </w:rPr>
      </w:pPr>
      <w:r>
        <w:rPr>
          <w:rFonts w:ascii="Arial" w:cs="Arial" w:eastAsia="Arial" w:hAnsi="Arial"/>
          <w:sz w:val="17"/>
          <w:szCs w:val="17"/>
          <w:color w:val="auto"/>
        </w:rPr>
        <w:t>Cash flow provided by operating activities totaled $625.3 million for the year ended December 31, 2018, as compared to $368.6 million for the year ended December 31, 2017 and $274.6 million for the year ended December 31, 2016. The increase in cash flow from operations of $256.7 million in 2018 was primarily a result of increases in premium collected and net investment income, and a net decrease in United States Mortgage Guaranty Tax and Loss Bonds (“T&amp;L Bonds”), partially offset by increases in expenses paid. The increase in cash flow from operations of $94.0 million in 2017 was primarily a result of increases in premium collected and net investment income, partially offset by increases in expenses paid.</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Cash flow used in investing activities totaled $546.9 million for the year ended December 31, 2018 and primarily related to investing cash flows from the business. Cash flow used in investing activities totaled $690.1 million for the year ended December 31, 2017 and $365.3 million for the year ended December 31, 2016 and primarily related to investing cash flows from the business, proceeds from the public offering of common shares in August 2017 and net increased borrowings under the Credit Facility in 2017 and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Cash flow used in financing activities totaled $57.0 million for the year ended December 31, 2018 and primarily related to treasury stock acquired from employees to satisfy tax withholding obligations and net repayments of borrowings under the Credit Facility. Cash flow provided by financing activities totaled $337.6 million for the year ended December 31, 2017 and primarily related to proceeds from the public offering of common shares completed in August 2017 and $150 million of net increased borrowings under the Credit Facility, partially offset by treasury stock acquired from employees to satisfy tax withholding obligations. Cash flow provided by financing activities totaled $93.7 million for the year ended December 31, 2016 and primarily related to the $100 million borrowing under the Credit Facility. The proceeds of this borrowing were contributed to Essent Re to support new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During the year ended December 31, 2018, Essent Holdings made capital contributions to Essent Guaranty of $15 million to support new and existing business and Essent Guaranty paid a dividend to Essent Holdings of $40 million which was used to repay the borrowings remaining under the revolving component of the Credit Facility. During the year ended December 31, 2017, Essent Holdings made capital contributions to Essent Guaranty of $125 million to support new and existing business.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combined risk-to-capital calculation for our U.S. insurance subsidiaries as of December 31, 2018 was as follows: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9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921,816</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Contingency reserves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965,113</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1,886,929</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Combined net risk in force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26,233,783</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For additional information regarding regulatory capital see Note 17 to our consolidated financial statements. Our combined statutory capital equals the sum of statutory capital of Essent Guaranty plus Essent Guaranty of PA, Inc., after eliminating the impact of intercompany transactions. The combined risk-to-capital ratio equals the sum of the net risk in force of Essent Guaranty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Essent Re also executed a quota share reinsurance transaction with Essent Guaranty to reinsure 25% of Essent Guaranty’s GSE-eligible NIW effective July 1, 2014. Essent Group Ltd. made no capital contributions to Essent Re during the years ended December 31, 2018 as compared to capital contributions of $165.0 million during the year ended December 31, 2017 to support new business. As of December 31, 2018, Essent Re had total stockholders’ equity of $798.6 million and net risk in force of $8.3 billion.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Baa1 with a stable outlook by Moody's and BBB+ with a stable outlook by S&amp;P. The insurer financial strength rating of Essent Re is BBB+ with a stable outlook by S&amp;P. On September 5, 2018, A.M. Best assigned Financial Strength Ratings of A (Excellent) with a stable outlook to each of Essent Guaranty and Essent Re.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6" w:name="page77"/>
    <w:bookmarkEnd w:id="76"/>
    <w:p>
      <w:pPr>
        <w:ind w:right="40"/>
        <w:spacing w:after="0" w:line="259" w:lineRule="auto"/>
        <w:rPr>
          <w:sz w:val="20"/>
          <w:szCs w:val="20"/>
          <w:color w:val="auto"/>
        </w:rPr>
      </w:pPr>
      <w:r>
        <w:rPr>
          <w:rFonts w:ascii="Arial" w:cs="Arial" w:eastAsia="Arial" w:hAnsi="Arial"/>
          <w:sz w:val="18"/>
          <w:szCs w:val="18"/>
          <w:color w:val="auto"/>
        </w:rPr>
        <w:t>PMIERs also include enhanced operational performance expectations and define remedial actions that apply should an approved insurer fail to comply with these requirements. As of December 31, 2018, Essent Guaranty, our GSE-approved mortgage insurance company, was in compliance with the PMIERs. As of December 31, 2018, Essent Guaranty's Available Assets were $1.91 billion and its Minimum Required Assets were $1.55 billion based on our interpretation of the PMIERs.</w:t>
      </w:r>
    </w:p>
    <w:p>
      <w:pPr>
        <w:spacing w:after="0" w:line="187" w:lineRule="exact"/>
        <w:rPr>
          <w:sz w:val="20"/>
          <w:szCs w:val="20"/>
          <w:color w:val="auto"/>
        </w:rPr>
      </w:pPr>
    </w:p>
    <w:p>
      <w:pPr>
        <w:ind w:right="500" w:firstLine="405"/>
        <w:spacing w:after="0" w:line="259" w:lineRule="auto"/>
        <w:rPr>
          <w:sz w:val="20"/>
          <w:szCs w:val="20"/>
          <w:color w:val="auto"/>
        </w:rPr>
      </w:pPr>
      <w:r>
        <w:rPr>
          <w:rFonts w:ascii="Arial" w:cs="Arial" w:eastAsia="Arial" w:hAnsi="Arial"/>
          <w:sz w:val="18"/>
          <w:szCs w:val="18"/>
          <w:color w:val="auto"/>
        </w:rPr>
        <w:t>The GSEs released PMIERs 2.0 on September 27, 2018 and have indicated that the PMIERs 2.0 framework will take effect on March 31, 2019. If PMIERs 2.0 had been in effect as of December 31, 2018, Essent Guaranty’s excess of Available Assets over Minimum Required Assets would be substantially unchanged from the amount computed under original PMIERs. Essent expects to remain in full compliance with the existing and revised PMIERs, as applicable, prior to and after March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December 31, 2018, stockholders’ equity was $2.4 billion compared to $1.9 billion as of December 31, 2017. This increase was primarily due to net income generated in 2018, partially offset by an increase in accumulated other comprehensive loss related to an increase in our unrealized investment losses.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As of December 31, 2018, investments totaled $2.8 billion compared to $2.3 billion as of December 31, 2017. In addition, our total cash was $64.9 million as of December 31, 2018, compared to $43.5 million as of December 31, 2017. The increase in investments was primarily due to investing net cash flows from operations during the year ended December 31,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1"/>
              </w:rPr>
              <w:t>December 31, 2018</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5"/>
              </w:rPr>
              <w:t>Percent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289,892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32,997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637,178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483,879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725,201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611,728</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79,407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284,997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167,922</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139,083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263,797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2,760,066</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2,305,065</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160" w:type="dxa"/>
            <w:vAlign w:val="bottom"/>
            <w:gridSpan w:val="4"/>
          </w:tcPr>
          <w:p>
            <w:pPr>
              <w:jc w:val="right"/>
              <w:ind w:right="373"/>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65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Consumer, non-cyclical</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Consumer, cyclical</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Utilities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Basic materials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Investments Available for Sale by Rating</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Rating(1)</w:t>
            </w: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3"/>
              </w:rPr>
              <w:t>December 31, 2018</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gridSpan w:val="2"/>
          </w:tcPr>
          <w:p>
            <w:pPr>
              <w:spacing w:after="0"/>
              <w:rPr>
                <w:sz w:val="22"/>
                <w:szCs w:val="22"/>
                <w:color w:val="auto"/>
              </w:rPr>
            </w:pPr>
          </w:p>
        </w:tc>
        <w:tc>
          <w:tcPr>
            <w:tcW w:w="16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1,362,781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1,160,200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Aa1</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124,435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115,237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196,218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123,551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Aa3</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143,315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127,785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222,073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205,369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199,238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157,651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146,300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148,246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Baa1</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162,695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115,178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140,168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87,869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Baa3</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26,805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43,024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36,038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20,955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2,760,066</w:t>
            </w: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8"/>
                <w:szCs w:val="18"/>
                <w:b w:val="1"/>
                <w:bCs w:val="1"/>
                <w:color w:val="auto"/>
              </w:rPr>
              <w:t>2,305,065</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82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-98425</wp:posOffset>
            </wp:positionV>
            <wp:extent cx="4682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05" w:lineRule="exact"/>
        <w:rPr>
          <w:rFonts w:ascii="Arial" w:cs="Arial" w:eastAsia="Arial" w:hAnsi="Arial"/>
          <w:sz w:val="18"/>
          <w:szCs w:val="18"/>
          <w:color w:val="auto"/>
        </w:rPr>
      </w:pPr>
    </w:p>
    <w:p>
      <w:pPr>
        <w:ind w:left="37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3"/>
              </w:rPr>
              <w:t>December 31, 2018</w:t>
            </w: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December 31, 2017</w:t>
            </w:r>
          </w:p>
        </w:tc>
        <w:tc>
          <w:tcPr>
            <w:tcW w:w="116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529,545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628,958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285,060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164,856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7.2</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251,763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280,177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278,804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263,799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11.4</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429,005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263,273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11.4</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985,889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704,002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30.5</w:t>
            </w: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2,760,066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2,305,065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00"/>
          </w:cols>
          <w:pgMar w:left="240" w:top="805"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31, 2018</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2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2.625% 7/15/2021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36,323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U.S. Treasury 5.250% 11/15/2028</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28,213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2.625% 6/30/2023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Fannie Mae 4.500% 5/1/2048</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19,419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1.500% 8/15/2026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Fannie Mae 4.000% 5/1/2056</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Fannie Mae 3.000% 12/1/2032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Fannie Mae 4.500% 11/1/2048</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2.000% 1/15/2021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rPr>
              <w:t>Fannie Mae 1.500% 6/22/2020</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191,245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193,324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40" w:type="dxa"/>
            <w:vAlign w:val="bottom"/>
            <w:gridSpan w:val="4"/>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20" w:type="dxa"/>
            <w:vAlign w:val="bottom"/>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40" w:hanging="332"/>
        <w:spacing w:after="0" w:line="25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December 31, 2018, for securities in unrealized loss positions, management believes decline in fair values is principally associated with the changes in the interest rate environment subsequent to their purchase. Also, see Note 3 to our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191"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3"/>
          </w:tcPr>
          <w:p>
            <w:pPr>
              <w:jc w:val="right"/>
              <w:ind w:right="2260"/>
              <w:spacing w:after="0"/>
              <w:rPr>
                <w:sz w:val="20"/>
                <w:szCs w:val="20"/>
                <w:color w:val="auto"/>
              </w:rPr>
            </w:pPr>
            <w:r>
              <w:rPr>
                <w:rFonts w:ascii="Arial" w:cs="Arial" w:eastAsia="Arial" w:hAnsi="Arial"/>
                <w:sz w:val="14"/>
                <w:szCs w:val="14"/>
                <w:b w:val="1"/>
                <w:bCs w:val="1"/>
                <w:color w:val="auto"/>
              </w:rPr>
              <w:t>December 31, 2017</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5.250%</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4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29,358</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1.500%</w:t>
            </w:r>
          </w:p>
        </w:tc>
        <w:tc>
          <w:tcPr>
            <w:tcW w:w="110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19,067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0.000%</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1/4/2018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Freddie Mac 4.000% 7/1/2037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Fannie Mae 1.500% 6/22/2020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Ginnie Mae 4.000% 7/20/2045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Freddie Mac 2.500% 10/1/2030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Freddie Mac 3.000% 9/1/2046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2.250%</w:t>
            </w:r>
          </w:p>
        </w:tc>
        <w:tc>
          <w:tcPr>
            <w:tcW w:w="1100" w:type="dxa"/>
            <w:vAlign w:val="bottom"/>
          </w:tcPr>
          <w:p>
            <w:pPr>
              <w:ind w:left="20"/>
              <w:spacing w:after="0"/>
              <w:rPr>
                <w:sz w:val="20"/>
                <w:szCs w:val="20"/>
                <w:color w:val="auto"/>
              </w:rPr>
            </w:pPr>
            <w:r>
              <w:rPr>
                <w:rFonts w:ascii="Arial" w:cs="Arial" w:eastAsia="Arial" w:hAnsi="Arial"/>
                <w:sz w:val="18"/>
                <w:szCs w:val="18"/>
                <w:color w:val="auto"/>
              </w:rPr>
              <w:t>11/15/2025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139,857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Percent of Investments Available for Sale</w:t>
            </w: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vMerge w:val="restart"/>
          </w:tcPr>
          <w:p>
            <w:pPr>
              <w:ind w:left="680"/>
              <w:spacing w:after="0"/>
              <w:rPr>
                <w:sz w:val="20"/>
                <w:szCs w:val="20"/>
                <w:color w:val="auto"/>
              </w:rPr>
            </w:pPr>
            <w:r>
              <w:rPr>
                <w:rFonts w:ascii="Arial" w:cs="Arial" w:eastAsia="Arial" w:hAnsi="Arial"/>
                <w:sz w:val="18"/>
                <w:szCs w:val="18"/>
                <w:color w:val="auto"/>
              </w:rPr>
              <w:t>74</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color w:val="auto"/>
        </w:rPr>
        <w:t>The following tables includes municipal securities for states that represent more than 10% of the total municipal bond position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8,251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8,287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The Texas A&amp;M University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6,090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La Joya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Fort Worth TX W&amp;S Revenue</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Garland</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County of Fort Bend</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57,288</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right="520" w:hanging="332"/>
        <w:spacing w:after="0" w:line="25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2018, the approximate future payments under our contractual obligations of the type described in the table below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4"/>
                <w:szCs w:val="14"/>
                <w:b w:val="1"/>
                <w:bCs w:val="1"/>
                <w:color w:val="auto"/>
                <w:w w:val="91"/>
              </w:rPr>
              <w:t>Payments due by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1 - 3 years</w:t>
            </w:r>
          </w:p>
        </w:tc>
        <w:tc>
          <w:tcPr>
            <w:tcW w:w="1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Credit facility borrowings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Estimated loss and LAE payments(1)</w:t>
            </w: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49,464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26,767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Unfunded investment commitments</w:t>
            </w: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80,135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26,154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369,785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55,595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289,027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12,694</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40" w:hanging="332"/>
        <w:spacing w:after="0" w:line="25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spacing w:after="0" w:line="19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2019 under the non-cancelable sublease.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Radnor Re 2018-1 Ltd. is a special purpose variable interest entity that is not consolidated in our consolidated financial statements because we do not have the unilateral power to direct those activities that are significant to its economic performance. As of December 31, 2018, our estimated off-balance sheet maximum exposure to loss from Radnor Re was $18.3 million, representing the estimated net present value of investment earnings on the assets in the reinsurance trust. See Note 5 to our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2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0" w:right="239" w:bottom="1440" w:gutter="0" w:footer="0" w:header="0"/>
        </w:sectPr>
      </w:pPr>
    </w:p>
    <w:bookmarkStart w:id="81" w:name="page82"/>
    <w:bookmarkEnd w:id="81"/>
    <w:p>
      <w:pPr>
        <w:ind w:left="42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2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7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800" w:right="259" w:bottom="1440" w:gutter="0" w:footer="0" w:header="0"/>
        </w:sectPr>
      </w:pPr>
    </w:p>
    <w:bookmarkStart w:id="82" w:name="page83"/>
    <w:bookmarkEnd w:id="82"/>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investment-grade;</w:t>
      </w:r>
    </w:p>
    <w:p>
      <w:pPr>
        <w:spacing w:after="0" w:line="225" w:lineRule="exact"/>
        <w:rPr>
          <w:rFonts w:ascii="Arial" w:cs="Arial" w:eastAsia="Arial" w:hAnsi="Arial"/>
          <w:sz w:val="18"/>
          <w:szCs w:val="18"/>
          <w:color w:val="auto"/>
        </w:rPr>
      </w:pPr>
    </w:p>
    <w:p>
      <w:pPr>
        <w:ind w:left="660" w:right="200" w:hanging="247"/>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 the current guidance a debt security impairment is deemed other-than-temporary if we either intend to sell the security, or it is more likely than not that we will be required to sell the security before recovery or we do not expect to collect cash flows sufficient to recover the amortized cost basis of the security. During the years ended December 31, 2018, 2017 and 2016, the unrealized losses recorded in the investment portfolio principally resulted from fluctuations in market interest rates and credit spreads. Each issuer is current on its scheduled interest and principal payments. There were no other-than-temporary impairments in the year ended December 31, 2018. We recorded other-than-temporary impairments of $0.1 million and $0.1 million in the years ended December 31, 2017 and 2016, respectively, for securities in an unrealized loss position. The impairments resulted from our intent to sell these securities subsequent to the reporting date.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84" w:right="259" w:bottom="1440" w:gutter="0" w:footer="0" w:header="0"/>
        </w:sectPr>
      </w:pPr>
    </w:p>
    <w:bookmarkStart w:id="83" w:name="page84"/>
    <w:bookmarkEnd w:id="83"/>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70" w:lineRule="exact"/>
        <w:rPr>
          <w:sz w:val="20"/>
          <w:szCs w:val="20"/>
          <w:color w:val="auto"/>
        </w:rPr>
      </w:pPr>
    </w:p>
    <w:p>
      <w:pPr>
        <w:ind w:left="660" w:right="60" w:hanging="328"/>
        <w:spacing w:after="0" w:line="30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color w:val="auto"/>
        </w:rPr>
      </w:pPr>
    </w:p>
    <w:p>
      <w:pPr>
        <w:ind w:left="660" w:right="40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At December 31, 2018, the effective duration of our investments available for sale was 3.9 years, which means that an instantaneous parallel shift (movement up or down) in the yield curve of 100 basis points would result in a change of 3.9% in fair value of our investments available for sale. Excluding short-term investments, our investments available for sale effective duration was 4.1 years, which means that an instantaneous parallel shift (movement up or down) in the yield curve of 100 basis points would result in a change of 4.1% in fair value of our investments available for sale.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580" w:right="279" w:bottom="1440" w:gutter="0" w:footer="0" w:header="0"/>
        </w:sectPr>
      </w:pPr>
    </w:p>
    <w:bookmarkStart w:id="84" w:name="page85"/>
    <w:bookmarkEnd w:id="84"/>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5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tcPr>
          <w:p>
            <w:pPr>
              <w:ind w:left="3400"/>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5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78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83</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7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84</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85</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86</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20" w:type="dxa"/>
            <w:vAlign w:val="bottom"/>
          </w:tcPr>
          <w:p>
            <w:pPr>
              <w:spacing w:after="0"/>
              <w:rPr>
                <w:sz w:val="21"/>
                <w:szCs w:val="21"/>
                <w:color w:val="auto"/>
              </w:rPr>
            </w:pPr>
          </w:p>
        </w:tc>
      </w:tr>
      <w:tr>
        <w:trPr>
          <w:trHeight w:val="291"/>
        </w:trPr>
        <w:tc>
          <w:tcPr>
            <w:tcW w:w="10580" w:type="dxa"/>
            <w:vAlign w:val="bottom"/>
          </w:tcPr>
          <w:p>
            <w:pPr>
              <w:ind w:left="3620"/>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580" w:type="dxa"/>
            <w:vAlign w:val="bottom"/>
          </w:tcPr>
          <w:p>
            <w:pPr>
              <w:spacing w:after="0"/>
              <w:rPr>
                <w:sz w:val="20"/>
                <w:szCs w:val="20"/>
                <w:color w:val="auto"/>
              </w:rPr>
            </w:pPr>
            <w:r>
              <w:rPr>
                <w:rFonts w:ascii="Arial" w:cs="Arial" w:eastAsia="Arial" w:hAnsi="Arial"/>
                <w:sz w:val="18"/>
                <w:szCs w:val="18"/>
                <w:color w:val="auto"/>
              </w:rPr>
              <w:t>Schedule I—Summary of Investments—Other Than Investments in Related Parties as of December 31, 2018</w:t>
            </w:r>
          </w:p>
        </w:tc>
        <w:tc>
          <w:tcPr>
            <w:tcW w:w="780" w:type="dxa"/>
            <w:vAlign w:val="bottom"/>
            <w:gridSpan w:val="3"/>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c>
          <w:tcPr>
            <w:tcW w:w="20" w:type="dxa"/>
            <w:vAlign w:val="bottom"/>
          </w:tcPr>
          <w:p>
            <w:pPr>
              <w:spacing w:after="0"/>
              <w:rPr>
                <w:sz w:val="19"/>
                <w:szCs w:val="19"/>
                <w:color w:val="auto"/>
              </w:rPr>
            </w:pPr>
          </w:p>
        </w:tc>
      </w:tr>
      <w:tr>
        <w:trPr>
          <w:trHeight w:val="276"/>
        </w:trPr>
        <w:tc>
          <w:tcPr>
            <w:tcW w:w="10580" w:type="dxa"/>
            <w:vAlign w:val="bottom"/>
          </w:tcPr>
          <w:p>
            <w:pPr>
              <w:spacing w:after="0"/>
              <w:rPr>
                <w:sz w:val="20"/>
                <w:szCs w:val="20"/>
                <w:color w:val="auto"/>
              </w:rPr>
            </w:pPr>
            <w:r>
              <w:rPr>
                <w:rFonts w:ascii="Arial" w:cs="Arial" w:eastAsia="Arial" w:hAnsi="Arial"/>
                <w:sz w:val="18"/>
                <w:szCs w:val="18"/>
                <w:color w:val="auto"/>
                <w:w w:val="91"/>
              </w:rPr>
              <w:t>Schedule II—Condensed Financial Information of Registrant at December 31, 2018 and 2017 and for each of the three years in the period ended</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580" w:type="dxa"/>
            <w:vAlign w:val="bottom"/>
          </w:tcPr>
          <w:p>
            <w:pPr>
              <w:ind w:left="240"/>
              <w:spacing w:after="0" w:line="190" w:lineRule="exact"/>
              <w:rPr>
                <w:sz w:val="20"/>
                <w:szCs w:val="20"/>
                <w:color w:val="auto"/>
              </w:rPr>
            </w:pPr>
            <w:r>
              <w:rPr>
                <w:rFonts w:ascii="Arial" w:cs="Arial" w:eastAsia="Arial" w:hAnsi="Arial"/>
                <w:sz w:val="18"/>
                <w:szCs w:val="18"/>
                <w:color w:val="auto"/>
              </w:rPr>
              <w:t>December 31, 2018</w:t>
            </w:r>
          </w:p>
        </w:tc>
        <w:tc>
          <w:tcPr>
            <w:tcW w:w="50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0"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20" w:type="dxa"/>
            <w:vAlign w:val="bottom"/>
          </w:tcPr>
          <w:p>
            <w:pPr>
              <w:spacing w:after="0"/>
              <w:rPr>
                <w:sz w:val="16"/>
                <w:szCs w:val="16"/>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Schedule IV—Reinsurance for the years ended December 31, 2018, 2017 and 2016</w:t>
            </w:r>
          </w:p>
        </w:tc>
        <w:tc>
          <w:tcPr>
            <w:tcW w:w="780" w:type="dxa"/>
            <w:vAlign w:val="bottom"/>
            <w:gridSpan w:val="3"/>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20" w:type="dxa"/>
            <w:vAlign w:val="bottom"/>
          </w:tcPr>
          <w:p>
            <w:pPr>
              <w:spacing w:after="0"/>
              <w:rPr>
                <w:sz w:val="21"/>
                <w:szCs w:val="21"/>
                <w:color w:val="auto"/>
              </w:rPr>
            </w:pPr>
          </w:p>
        </w:tc>
      </w:tr>
      <w:tr>
        <w:trPr>
          <w:trHeight w:val="723"/>
        </w:trPr>
        <w:tc>
          <w:tcPr>
            <w:tcW w:w="10580" w:type="dxa"/>
            <w:vAlign w:val="bottom"/>
          </w:tcPr>
          <w:p>
            <w:pPr>
              <w:ind w:left="5580"/>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5" w:name="page86"/>
    <w:bookmarkEnd w:id="8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Essent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Essent Group Ltd. and its subsidiaries (the "Company") as of December 31, 2018 and 2017, and the related consolidated statements of comprehensive income, changes in stockholders’ equity and cash flows for each of the three years in the period ended December 31, 2018, including the related notes and financial statement schedules listed in the accompanying index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580" w:right="279" w:bottom="1440" w:gutter="0" w:footer="0" w:header="0"/>
        </w:sectPr>
      </w:pPr>
    </w:p>
    <w:bookmarkStart w:id="86" w:name="page87"/>
    <w:bookmarkEnd w:id="86"/>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20"/>
          </w:cols>
          <w:pgMar w:left="240" w:top="58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50"/>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Fixed maturities available for sale, at fair value (amortized cost: 2018 — $2,638,950; 2017 — $1,994,200)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2,605,666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1,992,371</w:t>
            </w:r>
          </w:p>
        </w:tc>
      </w:tr>
      <w:tr>
        <w:trPr>
          <w:trHeight w:val="229"/>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9"/>
              </w:rPr>
              <w:t>Short-term investments available for sale, at fair value (amortized cost: 2018 — $154,400; 2017 —</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000" w:type="dxa"/>
            <w:vAlign w:val="bottom"/>
          </w:tcPr>
          <w:p>
            <w:pPr>
              <w:ind w:left="520"/>
              <w:spacing w:after="0"/>
              <w:rPr>
                <w:sz w:val="20"/>
                <w:szCs w:val="20"/>
                <w:color w:val="auto"/>
              </w:rPr>
            </w:pPr>
            <w:r>
              <w:rPr>
                <w:rFonts w:ascii="Arial" w:cs="Arial" w:eastAsia="Arial" w:hAnsi="Arial"/>
                <w:sz w:val="18"/>
                <w:szCs w:val="18"/>
                <w:color w:val="auto"/>
              </w:rPr>
              <w:t>$312,714)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154,400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312,694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2,760,066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2,305,065</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30,952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2,305,565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64,946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43,524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36,881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29,752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w w:val="96"/>
              </w:rPr>
              <w:t>Property and equipment (at cost, less accumulated depreciation of $53,870 in 2018 and $50,466 in 2017)</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6,979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252,157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8,230</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3,149,971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295,467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259,672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127,636</w:t>
            </w:r>
          </w:p>
        </w:tc>
      </w:tr>
      <w:tr>
        <w:trPr>
          <w:trHeight w:val="229"/>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9"/>
              </w:rPr>
              <w:t>Credit facility borrowings (at carrying value, less unamortized deferred costs of $1,336 in 2018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120" w:type="dxa"/>
            <w:vAlign w:val="bottom"/>
            <w:gridSpan w:val="2"/>
          </w:tcPr>
          <w:p>
            <w:pPr>
              <w:ind w:left="520"/>
              <w:spacing w:after="0"/>
              <w:rPr>
                <w:sz w:val="20"/>
                <w:szCs w:val="20"/>
                <w:color w:val="auto"/>
              </w:rPr>
            </w:pPr>
            <w:r>
              <w:rPr>
                <w:rFonts w:ascii="Arial" w:cs="Arial" w:eastAsia="Arial" w:hAnsi="Arial"/>
                <w:sz w:val="18"/>
                <w:szCs w:val="18"/>
                <w:color w:val="auto"/>
              </w:rPr>
              <w:t>$1,409 in 2017)</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223,664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248,591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40,976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36,184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784,254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733,932</w:t>
            </w:r>
          </w:p>
        </w:tc>
      </w:tr>
      <w:tr>
        <w:trPr>
          <w:trHeight w:val="22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8)</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8"/>
              </w:rPr>
              <w:t>Authorized - 233,333; issued and outstanding - 98,139 shares in 2018 and 98,434 shares in 2017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1,110,800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1,127,137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1,282,438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815,075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2,365,717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1,940,436</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3,149,971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685,287</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570,186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441,278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649,492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530,130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422,707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1,934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719,353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576,511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458,258</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150,900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145,533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130,425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172,654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177,943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146,376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546,699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398,568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311,882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79,336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89,276</w:t>
            </w:r>
          </w:p>
        </w:tc>
      </w:tr>
      <w:tr>
        <w:trPr>
          <w:trHeight w:val="297"/>
        </w:trPr>
        <w:tc>
          <w:tcPr>
            <w:tcW w:w="71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467,363</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379,747</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222,606</w:t>
            </w:r>
          </w:p>
        </w:tc>
      </w:tr>
      <w:tr>
        <w:trPr>
          <w:trHeight w:val="311"/>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90,913</w:t>
            </w: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97,974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95,211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92,245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467,363</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379,747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222,606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Change in unrealized (depreciation) appreciation of investments, net of tax (benefit)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1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expense of ($5,686) in 2018, $4,519 in 2017 and ($2,941) in 2016</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(loss)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441,622</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387,815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210,450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7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January 1, 2016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904,221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213,729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1,119,241</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222,606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222,606</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(12,156)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(12,156)</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16,881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16,881</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Excess tax benefits from 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1,083</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(4,024)</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Other equity transactions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918,296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(12,255)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436,335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1,343,773</w:t>
            </w: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379,747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379,747</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8,068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8,068</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common shares, net of issuance cost of $1,802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197,623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197,698</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18,688</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Cumulative effect of ASU 2016-09 adoption</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39</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(7,577)</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7,577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of certain income tax effects resulting from tax reform</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9"/>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Balance at December 31, 2017</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1,476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1,127,137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(3,252)</w:t>
            </w:r>
          </w:p>
        </w:tc>
        <w:tc>
          <w:tcPr>
            <w:tcW w:w="100" w:type="dxa"/>
            <w:vAlign w:val="bottom"/>
          </w:tcPr>
          <w:p>
            <w:pPr>
              <w:spacing w:after="0"/>
              <w:rPr>
                <w:sz w:val="21"/>
                <w:szCs w:val="21"/>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ind w:right="37"/>
              <w:spacing w:after="0"/>
              <w:rPr>
                <w:sz w:val="20"/>
                <w:szCs w:val="20"/>
                <w:color w:val="auto"/>
              </w:rPr>
            </w:pPr>
            <w:r>
              <w:rPr>
                <w:rFonts w:ascii="Arial" w:cs="Arial" w:eastAsia="Arial" w:hAnsi="Arial"/>
                <w:sz w:val="13"/>
                <w:szCs w:val="13"/>
                <w:b w:val="1"/>
                <w:bCs w:val="1"/>
                <w:color w:val="auto"/>
              </w:rPr>
              <w:t>815,075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1,940,436</w:t>
            </w:r>
          </w:p>
        </w:tc>
      </w:tr>
      <w:tr>
        <w:trPr>
          <w:trHeight w:val="278"/>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467,363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467,363</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(25,741)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(25,741)</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15,073</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(31,414)</w:t>
            </w:r>
          </w:p>
        </w:tc>
      </w:tr>
      <w:tr>
        <w:trPr>
          <w:trHeight w:val="272"/>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(31,404)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31,414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Balance at December 31, 2018</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1,472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1,110,800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(28,993)</w:t>
            </w:r>
          </w:p>
        </w:tc>
        <w:tc>
          <w:tcPr>
            <w:tcW w:w="100" w:type="dxa"/>
            <w:vAlign w:val="bottom"/>
          </w:tcPr>
          <w:p>
            <w:pPr>
              <w:spacing w:after="0"/>
              <w:rPr>
                <w:sz w:val="21"/>
                <w:szCs w:val="21"/>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ind w:right="37"/>
              <w:spacing w:after="0"/>
              <w:rPr>
                <w:sz w:val="20"/>
                <w:szCs w:val="20"/>
                <w:color w:val="auto"/>
              </w:rPr>
            </w:pPr>
            <w:r>
              <w:rPr>
                <w:rFonts w:ascii="Arial" w:cs="Arial" w:eastAsia="Arial" w:hAnsi="Arial"/>
                <w:sz w:val="13"/>
                <w:szCs w:val="13"/>
                <w:b w:val="1"/>
                <w:bCs w:val="1"/>
                <w:color w:val="auto"/>
              </w:rPr>
              <w:t>1,282,438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2,365,717</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467,363</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379,747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222,606</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income of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Distribution of income from other invested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15,073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16,881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10,486</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50,692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57,564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49,772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(61,860)</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(5,060)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10,382</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35,795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40,056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18,571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625,321</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368,573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274,559</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158,294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(46,352)</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(1,126,032)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(833,298)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(656,768)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114,651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27,186</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340,780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254,377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313,780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other invested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Return of investment from other invested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(546,905)</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(690,142)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(365,316)</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Credit facility repayments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Treasury stock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(31,414)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 of issuance costs for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(2,436)</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Other financing activities</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(56,994)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93,682</w:t>
            </w:r>
          </w:p>
        </w:tc>
      </w:tr>
      <w:tr>
        <w:trPr>
          <w:trHeight w:val="115"/>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21,422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Cash at beginning of year</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43,524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27,531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24,606</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64,946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27,531</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9"/>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Income tax payments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(29,275)</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(40,300)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(30,800)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122"/>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Repayment of borrowings with term loan proceeds (see Note 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64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580" w:right="239" w:bottom="649"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The primary mortgage insurance operations are conducted through Essent Guaranty, Inc. ("Essent Guaranty"), which is domiciled in the state of Pennsylvania.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w:t>
      </w:r>
    </w:p>
    <w:p>
      <w:pPr>
        <w:spacing w:after="0" w:line="18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 domiciled in the state of Pennsylvania.</w:t>
      </w:r>
    </w:p>
    <w:p>
      <w:pPr>
        <w:spacing w:after="0" w:line="1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operations centers in Winston-Salem, North Carolina and Irvine, California that are subleased from Essent Guaranty.</w:t>
      </w:r>
    </w:p>
    <w:p>
      <w:pPr>
        <w:spacing w:after="0" w:line="187" w:lineRule="exact"/>
        <w:rPr>
          <w:sz w:val="20"/>
          <w:szCs w:val="20"/>
          <w:color w:val="auto"/>
        </w:rPr>
      </w:pPr>
    </w:p>
    <w:p>
      <w:pPr>
        <w:ind w:right="320" w:firstLine="432"/>
        <w:spacing w:after="0" w:line="381"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01"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fixed maturity and short-term investments are classified as available for sale as we may sell securities from time to time to provide liquidity and in response to changes in the market. Debt and equity securities classified as available for sale are reported at fair value with unrealized gains and losses on these securities reported in other comprehensive income, net of deferred income taxes. See Note 16 for a description of the valuation methods for investments available for sale.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18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term of the securities. Gains and losses on the sales of securities are recorded on the trade date and are determined using the specific identification method.</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7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Other invested assets are comprised of limited partnership interests which are accounted for under the equity method of accounting with changes in value reported in other income. In applying the equity method, these investments are initially recorded at cost and are subsequently adjusted based on the Company’s proportionate share of the net income or loss of the partnership. We have elected to classify distributions received from these investments using the cumulative earnings approach. Due to the timing of receiving financial information from these partnerships, the results are generally reported on a one month or quarter lag.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37,422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(34,620)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internal-use software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61,499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57,445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337" w:right="2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$7.4 million, $8.0 million and $7.7 million for the years ended December 31, 2018, 2017 and 2016, respectively. Amortization of deferred policy acquisition costs totaled $6.7 million, $6.0 million and $5.8 million for the years ended December 31, 2018, 2017 and 2016, respectively, and was included in other underwriting and operating expenses on the consolidated statements of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29"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88% of earned premium in 2018.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$17.7 million and $23.2 million of earned premium related to policy cancellations for the years ended December 31, 2018 and 2017,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8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 significant portion of our premium revenue relates to master policies with certain lending institutions. For the year ended December 31, 2018, one lender represented approximately 11% of our total revenue. The loss of this customer could have a significant impact on our revenues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29"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7"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and existing reserves for that specified group of policies. We reassess our expectations for premium, losses and expenses of our mortgage insurance business periodically and update our premium deficiency analysis accordingly. As of December 31, 2018 and 2017, we concluded that no premium deficiency reserve was required to be recorded in the accompanying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Derivative instruments, including embedded derivative instruments, are recognized at fair value in the consolidated balance sheets. The amount of monthly reinsurance premium ceded under one of our reinsurance contracts will fluctuate due to changes in one-month LIBOR and changes in money market rates. As the reinsurance premium will vary based on changes in these rates, we concluded that this reinsurance agreement contains an embedded derivative that is accounted for separately like a freestanding derivative.</w:t>
      </w:r>
    </w:p>
    <w:p>
      <w:pPr>
        <w:spacing w:after="0" w:line="187"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Through June 30, 2016, insurance and certain reinsurance policies issued by Essent Re in connection with Freddie Mac's Agency Credit Insurance Structure ("ACIS") program were accounted for as derivatives under GAAP with the fair value of these policies reported as an asset or liability and changes in the fair value of these policies reported in earnings as a component of other income. During the quarter ended September 30, 2016, these contracts were amended and are accounted for as insurance contracts rather than as derivatives subsequent to their amendment. As of December 31, 2018 and 2017, the Company had no freestanding derivative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10 of our consolidated financial statements. Subsequent to our initial public offering, fair value is determined on the date of grant based on quoted market prices. We recognize compensation expense on nonvested shares over the vesting period of the award. We adopted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on January 1, 2017 and recorded a charge of $0.1 million to retained earnings as of that date representing a cumulative-effect adjustment associated with our election to recognize forfeitures as they occur rather than on an estimated basis. In connection with the adoption of this ASU, beginning in 2017, excess tax benefits and tax deficiencies associated with share-based payments are recognized as income tax expense or benefit in the income statement and treated as discrete items in the reporting period. Through December 31, 2016, excess tax benefits were recognized in additional paid-in-capital.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7"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our policy to classify interest and penalties as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This update is intended to provide a consistent approach in recognizing revenue. In accordance with the new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December 2016, the FASB clarified that all contracts that are within the scope of Topic 944, </w:t>
      </w:r>
      <w:r>
        <w:rPr>
          <w:rFonts w:ascii="Arial" w:cs="Arial" w:eastAsia="Arial" w:hAnsi="Arial"/>
          <w:sz w:val="16"/>
          <w:szCs w:val="16"/>
          <w:i w:val="1"/>
          <w:iCs w:val="1"/>
          <w:color w:val="auto"/>
        </w:rPr>
        <w:t>Financial Services-Insurance</w:t>
      </w:r>
      <w:r>
        <w:rPr>
          <w:rFonts w:ascii="Arial" w:cs="Arial" w:eastAsia="Arial" w:hAnsi="Arial"/>
          <w:sz w:val="16"/>
          <w:szCs w:val="16"/>
          <w:color w:val="auto"/>
        </w:rPr>
        <w:t>, are excluded from the scope of ASU 2014-09. The Company adopted this ASU effective January 1, 2018. The adoption of this ASU did not have a material effect on the Company's consolidated operating results or financial position.</w:t>
      </w:r>
    </w:p>
    <w:p>
      <w:pPr>
        <w:spacing w:after="0" w:line="16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This update requires certain equity investments (except those accounted for under the equity method of accounting or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 qualitative assessment for impairment is required for equity investments without readily determinable fair values. This update also requires public entities to use the exit price notion when measuring the fair value of financial instruments for disclosure purposes. In addition, an entity is required to evaluate the need for a valuation allowance on a deferred tax asset related to available-for-sale investment securities in combination with the entity’s other deferred tax assets. The Company adopted this ASU effective January 1, 2018. The adoption of this ASU did not have a material effect on the Company's consolidated operating results or financial position.</w:t>
      </w:r>
    </w:p>
    <w:p>
      <w:pPr>
        <w:spacing w:after="0" w:line="16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We anticipate adopting this standard on January 1, 2019 using the retrospective adoption approach as of the adoption date and electing certain practical expedients allowed under the standard. The adoption of this ASU is not expected to have a material effect on the Company's consolidated operating results or financial position.</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337" w:right="2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14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are effective for interim and annual periods beginning after December 15, 2019, with early adoption permitted for the removed disclosures. The Company is evaluating the impact the adoption of this ASU will have on the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17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U.S. agency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Municipal debt securities(1)</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481,547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Corporate debt securities(2)</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738,964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Total investments available for sale</w:t>
            </w:r>
          </w:p>
        </w:tc>
        <w:tc>
          <w:tcPr>
            <w:tcW w:w="15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2,793,350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17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U.S. agency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Municipal debt securities(1)</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457,418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78,974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263,808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17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2,306,914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97" w:name="page98"/>
    <w:bookmarkEnd w:id="97"/>
    <w:p>
      <w:pPr>
        <w:jc w:val="center"/>
        <w:ind w:right="-4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Consumer, non-cyclical</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Consumer, cyclical</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Utilities</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Basic materials</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56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337" w:right="6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amortized cost and fair value of investments available for sale at December 31, 2018,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651"/>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17,315</w:t>
            </w:r>
          </w:p>
        </w:tc>
        <w:tc>
          <w:tcPr>
            <w:tcW w:w="10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178,245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99,585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95,244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295,145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289,892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32,997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33,645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4"/>
              </w:rPr>
              <w:t>9,282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85,488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85,205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181,864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204,913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206,450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481,547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483,879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Non-U.S. government securities:</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19,787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19,870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25,212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44,999</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75,797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75,287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395,764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264,223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256,576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4"/>
              </w:rPr>
              <w:t>3,180</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738,964</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725,201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649,228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637,178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122,369</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121,838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288,371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284,997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139,082</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139,083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2,793,350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2,760,066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Arial" w:cs="Arial" w:eastAsia="Arial" w:hAnsi="Arial"/>
                <w:sz w:val="18"/>
                <w:szCs w:val="18"/>
                <w:color w:val="auto"/>
                <w:w w:val="93"/>
              </w:rPr>
              <w:t>Gross gains and losses realized on the sale of investments available for sale were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73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2,504</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4"/>
          </w:tcPr>
          <w:p>
            <w:pPr>
              <w:ind w:left="40"/>
              <w:spacing w:after="0"/>
              <w:rPr>
                <w:sz w:val="20"/>
                <w:szCs w:val="20"/>
                <w:color w:val="auto"/>
              </w:rPr>
            </w:pPr>
            <w:r>
              <w:rPr>
                <w:rFonts w:ascii="Arial" w:cs="Arial" w:eastAsia="Arial" w:hAnsi="Arial"/>
                <w:sz w:val="18"/>
                <w:szCs w:val="18"/>
                <w:color w:val="auto"/>
              </w:rPr>
              <w:t>Realized gross losses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337"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88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210,520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32,997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32,997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114,442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104,930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219,372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381,912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231,124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613,036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217,546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29,852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247,398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930,556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918,818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1,849,374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88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33,114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124,171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23,492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147,663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29,842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35,830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59,489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59,489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835,553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432,761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1,268,314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the year ended December 31, 2018. We recorded other-than-temporary impairments of $0.1 million and $0.1 million in the years ended December 31, 2017 and 2016, respectively, on securities in an unrealized loss position. The impairments resulted from our intent to sell these securities subsequent to the reporting dates.</w:t>
      </w:r>
    </w:p>
    <w:p>
      <w:pPr>
        <w:spacing w:after="0" w:line="19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Company's other invested assets at December 31, 2018 and December 31, 2017 totaled $31.0 million and $0.5 million, respectively. Other invested assets are comprised of limited partnership interests which are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14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fair value of investments deposited with insurance regulatory authorities to meet statutory requirements was $8.9 million at December 31, 2018 and $8.6 million at December 31, 2017. In connection with its insurance and reinsurance activities, Essent Re is required to maintain assets in trusts for the benefit of its contractual counterparties. The fair value of the investments on deposit in these trusts was $759.9 million at December 31, 2018 and $615.8 million at December 31, 2017. In connection with an excess-of-loss reinsurance agreement (see Note 5), Essent Guaranty is required to maintain assets on deposit for the benefit of the reinsurer. The fair value of the assets on deposit was $3.4 million at December 31, 2018. Essent Guaranty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37"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is also required to maintain assets on deposit for the benefit of the sponsor of a fixed income investment commitment. The fair value of the assets on deposit was $6.3 million at December 31, 2018.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 consists of:</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63,053</w:t>
            </w:r>
          </w:p>
        </w:tc>
        <w:tc>
          <w:tcPr>
            <w:tcW w:w="46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66,926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Investment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4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40,226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4. Accounts Receivable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4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7400" w:type="dxa"/>
            <w:vAlign w:val="bottom"/>
            <w:gridSpan w:val="2"/>
          </w:tcPr>
          <w:p>
            <w:pPr>
              <w:ind w:left="400"/>
              <w:spacing w:after="0"/>
              <w:rPr>
                <w:sz w:val="20"/>
                <w:szCs w:val="20"/>
                <w:color w:val="auto"/>
              </w:rPr>
            </w:pPr>
            <w:r>
              <w:rPr>
                <w:rFonts w:ascii="Arial" w:cs="Arial" w:eastAsia="Arial" w:hAnsi="Arial"/>
                <w:sz w:val="18"/>
                <w:szCs w:val="18"/>
                <w:color w:val="auto"/>
              </w:rPr>
              <w:t>Accounts receivable consists of the following at December 31:</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36,881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Reinsurance</w:t>
      </w:r>
    </w:p>
    <w:p>
      <w:pPr>
        <w:spacing w:after="0" w:line="22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On March 22, 2018, Essent Guaranty entered into a fully collateralized reinsurance agreement with Radnor Re 2018-1 Ltd. ("Radnor Re"), an unaffiliated special purpose insurer domiciled in Bermuda, that provides for up to $424.4 million of aggregate excess-of-loss reinsurance coverage at inception for new defaults on a portfolio of mortgage insurance policies issued between January 1, 2017 and December 31, 2017. For the reinsurance coverage period, Essent Guaranty and its affiliates will retain the first layer of $224.7 million of aggregate losses, and Radnor Re will then provide second layer coverage up to the outstanding reinsurance coverage amount. Essent Guaranty and its affiliates retain losses in excess of the outstanding reinsurance coverage amount. The reinsurance premium due to Radnor Re is calculated by multiplying the outstanding reinsurance coverage amount at the beginning of a period by a coupon rate, which is the sum of one-month LIBOR plus a risk margin, and then subtracting actual investment income collected on the assets in the reinsurance trust during that period. The aggregate excess of loss reinsurance coverage decreases over a ten-year period as the underlying covered mortgages amortize. Essent Guaranty has rights to terminate the reinsurance agreement, which includes an option to terminate after five years from issuance. If the reinsurance agreement is not terminated after five years from issuance, the risk margin component of the reinsurance premium payable to Radnor Re increases by 50%. Radnor Re financed the coverage by issuing mortgage insurance-linked notes in an aggregate amount of $424.4 million to unaffiliated investors. The notes have ten-year legal maturities and are non-recourse to any assets of Essent Guaranty or its affiliates. The proceeds of the notes were deposited into a reinsurance trust for the benefit of Essent Guaranty that will be the source of reinsurance claim payments to Essent Guaranty and principal repayments on the mortgage insurance-linked notes.</w:t>
      </w:r>
    </w:p>
    <w:p>
      <w:pPr>
        <w:sectPr>
          <w:pgSz w:w="11900" w:h="16838" w:orient="portrait"/>
          <w:cols w:equalWidth="0" w:num="1">
            <w:col w:w="11420"/>
          </w:cols>
          <w:pgMar w:left="240" w:top="337"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37" w:right="239"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Effective November 1, 2018, Essent Guaranty entered into a reinsurance agreement with a panel of reinsurers that provides for up to $165.2 million of aggregate excess-of-loss coverage immediately above the coverage provided by Radnor Re. The aggregate excess of loss reinsurance coverage decreases over a ten-year period as the underlying covered mortgages amortize. Essent Guaranty has rights to terminate the reinsurance agreement, which includes an option to terminate after five years from issuance. If the reinsurance agreement is not terminated after five years from issuance, the reinsurance premium payable will increase by 50%.</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696,055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570,186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441,278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685,287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570,186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441,278</w:t>
            </w:r>
          </w:p>
        </w:tc>
      </w:tr>
      <w:tr>
        <w:trPr>
          <w:trHeight w:val="311"/>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530,130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422,707</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Ceded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649,492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530,130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422,707</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amount of monthly reinsurance premium ceded to Radnor Re will fluctuate due to changes in one-month LIBOR and changes in money market rates that affect investment income collected on the assets in the reinsurance trust. As the reinsurance premium will vary based on changes in these rates, we concluded that the reinsurance agreement contains an embedded derivative that will be accounted for separately like a freestanding derivative. The fair value of this derivative at December 31, 2018 and the change in its fair value from inception of the reinsurance agreement to December 31, 2018 was not material.</w:t>
      </w:r>
    </w:p>
    <w:p>
      <w:pPr>
        <w:spacing w:after="0" w:line="15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connection with entering the reinsurance agreement with Radnor Re, we concluded that the risk transfer requirements for reinsurance accounting were met as Radnor Re is assuming significant insurance risk and a reasonable possibility of a significant loss. In addition, we assessed whether Radnor Re was a variable interest entity ("VIE") and the appropriate accounting for Radnor Re if it was a VIE.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Radnor Re is a VIE. However, given that Essent Guaranty (1) does not have the unilateral power to direct the activities that most significantly affect Radnor Re’s economic performance and (2) does not have the obligation to absorb losses or the right to receive benefits that could be potentially significant to Radnor Re, Radnor Re is not consolidated in these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337"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presents total assets of Radnor Re as well as our maximum exposure to loss associated with Radnor Re, representing the estimated net present value of investment earnings on the assets in the reinsurance trust, each as of December 31, 2018:</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424,412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18,325</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424,412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18,325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18,325</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assets of Radnor Re are the source of reinsurance claim payments to Essent Guaranty and provide capital relief under the PMIERs financial strength requirements (see Note 17). A decline in the assets available to pay claims would reduce the capital relief available to Essent Guaranty.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Reserve for Losses and Loss Adjustment Expenses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year</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w:t>
            </w:r>
          </w:p>
        </w:tc>
      </w:tr>
      <w:tr>
        <w:trPr>
          <w:trHeight w:val="22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21,889</w:t>
            </w: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(6,364)</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year</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w:t>
            </w:r>
          </w:p>
        </w:tc>
      </w:tr>
      <w:tr>
        <w:trPr>
          <w:trHeight w:val="22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4,216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year</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year</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28,142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49,464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28,142</w:t>
            </w:r>
          </w:p>
        </w:tc>
      </w:tr>
      <w:tr>
        <w:trPr>
          <w:trHeight w:val="67"/>
        </w:trPr>
        <w:tc>
          <w:tcPr>
            <w:tcW w:w="6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year</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1,757</w:t>
            </w:r>
          </w:p>
        </w:tc>
      </w:tr>
    </w:tbl>
    <w:p>
      <w:pPr>
        <w:spacing w:after="0" w:line="22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For the year ended December 31, 2018, $7.7 million was paid for incurred claims and claim adjustment expenses attributable to insured events of prior years. There has been a $24.9 million favorable prior year development during the year ended December 31, 2018. Reserves remaining as of December 31, 2018 for prior years are $14.3 million as a result of re-estimation of unpaid losses and loss adjustment expenses. For the year ended December 31, 2017, $7.9 million was paid for incurred claims and claim adjustment expenses attributable to insured events of prior years. There was a $10.9 million favorable prior year development during the year ended December 31, 2017. Reserves remaining as of December 31, 2017 for prior years were $9.3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third quarter of 2017, certain regions of the U.S. experienced hurricanes which have impacted our insured portfolio’s performance. Loans in default identified as hurricane-related defaults totaled 2,288 as of December 31, 2017 and in the fourth quarter of 2017, we provided reserves of $11.1 million for losses and LAE on these hurricane-related defaults. In the year ended December 31, 2018, 2,150 of the 2,288 defaults previously identified as hurricane-related cured. In the fourth</w:t>
      </w:r>
    </w:p>
    <w:p>
      <w:pPr>
        <w:sectPr>
          <w:pgSz w:w="11900" w:h="16838" w:orient="portrait"/>
          <w:cols w:equalWidth="0" w:num="1">
            <w:col w:w="11420"/>
          </w:cols>
          <w:pgMar w:left="240" w:top="33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337"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quarter of 2018, we reduced the reserves on hurricane-related defaults by $9.9 million based on the performance to date and our expectations of the amount of ultimate losses on the remaining delinquencies. The impact on our reserves in future periods will be dependent upon the performance of the hurricane-related defaults and our expectations for the amount of ultimate losses on these delinquencies.</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 summarizes incurred loss and allocated loss adjustment expense development, IBNR plus expected development on reported defaults and the cumulative number of reported defaults. The information about incurred loss development for the years ended December 31, 2010 to 2017 is presented as supplementary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60" w:type="dxa"/>
            <w:vAlign w:val="bottom"/>
            <w:gridSpan w:val="3"/>
          </w:tcPr>
          <w:p>
            <w:pPr>
              <w:jc w:val="right"/>
              <w:ind w:right="504"/>
              <w:spacing w:after="0"/>
              <w:rPr>
                <w:sz w:val="20"/>
                <w:szCs w:val="20"/>
                <w:color w:val="auto"/>
              </w:rPr>
            </w:pPr>
            <w:r>
              <w:rPr>
                <w:rFonts w:ascii="Arial" w:cs="Arial" w:eastAsia="Arial" w:hAnsi="Arial"/>
                <w:sz w:val="13"/>
                <w:szCs w:val="13"/>
                <w:b w:val="1"/>
                <w:bCs w:val="1"/>
                <w:color w:val="auto"/>
                <w:w w:val="90"/>
              </w:rPr>
              <w:t>Incurred Loss and Allocated LAE,</w:t>
            </w: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3"/>
                <w:szCs w:val="13"/>
                <w:b w:val="1"/>
                <w:bCs w:val="1"/>
                <w:color w:val="auto"/>
                <w:w w:val="87"/>
              </w:rPr>
              <w:t>For the Years Ended December 31,</w:t>
            </w: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2"/>
          </w:tcPr>
          <w:p>
            <w:pPr>
              <w:jc w:val="right"/>
              <w:ind w:right="677"/>
              <w:spacing w:after="0"/>
              <w:rPr>
                <w:sz w:val="20"/>
                <w:szCs w:val="20"/>
                <w:color w:val="auto"/>
              </w:rPr>
            </w:pPr>
            <w:r>
              <w:rPr>
                <w:rFonts w:ascii="Arial" w:cs="Arial" w:eastAsia="Arial" w:hAnsi="Arial"/>
                <w:sz w:val="13"/>
                <w:szCs w:val="13"/>
                <w:b w:val="1"/>
                <w:bCs w:val="1"/>
                <w:color w:val="auto"/>
              </w:rPr>
              <w:t>As of December 31, 2018</w:t>
            </w:r>
          </w:p>
        </w:tc>
        <w:tc>
          <w:tcPr>
            <w:tcW w:w="0" w:type="dxa"/>
            <w:vAlign w:val="bottom"/>
          </w:tcPr>
          <w:p>
            <w:pPr>
              <w:spacing w:after="0"/>
              <w:rPr>
                <w:sz w:val="1"/>
                <w:szCs w:val="1"/>
                <w:color w:val="auto"/>
              </w:rPr>
            </w:pPr>
          </w:p>
        </w:tc>
      </w:tr>
      <w:tr>
        <w:trPr>
          <w:trHeight w:val="254"/>
        </w:trPr>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 in thousands)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Unaudited</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Total of IBNR plus</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32"/>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vMerge w:val="restart"/>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Expected Development on</w:t>
            </w:r>
          </w:p>
        </w:tc>
        <w:tc>
          <w:tcPr>
            <w:tcW w:w="12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Reported Defaults</w:t>
            </w:r>
          </w:p>
        </w:tc>
        <w:tc>
          <w:tcPr>
            <w:tcW w:w="0" w:type="dxa"/>
            <w:vAlign w:val="bottom"/>
          </w:tcPr>
          <w:p>
            <w:pPr>
              <w:spacing w:after="0"/>
              <w:rPr>
                <w:sz w:val="1"/>
                <w:szCs w:val="1"/>
                <w:color w:val="auto"/>
              </w:rPr>
            </w:pPr>
          </w:p>
        </w:tc>
      </w:tr>
      <w:tr>
        <w:trPr>
          <w:trHeight w:val="83"/>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Accident Year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2010</w:t>
            </w:r>
          </w:p>
        </w:tc>
        <w:tc>
          <w:tcPr>
            <w:tcW w:w="84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2011</w:t>
            </w:r>
          </w:p>
        </w:tc>
        <w:tc>
          <w:tcPr>
            <w:tcW w:w="780" w:type="dxa"/>
            <w:vAlign w:val="bottom"/>
            <w:tcBorders>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2012</w:t>
            </w:r>
          </w:p>
        </w:tc>
        <w:tc>
          <w:tcPr>
            <w:tcW w:w="90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2013</w:t>
            </w:r>
          </w:p>
        </w:tc>
        <w:tc>
          <w:tcPr>
            <w:tcW w:w="78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w w:val="89"/>
              </w:rPr>
              <w:t>2014</w:t>
            </w:r>
          </w:p>
        </w:tc>
        <w:tc>
          <w:tcPr>
            <w:tcW w:w="78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w w:val="96"/>
              </w:rPr>
              <w:t>2015</w:t>
            </w:r>
          </w:p>
        </w:tc>
        <w:tc>
          <w:tcPr>
            <w:tcW w:w="7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w w:val="96"/>
              </w:rPr>
              <w:t>2016</w:t>
            </w: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Reported Defaults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4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4"/>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3"/>
              <w:spacing w:after="0"/>
              <w:rPr>
                <w:sz w:val="20"/>
                <w:szCs w:val="20"/>
                <w:color w:val="auto"/>
              </w:rPr>
            </w:pPr>
            <w:r>
              <w:rPr>
                <w:rFonts w:ascii="Arial" w:cs="Arial" w:eastAsia="Arial" w:hAnsi="Arial"/>
                <w:sz w:val="13"/>
                <w:szCs w:val="13"/>
                <w:color w:val="auto"/>
                <w:w w:val="82"/>
              </w:rPr>
              <w:t>—$</w:t>
            </w: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gridSpan w:val="3"/>
            <w:vMerge w:val="restart"/>
          </w:tcPr>
          <w:p>
            <w:pPr>
              <w:ind w:left="280"/>
              <w:spacing w:after="0"/>
              <w:rPr>
                <w:sz w:val="20"/>
                <w:szCs w:val="20"/>
                <w:color w:val="auto"/>
              </w:rPr>
            </w:pPr>
            <w:r>
              <w:rPr>
                <w:rFonts w:ascii="Arial" w:cs="Arial" w:eastAsia="Arial" w:hAnsi="Arial"/>
                <w:sz w:val="13"/>
                <w:szCs w:val="13"/>
                <w:color w:val="auto"/>
                <w:w w:val="82"/>
              </w:rPr>
              <w:t>—$</w:t>
            </w:r>
          </w:p>
        </w:tc>
        <w:tc>
          <w:tcPr>
            <w:tcW w:w="15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57</w:t>
            </w:r>
          </w:p>
        </w:tc>
        <w:tc>
          <w:tcPr>
            <w:tcW w:w="780" w:type="dxa"/>
            <w:vAlign w:val="bottom"/>
            <w:vMerge w:val="restart"/>
            <w:shd w:val="clear" w:color="auto" w:fill="CCEEFF"/>
          </w:tcPr>
          <w:p>
            <w:pPr>
              <w:jc w:val="right"/>
              <w:ind w:right="307"/>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8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345"/>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304"/>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w:t>
            </w:r>
          </w:p>
        </w:tc>
        <w:tc>
          <w:tcPr>
            <w:tcW w:w="7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7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5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780" w:type="dxa"/>
            <w:vAlign w:val="bottom"/>
            <w:gridSpan w:val="3"/>
            <w:vMerge w:val="continue"/>
            <w:shd w:val="clear" w:color="auto" w:fill="CCEEFF"/>
          </w:tcPr>
          <w:p>
            <w:pPr>
              <w:spacing w:after="0"/>
              <w:rPr>
                <w:sz w:val="8"/>
                <w:szCs w:val="8"/>
                <w:color w:val="auto"/>
              </w:rPr>
            </w:pPr>
          </w:p>
        </w:tc>
        <w:tc>
          <w:tcPr>
            <w:tcW w:w="700" w:type="dxa"/>
            <w:vAlign w:val="bottom"/>
            <w:gridSpan w:val="3"/>
            <w:vMerge w:val="continue"/>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vMerge w:val="restart"/>
          </w:tcPr>
          <w:p>
            <w:pPr>
              <w:jc w:val="right"/>
              <w:ind w:right="307"/>
              <w:spacing w:after="0"/>
              <w:rPr>
                <w:sz w:val="20"/>
                <w:szCs w:val="20"/>
                <w:color w:val="auto"/>
              </w:rPr>
            </w:pPr>
            <w:r>
              <w:rPr>
                <w:rFonts w:ascii="Arial" w:cs="Arial" w:eastAsia="Arial" w:hAnsi="Arial"/>
                <w:sz w:val="13"/>
                <w:szCs w:val="13"/>
                <w:color w:val="auto"/>
              </w:rPr>
              <w:t>1,523</w:t>
            </w:r>
          </w:p>
        </w:tc>
        <w:tc>
          <w:tcPr>
            <w:tcW w:w="900" w:type="dxa"/>
            <w:vAlign w:val="bottom"/>
            <w:vMerge w:val="restart"/>
          </w:tcPr>
          <w:p>
            <w:pPr>
              <w:jc w:val="right"/>
              <w:ind w:right="383"/>
              <w:spacing w:after="0"/>
              <w:rPr>
                <w:sz w:val="20"/>
                <w:szCs w:val="20"/>
                <w:color w:val="auto"/>
              </w:rPr>
            </w:pPr>
            <w:r>
              <w:rPr>
                <w:rFonts w:ascii="Arial" w:cs="Arial" w:eastAsia="Arial" w:hAnsi="Arial"/>
                <w:sz w:val="13"/>
                <w:szCs w:val="13"/>
                <w:color w:val="auto"/>
              </w:rPr>
              <w:t>858</w:t>
            </w:r>
          </w:p>
        </w:tc>
        <w:tc>
          <w:tcPr>
            <w:tcW w:w="780" w:type="dxa"/>
            <w:vAlign w:val="bottom"/>
            <w:vMerge w:val="restart"/>
          </w:tcPr>
          <w:p>
            <w:pPr>
              <w:jc w:val="right"/>
              <w:ind w:right="345"/>
              <w:spacing w:after="0"/>
              <w:rPr>
                <w:sz w:val="20"/>
                <w:szCs w:val="20"/>
                <w:color w:val="auto"/>
              </w:rPr>
            </w:pPr>
            <w:r>
              <w:rPr>
                <w:rFonts w:ascii="Arial" w:cs="Arial" w:eastAsia="Arial" w:hAnsi="Arial"/>
                <w:sz w:val="13"/>
                <w:szCs w:val="13"/>
                <w:color w:val="auto"/>
              </w:rPr>
              <w:t>814</w:t>
            </w:r>
          </w:p>
        </w:tc>
        <w:tc>
          <w:tcPr>
            <w:tcW w:w="780" w:type="dxa"/>
            <w:vAlign w:val="bottom"/>
            <w:vMerge w:val="restart"/>
          </w:tcPr>
          <w:p>
            <w:pPr>
              <w:jc w:val="right"/>
              <w:ind w:right="304"/>
              <w:spacing w:after="0"/>
              <w:rPr>
                <w:sz w:val="20"/>
                <w:szCs w:val="20"/>
                <w:color w:val="auto"/>
              </w:rPr>
            </w:pPr>
            <w:r>
              <w:rPr>
                <w:rFonts w:ascii="Arial" w:cs="Arial" w:eastAsia="Arial" w:hAnsi="Arial"/>
                <w:sz w:val="13"/>
                <w:szCs w:val="13"/>
                <w:color w:val="auto"/>
              </w:rPr>
              <w:t>781</w:t>
            </w:r>
          </w:p>
        </w:tc>
        <w:tc>
          <w:tcPr>
            <w:tcW w:w="760" w:type="dxa"/>
            <w:vAlign w:val="bottom"/>
            <w:vMerge w:val="restart"/>
          </w:tcPr>
          <w:p>
            <w:pPr>
              <w:jc w:val="right"/>
              <w:ind w:right="303"/>
              <w:spacing w:after="0"/>
              <w:rPr>
                <w:sz w:val="20"/>
                <w:szCs w:val="20"/>
                <w:color w:val="auto"/>
              </w:rPr>
            </w:pPr>
            <w:r>
              <w:rPr>
                <w:rFonts w:ascii="Arial" w:cs="Arial" w:eastAsia="Arial" w:hAnsi="Arial"/>
                <w:sz w:val="13"/>
                <w:szCs w:val="13"/>
                <w:color w:val="auto"/>
              </w:rPr>
              <w:t>748</w:t>
            </w: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3"/>
                <w:szCs w:val="13"/>
                <w:color w:val="auto"/>
              </w:rPr>
              <w:t>808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3"/>
              <w:spacing w:after="0"/>
              <w:rPr>
                <w:sz w:val="20"/>
                <w:szCs w:val="20"/>
                <w:color w:val="auto"/>
              </w:rPr>
            </w:pPr>
            <w:r>
              <w:rPr>
                <w:rFonts w:ascii="Arial" w:cs="Arial" w:eastAsia="Arial" w:hAnsi="Arial"/>
                <w:sz w:val="13"/>
                <w:szCs w:val="13"/>
                <w:color w:val="auto"/>
              </w:rPr>
              <w:t>2,986</w:t>
            </w:r>
          </w:p>
        </w:tc>
        <w:tc>
          <w:tcPr>
            <w:tcW w:w="780" w:type="dxa"/>
            <w:vAlign w:val="bottom"/>
            <w:vMerge w:val="restart"/>
            <w:shd w:val="clear" w:color="auto" w:fill="CCEEFF"/>
          </w:tcPr>
          <w:p>
            <w:pPr>
              <w:jc w:val="right"/>
              <w:ind w:right="345"/>
              <w:spacing w:after="0"/>
              <w:rPr>
                <w:sz w:val="20"/>
                <w:szCs w:val="20"/>
                <w:color w:val="auto"/>
              </w:rPr>
            </w:pPr>
            <w:r>
              <w:rPr>
                <w:rFonts w:ascii="Arial" w:cs="Arial" w:eastAsia="Arial" w:hAnsi="Arial"/>
                <w:sz w:val="13"/>
                <w:szCs w:val="13"/>
                <w:color w:val="auto"/>
              </w:rPr>
              <w:t>2,461</w:t>
            </w:r>
          </w:p>
        </w:tc>
        <w:tc>
          <w:tcPr>
            <w:tcW w:w="780" w:type="dxa"/>
            <w:vAlign w:val="bottom"/>
            <w:vMerge w:val="restart"/>
            <w:shd w:val="clear" w:color="auto" w:fill="CCEEFF"/>
          </w:tcPr>
          <w:p>
            <w:pPr>
              <w:jc w:val="right"/>
              <w:ind w:right="304"/>
              <w:spacing w:after="0"/>
              <w:rPr>
                <w:sz w:val="20"/>
                <w:szCs w:val="20"/>
                <w:color w:val="auto"/>
              </w:rPr>
            </w:pPr>
            <w:r>
              <w:rPr>
                <w:rFonts w:ascii="Arial" w:cs="Arial" w:eastAsia="Arial" w:hAnsi="Arial"/>
                <w:sz w:val="13"/>
                <w:szCs w:val="13"/>
                <w:color w:val="auto"/>
              </w:rPr>
              <w:t>2,008</w:t>
            </w:r>
          </w:p>
        </w:tc>
        <w:tc>
          <w:tcPr>
            <w:tcW w:w="76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1,997</w:t>
            </w: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2,060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2,058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vMerge w:val="restart"/>
          </w:tcPr>
          <w:p>
            <w:pPr>
              <w:jc w:val="right"/>
              <w:ind w:right="345"/>
              <w:spacing w:after="0"/>
              <w:rPr>
                <w:sz w:val="20"/>
                <w:szCs w:val="20"/>
                <w:color w:val="auto"/>
              </w:rPr>
            </w:pPr>
            <w:r>
              <w:rPr>
                <w:rFonts w:ascii="Arial" w:cs="Arial" w:eastAsia="Arial" w:hAnsi="Arial"/>
                <w:sz w:val="13"/>
                <w:szCs w:val="13"/>
                <w:color w:val="auto"/>
              </w:rPr>
              <w:t>6,877</w:t>
            </w:r>
          </w:p>
        </w:tc>
        <w:tc>
          <w:tcPr>
            <w:tcW w:w="780" w:type="dxa"/>
            <w:vAlign w:val="bottom"/>
            <w:vMerge w:val="restart"/>
          </w:tcPr>
          <w:p>
            <w:pPr>
              <w:jc w:val="right"/>
              <w:ind w:right="304"/>
              <w:spacing w:after="0"/>
              <w:rPr>
                <w:sz w:val="20"/>
                <w:szCs w:val="20"/>
                <w:color w:val="auto"/>
              </w:rPr>
            </w:pPr>
            <w:r>
              <w:rPr>
                <w:rFonts w:ascii="Arial" w:cs="Arial" w:eastAsia="Arial" w:hAnsi="Arial"/>
                <w:sz w:val="13"/>
                <w:szCs w:val="13"/>
                <w:color w:val="auto"/>
              </w:rPr>
              <w:t>4,312</w:t>
            </w:r>
          </w:p>
        </w:tc>
        <w:tc>
          <w:tcPr>
            <w:tcW w:w="760" w:type="dxa"/>
            <w:vAlign w:val="bottom"/>
            <w:vMerge w:val="restart"/>
          </w:tcPr>
          <w:p>
            <w:pPr>
              <w:jc w:val="right"/>
              <w:ind w:right="303"/>
              <w:spacing w:after="0"/>
              <w:rPr>
                <w:sz w:val="20"/>
                <w:szCs w:val="20"/>
                <w:color w:val="auto"/>
              </w:rPr>
            </w:pPr>
            <w:r>
              <w:rPr>
                <w:rFonts w:ascii="Arial" w:cs="Arial" w:eastAsia="Arial" w:hAnsi="Arial"/>
                <w:sz w:val="13"/>
                <w:szCs w:val="13"/>
                <w:color w:val="auto"/>
              </w:rPr>
              <w:t>3,323</w:t>
            </w: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3"/>
                <w:szCs w:val="13"/>
                <w:color w:val="auto"/>
              </w:rPr>
              <w:t>2,930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vMerge w:val="restart"/>
          </w:tcPr>
          <w:p>
            <w:pPr>
              <w:jc w:val="right"/>
              <w:ind w:right="97"/>
              <w:spacing w:after="0"/>
              <w:rPr>
                <w:sz w:val="20"/>
                <w:szCs w:val="20"/>
                <w:color w:val="auto"/>
              </w:rPr>
            </w:pPr>
            <w:r>
              <w:rPr>
                <w:rFonts w:ascii="Arial" w:cs="Arial" w:eastAsia="Arial" w:hAnsi="Arial"/>
                <w:sz w:val="13"/>
                <w:szCs w:val="13"/>
                <w:color w:val="auto"/>
              </w:rPr>
              <w:t>2</w:t>
            </w:r>
          </w:p>
        </w:tc>
        <w:tc>
          <w:tcPr>
            <w:tcW w:w="1200" w:type="dxa"/>
            <w:vAlign w:val="bottom"/>
            <w:vMerge w:val="restart"/>
          </w:tcPr>
          <w:p>
            <w:pPr>
              <w:jc w:val="right"/>
              <w:ind w:right="3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04"/>
              <w:spacing w:after="0"/>
              <w:rPr>
                <w:sz w:val="20"/>
                <w:szCs w:val="20"/>
                <w:color w:val="auto"/>
              </w:rPr>
            </w:pPr>
            <w:r>
              <w:rPr>
                <w:rFonts w:ascii="Arial" w:cs="Arial" w:eastAsia="Arial" w:hAnsi="Arial"/>
                <w:sz w:val="13"/>
                <w:szCs w:val="13"/>
                <w:color w:val="auto"/>
              </w:rPr>
              <w:t>14,956</w:t>
            </w:r>
          </w:p>
        </w:tc>
        <w:tc>
          <w:tcPr>
            <w:tcW w:w="760" w:type="dxa"/>
            <w:vAlign w:val="bottom"/>
            <w:vMerge w:val="restart"/>
            <w:shd w:val="clear" w:color="auto" w:fill="CCEEFF"/>
          </w:tcPr>
          <w:p>
            <w:pPr>
              <w:jc w:val="right"/>
              <w:ind w:right="303"/>
              <w:spacing w:after="0"/>
              <w:rPr>
                <w:sz w:val="20"/>
                <w:szCs w:val="20"/>
                <w:color w:val="auto"/>
              </w:rPr>
            </w:pPr>
            <w:r>
              <w:rPr>
                <w:rFonts w:ascii="Arial" w:cs="Arial" w:eastAsia="Arial" w:hAnsi="Arial"/>
                <w:sz w:val="13"/>
                <w:szCs w:val="13"/>
                <w:color w:val="auto"/>
              </w:rPr>
              <w:t>9,625</w:t>
            </w: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8,893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8,439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63</w:t>
            </w:r>
          </w:p>
        </w:tc>
        <w:tc>
          <w:tcPr>
            <w:tcW w:w="1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jc w:val="right"/>
              <w:ind w:right="303"/>
              <w:spacing w:after="0"/>
              <w:rPr>
                <w:sz w:val="20"/>
                <w:szCs w:val="20"/>
                <w:color w:val="auto"/>
              </w:rPr>
            </w:pPr>
            <w:r>
              <w:rPr>
                <w:rFonts w:ascii="Arial" w:cs="Arial" w:eastAsia="Arial" w:hAnsi="Arial"/>
                <w:sz w:val="13"/>
                <w:szCs w:val="13"/>
                <w:color w:val="auto"/>
                <w:w w:val="95"/>
              </w:rPr>
              <w:t>21,889</w:t>
            </w: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11,890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3"/>
                <w:szCs w:val="13"/>
                <w:color w:val="auto"/>
              </w:rPr>
              <w:t>9,455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vMerge w:val="restart"/>
          </w:tcPr>
          <w:p>
            <w:pPr>
              <w:jc w:val="right"/>
              <w:ind w:right="97"/>
              <w:spacing w:after="0"/>
              <w:rPr>
                <w:sz w:val="20"/>
                <w:szCs w:val="20"/>
                <w:color w:val="auto"/>
              </w:rPr>
            </w:pPr>
            <w:r>
              <w:rPr>
                <w:rFonts w:ascii="Arial" w:cs="Arial" w:eastAsia="Arial" w:hAnsi="Arial"/>
                <w:sz w:val="13"/>
                <w:szCs w:val="13"/>
                <w:color w:val="auto"/>
              </w:rPr>
              <w:t>174</w:t>
            </w:r>
          </w:p>
        </w:tc>
        <w:tc>
          <w:tcPr>
            <w:tcW w:w="1200" w:type="dxa"/>
            <w:vAlign w:val="bottom"/>
            <w:vMerge w:val="restart"/>
          </w:tcPr>
          <w:p>
            <w:pPr>
              <w:jc w:val="right"/>
              <w:ind w:right="37"/>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38,178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w w:val="95"/>
              </w:rPr>
              <w:t>16,261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743</w:t>
            </w:r>
          </w:p>
        </w:tc>
        <w:tc>
          <w:tcPr>
            <w:tcW w:w="1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668</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3"/>
                <w:szCs w:val="13"/>
                <w:color w:val="auto"/>
                <w:w w:val="95"/>
              </w:rPr>
              <w:t>36,438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vMerge w:val="restart"/>
          </w:tcPr>
          <w:p>
            <w:pPr>
              <w:jc w:val="right"/>
              <w:ind w:right="97"/>
              <w:spacing w:after="0"/>
              <w:rPr>
                <w:sz w:val="20"/>
                <w:szCs w:val="20"/>
                <w:color w:val="auto"/>
              </w:rPr>
            </w:pPr>
            <w:r>
              <w:rPr>
                <w:rFonts w:ascii="Arial" w:cs="Arial" w:eastAsia="Arial" w:hAnsi="Arial"/>
                <w:sz w:val="13"/>
                <w:szCs w:val="13"/>
                <w:color w:val="auto"/>
              </w:rPr>
              <w:t>2,416</w:t>
            </w:r>
          </w:p>
        </w:tc>
        <w:tc>
          <w:tcPr>
            <w:tcW w:w="1200" w:type="dxa"/>
            <w:vAlign w:val="bottom"/>
            <w:vMerge w:val="restart"/>
          </w:tcPr>
          <w:p>
            <w:pPr>
              <w:jc w:val="right"/>
              <w:ind w:right="37"/>
              <w:spacing w:after="0"/>
              <w:rPr>
                <w:sz w:val="20"/>
                <w:szCs w:val="20"/>
                <w:color w:val="auto"/>
              </w:rPr>
            </w:pPr>
            <w:r>
              <w:rPr>
                <w:rFonts w:ascii="Arial" w:cs="Arial" w:eastAsia="Arial" w:hAnsi="Arial"/>
                <w:sz w:val="13"/>
                <w:szCs w:val="13"/>
                <w:color w:val="auto"/>
              </w:rPr>
              <w:t>3,451</w:t>
            </w:r>
          </w:p>
        </w:tc>
        <w:tc>
          <w:tcPr>
            <w:tcW w:w="0" w:type="dxa"/>
            <w:vAlign w:val="bottom"/>
          </w:tcPr>
          <w:p>
            <w:pPr>
              <w:spacing w:after="0"/>
              <w:rPr>
                <w:sz w:val="1"/>
                <w:szCs w:val="1"/>
                <w:color w:val="auto"/>
              </w:rPr>
            </w:pPr>
          </w:p>
        </w:tc>
      </w:tr>
      <w:tr>
        <w:trPr>
          <w:trHeight w:val="91"/>
        </w:trPr>
        <w:tc>
          <w:tcPr>
            <w:tcW w:w="12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820" w:type="dxa"/>
            <w:vAlign w:val="bottom"/>
            <w:tcBorders>
              <w:bottom w:val="single" w:sz="8" w:color="CCEEFF"/>
            </w:tcBorders>
          </w:tcPr>
          <w:p>
            <w:pPr>
              <w:spacing w:after="0"/>
              <w:rPr>
                <w:sz w:val="7"/>
                <w:szCs w:val="7"/>
                <w:color w:val="auto"/>
              </w:rPr>
            </w:pPr>
          </w:p>
        </w:tc>
        <w:tc>
          <w:tcPr>
            <w:tcW w:w="840" w:type="dxa"/>
            <w:vAlign w:val="bottom"/>
            <w:tcBorders>
              <w:bottom w:val="single" w:sz="8" w:color="CCEEFF"/>
            </w:tcBorders>
          </w:tcPr>
          <w:p>
            <w:pPr>
              <w:spacing w:after="0"/>
              <w:rPr>
                <w:sz w:val="7"/>
                <w:szCs w:val="7"/>
                <w:color w:val="auto"/>
              </w:rPr>
            </w:pPr>
          </w:p>
        </w:tc>
        <w:tc>
          <w:tcPr>
            <w:tcW w:w="78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780" w:type="dxa"/>
            <w:vAlign w:val="bottom"/>
            <w:tcBorders>
              <w:bottom w:val="single" w:sz="8" w:color="CCEEFF"/>
            </w:tcBorders>
          </w:tcPr>
          <w:p>
            <w:pPr>
              <w:spacing w:after="0"/>
              <w:rPr>
                <w:sz w:val="7"/>
                <w:szCs w:val="7"/>
                <w:color w:val="auto"/>
              </w:rPr>
            </w:pPr>
          </w:p>
        </w:tc>
        <w:tc>
          <w:tcPr>
            <w:tcW w:w="780" w:type="dxa"/>
            <w:vAlign w:val="bottom"/>
            <w:tcBorders>
              <w:bottom w:val="single" w:sz="8" w:color="CCEEFF"/>
            </w:tcBorders>
          </w:tcPr>
          <w:p>
            <w:pPr>
              <w:spacing w:after="0"/>
              <w:rPr>
                <w:sz w:val="7"/>
                <w:szCs w:val="7"/>
                <w:color w:val="auto"/>
              </w:rPr>
            </w:pPr>
          </w:p>
        </w:tc>
        <w:tc>
          <w:tcPr>
            <w:tcW w:w="760" w:type="dxa"/>
            <w:vAlign w:val="bottom"/>
            <w:tcBorders>
              <w:bottom w:val="single" w:sz="8" w:color="CCEEFF"/>
            </w:tcBorders>
          </w:tcPr>
          <w:p>
            <w:pPr>
              <w:spacing w:after="0"/>
              <w:rPr>
                <w:sz w:val="7"/>
                <w:szCs w:val="7"/>
                <w:color w:val="auto"/>
              </w:rPr>
            </w:pPr>
          </w:p>
        </w:tc>
        <w:tc>
          <w:tcPr>
            <w:tcW w:w="5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540" w:type="dxa"/>
            <w:vAlign w:val="bottom"/>
            <w:tcBorders>
              <w:bottom w:val="single" w:sz="8" w:color="CCEEFF"/>
            </w:tcBorders>
            <w:vMerge w:val="continue"/>
          </w:tcPr>
          <w:p>
            <w:pPr>
              <w:spacing w:after="0"/>
              <w:rPr>
                <w:sz w:val="7"/>
                <w:szCs w:val="7"/>
                <w:color w:val="auto"/>
              </w:rPr>
            </w:pPr>
          </w:p>
        </w:tc>
        <w:tc>
          <w:tcPr>
            <w:tcW w:w="120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w w:val="95"/>
              </w:rPr>
              <w:t>76,389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780" w:type="dxa"/>
            <w:vAlign w:val="bottom"/>
            <w:gridSpan w:val="3"/>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14" w:lineRule="exact"/>
        <w:rPr>
          <w:sz w:val="20"/>
          <w:szCs w:val="20"/>
          <w:color w:val="auto"/>
        </w:rPr>
      </w:pPr>
    </w:p>
    <w:p>
      <w:pPr>
        <w:ind w:left="220" w:hanging="185"/>
        <w:spacing w:after="0"/>
        <w:tabs>
          <w:tab w:leader="none" w:pos="220" w:val="left"/>
        </w:tabs>
        <w:numPr>
          <w:ilvl w:val="0"/>
          <w:numId w:val="42"/>
        </w:numPr>
        <w:rPr>
          <w:rFonts w:ascii="Arial" w:cs="Arial" w:eastAsia="Arial" w:hAnsi="Arial"/>
          <w:sz w:val="13"/>
          <w:szCs w:val="13"/>
          <w:b w:val="1"/>
          <w:bCs w:val="1"/>
          <w:color w:val="auto"/>
        </w:rPr>
      </w:pPr>
      <w:r>
        <w:rPr>
          <w:rFonts w:ascii="Arial" w:cs="Arial" w:eastAsia="Arial" w:hAnsi="Arial"/>
          <w:sz w:val="13"/>
          <w:szCs w:val="13"/>
          <w:color w:val="auto"/>
        </w:rPr>
        <w:t>Cumulative number of reported defaults includes cumulative paid claims plus loans in default by accident year as of December 31, 2018.</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summarizes cumulative paid losses and allocated loss adjustment expenses, net of reinsurance. The information about paid loss development for the years ended December 31, 2010 through 2017 is presented as supplementary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4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0"/>
              </w:rPr>
              <w:t>Cumulative Paid Losses and Allocated LAE</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5"/>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4"/>
          </w:tcPr>
          <w:p>
            <w:pPr>
              <w:jc w:val="center"/>
              <w:ind w:right="470"/>
              <w:spacing w:after="0"/>
              <w:rPr>
                <w:sz w:val="20"/>
                <w:szCs w:val="20"/>
                <w:color w:val="auto"/>
              </w:rPr>
            </w:pPr>
            <w:r>
              <w:rPr>
                <w:rFonts w:ascii="Arial" w:cs="Arial" w:eastAsia="Arial" w:hAnsi="Arial"/>
                <w:sz w:val="18"/>
                <w:szCs w:val="18"/>
                <w:b w:val="1"/>
                <w:bCs w:val="1"/>
                <w:color w:val="auto"/>
                <w:w w:val="90"/>
              </w:rPr>
              <w:t>For the Years Ended December 31,</w:t>
            </w:r>
          </w:p>
        </w:tc>
        <w:tc>
          <w:tcPr>
            <w:tcW w:w="1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Unaudited</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Accident Year</w:t>
            </w:r>
          </w:p>
        </w:tc>
        <w:tc>
          <w:tcPr>
            <w:tcW w:w="24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44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535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665</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665</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239</w:t>
            </w:r>
          </w:p>
        </w:tc>
        <w:tc>
          <w:tcPr>
            <w:tcW w:w="760" w:type="dxa"/>
            <w:vAlign w:val="bottom"/>
          </w:tcPr>
          <w:p>
            <w:pPr>
              <w:jc w:val="right"/>
              <w:spacing w:after="0"/>
              <w:rPr>
                <w:sz w:val="20"/>
                <w:szCs w:val="20"/>
                <w:color w:val="auto"/>
              </w:rPr>
            </w:pPr>
            <w:r>
              <w:rPr>
                <w:rFonts w:ascii="Arial" w:cs="Arial" w:eastAsia="Arial" w:hAnsi="Arial"/>
                <w:sz w:val="18"/>
                <w:szCs w:val="18"/>
                <w:color w:val="auto"/>
              </w:rPr>
              <w:t>928</w:t>
            </w:r>
          </w:p>
        </w:tc>
        <w:tc>
          <w:tcPr>
            <w:tcW w:w="44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1,501</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1,775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1,587</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2,463</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544</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3,610</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7,535</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927</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5,370</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r>
      <w:tr>
        <w:trPr>
          <w:trHeight w:val="237"/>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26,925</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6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w w:val="92"/>
              </w:rPr>
              <w:t>All outstanding liabilities before 2010, net of reinsurance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20" w:type="dxa"/>
            <w:vAlign w:val="bottom"/>
            <w:gridSpan w:val="5"/>
          </w:tcPr>
          <w:p>
            <w:pPr>
              <w:jc w:val="right"/>
              <w:ind w:right="220"/>
              <w:spacing w:after="0"/>
              <w:rPr>
                <w:sz w:val="20"/>
                <w:szCs w:val="20"/>
                <w:color w:val="auto"/>
              </w:rPr>
            </w:pPr>
            <w:r>
              <w:rPr>
                <w:rFonts w:ascii="Arial" w:cs="Arial" w:eastAsia="Arial" w:hAnsi="Arial"/>
                <w:sz w:val="18"/>
                <w:szCs w:val="18"/>
                <w:color w:val="auto"/>
                <w:w w:val="89"/>
              </w:rPr>
              <w:t>Reserve for losses and LAE, net of reinsurance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49,464</w:t>
            </w:r>
          </w:p>
        </w:tc>
      </w:tr>
      <w:tr>
        <w:trPr>
          <w:trHeight w:val="70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99</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our mortgage insurance portfolio, our average annual payout of losses as of December 31, 2018 is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Annual Percentage Payout of Incurred Losses and Allocated LAE by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7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w:t>
            </w:r>
          </w:p>
        </w:tc>
      </w:tr>
      <w:tr>
        <w:trPr>
          <w:trHeight w:val="277"/>
        </w:trPr>
        <w:tc>
          <w:tcPr>
            <w:tcW w:w="55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43"/>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Payout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5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Essent Group and its subsidiaries, Essent Irish Intermediate Holdings Limited and Essent US Holdings, Inc. (collectively, the "Borrowers"), are parties to a secured credit facility (the “Credit Facility”) which provides for a revolving credit facility, term loans and an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17). The borrowings under the Credit Facility contractually mature on May 17, 2021. This description is not intended to be complete in all respects and is qualified in its entirety by the terms of the Credit Facility, including its covenants.</w:t>
      </w:r>
    </w:p>
    <w:p>
      <w:pPr>
        <w:spacing w:after="0" w:line="1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2, 2018, the Credit Facility was amended to increase the committed capacity by $125 million to $500 million and to increase the uncommitted line by $25 million to $100 million. The revolving component of the Credit Facility was increased from $250 million to $275 million, and the Borrowers issued $100 million of additional term loans, resulting in $225 million of term loans outstanding. The proceeds of $100 million of additional term loans were used to pay down borrowings outstanding under the revolving component of the Credit Facility. The interest rate, contractual maturity and other terms of the Credit Facility are otherwise unchanged from those described above. As of December 31, 2018, the Company was in compliance with the covenants and $225 million had been borrowed under the Credit Facility with a weighted average interest rate of 4.43%. As of December 31, 2017, $250 million had been borrowed with a weighted average interest rate of 3.49%.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the years ended December 31, 2018 and 2017, we paid $0.1 million and $0.2 million, respectively, related to remedies. As of December 31, 2018, management believes any potential claims for indemnification related to contract underwriting services through December 31, 2018 are not material to our consolidated financial position or results of operations.</w:t>
      </w:r>
    </w:p>
    <w:p>
      <w:pPr>
        <w:spacing w:after="0" w:line="18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37"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2018,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lease office space for use in our operations under leases accounted for as operating leases. Total rent expense was $2.1 million, $2.1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 million for the years ended December 31, 2018, 2017 and 2016, respectively. The future minimum lease payments of non-cancelable operating leases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 at December 31, 2018:</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2,674</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2,628</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2,711</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r>
      <w:tr>
        <w:trPr>
          <w:trHeight w:val="243"/>
        </w:trPr>
        <w:tc>
          <w:tcPr>
            <w:tcW w:w="10160" w:type="dxa"/>
            <w:vAlign w:val="bottom"/>
            <w:gridSpan w:val="3"/>
          </w:tcPr>
          <w:p>
            <w:pPr>
              <w:ind w:left="40"/>
              <w:spacing w:after="0"/>
              <w:rPr>
                <w:sz w:val="20"/>
                <w:szCs w:val="20"/>
                <w:color w:val="auto"/>
              </w:rPr>
            </w:pPr>
            <w:r>
              <w:rPr>
                <w:rFonts w:ascii="Arial" w:cs="Arial" w:eastAsia="Arial" w:hAnsi="Arial"/>
                <w:sz w:val="18"/>
                <w:szCs w:val="18"/>
                <w:color w:val="auto"/>
              </w:rPr>
              <w:t>2024 and thereafter</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1,963</w:t>
            </w:r>
          </w:p>
        </w:tc>
      </w:tr>
      <w:tr>
        <w:trPr>
          <w:trHeight w:val="27"/>
        </w:trPr>
        <w:tc>
          <w:tcPr>
            <w:tcW w:w="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15,186</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2019 under the non-cancelable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2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66"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In August 2017, Essent Group completed the sale of 5.0 million common shares in a public offering at a price of $39.90 per share. The total net proceeds from this offering were approximately $197.7 million after deducting underwriting discounts, commissions and other offering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IPO in 2013, Essent Group's Board of Directors adopted, and Essent Group's shareholders approved, the Essent Group Ltd. 2013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Long-Term Incentive Plan (the "2013 Plan"), which was effective upon completion of the initial public offering. The types of awards available under the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include nonvested shares, nonvested share units, non-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337"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qualified share options, incentive stock options, share appreciation rights, and other share-based or cash-based awards. Amendments to our 2013 Plan were approved by shareholders and effective as of May 3, 2017. These amendments included a reduction in the maximum number of shares and share units available for issuance to 7.5 million under the Amended and Restated 2013 Plan (inclusive of approximately 2.6 million nonvested shares and share units outstanding as of May 3, 2017), down from the approximately 14.7 million shares and share units originally available for issuance under the 2013 Plan. As of December 31, 2018, there were 4.6 million common shares available for future grant under the 2013 Plan.</w:t>
      </w:r>
    </w:p>
    <w:p>
      <w:pPr>
        <w:spacing w:after="0" w:line="17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September 2013 and February 2014, certain members of senior management were granted nonvested common shares under the 2013 Plan that were subject to time-based and performance-based vesting. The time-based share awards granted in September 2013 vested in four equal installments on January 1, 2015, 2016, 2017 and 2018. The time-based share awards granted in February 2014 vested in three equal installments on March 1, 2015, 2016 and 2017. The performance-based share awards vest based upon our compounded annual book value per share growth percentage during a three-year performance period that commenced on January 1, 2014. The September 2013 performance-based share awards vested on the one-year anniversary of the completion of the performance period, and the February 2014 performance-based share awards vested on March 1, 2017.</w:t>
      </w:r>
    </w:p>
    <w:p>
      <w:pPr>
        <w:spacing w:after="0" w:line="165"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In May 2015, nonvested common shares were granted to an employee in connection with an employment agreement that are subject to time-based and performance-based vesting. The time-based share award vests in four equal installments on July 1, 2016, 2017, 2018 and 2019. The performance-based share award vests based upon our compounded annual book value per share growth percentage during a three-year performance period that commenced on January 1, 2015 and vest on July 1, 2019.</w:t>
      </w:r>
    </w:p>
    <w:p>
      <w:pPr>
        <w:spacing w:after="0" w:line="18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February of each year, 2015 through 2018, certain members of senior management were granted nonvested common shares under the 2013 Plan that were subject to time-based and performance-based vesting. The time-based share awards vest in three equal yearly installments commencing on March 1 of the year following the grant year. The performance-based share awards vest based upon our compounded annual book value per share growth percentage during a three-year performance period that commences on January 1 of the grant year and vest on March 1 following the end of the performance period.</w:t>
      </w:r>
    </w:p>
    <w:p>
      <w:pPr>
        <w:spacing w:after="0" w:line="15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2018 Performance-Based Grants</w:t>
            </w:r>
          </w:p>
        </w:tc>
        <w:tc>
          <w:tcPr>
            <w:tcW w:w="25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2017 Performance-Based Grants</w:t>
            </w:r>
          </w:p>
        </w:tc>
        <w:tc>
          <w:tcPr>
            <w:tcW w:w="25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2016 Performance-Based Grants</w:t>
            </w:r>
          </w:p>
        </w:tc>
        <w:tc>
          <w:tcPr>
            <w:tcW w:w="24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9"/>
              </w:rPr>
              <w:t>2013, 2014 and 2015 Performance-</w:t>
            </w: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2520" w:type="dxa"/>
            <w:vAlign w:val="bottom"/>
            <w:gridSpan w:val="4"/>
            <w:vMerge w:val="continue"/>
          </w:tcPr>
          <w:p>
            <w:pPr>
              <w:spacing w:after="0"/>
              <w:rPr>
                <w:sz w:val="16"/>
                <w:szCs w:val="16"/>
                <w:color w:val="auto"/>
              </w:rPr>
            </w:pPr>
          </w:p>
        </w:tc>
        <w:tc>
          <w:tcPr>
            <w:tcW w:w="242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Based Grants</w:t>
            </w: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jc w:val="center"/>
              <w:ind w:right="43"/>
              <w:spacing w:after="0" w:line="144" w:lineRule="exact"/>
              <w:rPr>
                <w:sz w:val="20"/>
                <w:szCs w:val="20"/>
                <w:color w:val="auto"/>
              </w:rPr>
            </w:pPr>
            <w:r>
              <w:rPr>
                <w:rFonts w:ascii="Arial" w:cs="Arial" w:eastAsia="Arial" w:hAnsi="Arial"/>
                <w:sz w:val="13"/>
                <w:szCs w:val="13"/>
                <w:b w:val="1"/>
                <w:bCs w:val="1"/>
                <w:color w:val="auto"/>
                <w:w w:val="85"/>
              </w:rPr>
              <w:t>Compounded</w:t>
            </w:r>
          </w:p>
        </w:tc>
        <w:tc>
          <w:tcPr>
            <w:tcW w:w="1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Compounded</w:t>
            </w: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Compounded</w:t>
            </w: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Compounded</w:t>
            </w: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89"/>
              </w:rPr>
              <w:t>Annual Book</w:t>
            </w:r>
          </w:p>
        </w:tc>
        <w:tc>
          <w:tcPr>
            <w:tcW w:w="124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Nonvested</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Annual Book</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Nonvested</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Annual Book</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Nonvested</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Annual Book</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Nonvested</w:t>
            </w: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128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88"/>
              </w:rPr>
              <w:t>Value Per Share</w:t>
            </w:r>
          </w:p>
        </w:tc>
        <w:tc>
          <w:tcPr>
            <w:tcW w:w="1240" w:type="dxa"/>
            <w:vAlign w:val="bottom"/>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Common</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Value Per Share</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Value Per Share</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Value Per Share</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Common</w:t>
            </w:r>
          </w:p>
        </w:tc>
        <w:tc>
          <w:tcPr>
            <w:tcW w:w="0" w:type="dxa"/>
            <w:vAlign w:val="bottom"/>
          </w:tcPr>
          <w:p>
            <w:pPr>
              <w:spacing w:after="0"/>
              <w:rPr>
                <w:sz w:val="1"/>
                <w:szCs w:val="1"/>
                <w:color w:val="auto"/>
              </w:rPr>
            </w:pPr>
          </w:p>
        </w:tc>
      </w:tr>
      <w:tr>
        <w:trPr>
          <w:trHeight w:val="174"/>
        </w:trPr>
        <w:tc>
          <w:tcPr>
            <w:tcW w:w="1420" w:type="dxa"/>
            <w:vAlign w:val="bottom"/>
            <w:gridSpan w:val="2"/>
            <w:vMerge w:val="continue"/>
          </w:tcPr>
          <w:p>
            <w:pPr>
              <w:spacing w:after="0"/>
              <w:rPr>
                <w:sz w:val="15"/>
                <w:szCs w:val="15"/>
                <w:color w:val="auto"/>
              </w:rPr>
            </w:pPr>
          </w:p>
        </w:tc>
        <w:tc>
          <w:tcPr>
            <w:tcW w:w="1280" w:type="dxa"/>
            <w:vAlign w:val="bottom"/>
          </w:tcPr>
          <w:p>
            <w:pPr>
              <w:jc w:val="center"/>
              <w:ind w:right="43"/>
              <w:spacing w:after="0"/>
              <w:rPr>
                <w:sz w:val="20"/>
                <w:szCs w:val="20"/>
                <w:color w:val="auto"/>
              </w:rPr>
            </w:pPr>
            <w:r>
              <w:rPr>
                <w:rFonts w:ascii="Arial" w:cs="Arial" w:eastAsia="Arial" w:hAnsi="Arial"/>
                <w:sz w:val="13"/>
                <w:szCs w:val="13"/>
                <w:b w:val="1"/>
                <w:bCs w:val="1"/>
                <w:color w:val="auto"/>
                <w:w w:val="87"/>
              </w:rPr>
              <w:t>Growth</w:t>
            </w:r>
          </w:p>
        </w:tc>
        <w:tc>
          <w:tcPr>
            <w:tcW w:w="1240" w:type="dxa"/>
            <w:vAlign w:val="bottom"/>
          </w:tcPr>
          <w:p>
            <w:pPr>
              <w:jc w:val="center"/>
              <w:ind w:right="40"/>
              <w:spacing w:after="0"/>
              <w:rPr>
                <w:sz w:val="20"/>
                <w:szCs w:val="20"/>
                <w:color w:val="auto"/>
              </w:rPr>
            </w:pPr>
            <w:r>
              <w:rPr>
                <w:rFonts w:ascii="Arial" w:cs="Arial" w:eastAsia="Arial" w:hAnsi="Arial"/>
                <w:sz w:val="13"/>
                <w:szCs w:val="13"/>
                <w:b w:val="1"/>
                <w:bCs w:val="1"/>
                <w:color w:val="auto"/>
                <w:w w:val="87"/>
              </w:rPr>
              <w:t>Shares Earned</w:t>
            </w:r>
          </w:p>
        </w:tc>
        <w:tc>
          <w:tcPr>
            <w:tcW w:w="12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Growth</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Shares Earned</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Growth</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Shares Earned</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Growth</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7"/>
              </w:rPr>
              <w:t>Shares Earned</w:t>
            </w:r>
          </w:p>
        </w:tc>
        <w:tc>
          <w:tcPr>
            <w:tcW w:w="0" w:type="dxa"/>
            <w:vAlign w:val="bottom"/>
          </w:tcPr>
          <w:p>
            <w:pPr>
              <w:spacing w:after="0"/>
              <w:rPr>
                <w:sz w:val="1"/>
                <w:szCs w:val="1"/>
                <w:color w:val="auto"/>
              </w:rPr>
            </w:pPr>
          </w:p>
        </w:tc>
      </w:tr>
      <w:tr>
        <w:trPr>
          <w:trHeight w:val="243"/>
        </w:trPr>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jc w:val="right"/>
              <w:ind w:right="83"/>
              <w:spacing w:after="0"/>
              <w:rPr>
                <w:sz w:val="20"/>
                <w:szCs w:val="20"/>
                <w:color w:val="auto"/>
              </w:rPr>
            </w:pPr>
            <w:r>
              <w:rPr>
                <w:rFonts w:ascii="Arial" w:cs="Arial" w:eastAsia="Arial" w:hAnsi="Arial"/>
                <w:sz w:val="18"/>
                <w:szCs w:val="18"/>
                <w:color w:val="auto"/>
              </w:rPr>
              <w:t>&lt;15%</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0%</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&lt;16%</w:t>
            </w:r>
          </w:p>
        </w:tc>
        <w:tc>
          <w:tcPr>
            <w:tcW w:w="100" w:type="dxa"/>
            <w:vAlign w:val="bottom"/>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&lt;13%</w:t>
            </w:r>
          </w:p>
        </w:tc>
        <w:tc>
          <w:tcPr>
            <w:tcW w:w="120" w:type="dxa"/>
            <w:vAlign w:val="bottom"/>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&lt;11%</w:t>
            </w:r>
          </w:p>
        </w:tc>
        <w:tc>
          <w:tcPr>
            <w:tcW w:w="100" w:type="dxa"/>
            <w:vAlign w:val="bottom"/>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Threshold</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15%</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83"/>
              <w:spacing w:after="0"/>
              <w:rPr>
                <w:sz w:val="20"/>
                <w:szCs w:val="20"/>
                <w:color w:val="auto"/>
              </w:rPr>
            </w:pPr>
            <w:r>
              <w:rPr>
                <w:rFonts w:ascii="Arial" w:cs="Arial" w:eastAsia="Arial" w:hAnsi="Arial"/>
                <w:sz w:val="18"/>
                <w:szCs w:val="18"/>
                <w:color w:val="auto"/>
              </w:rPr>
              <w:t>16%</w:t>
            </w:r>
          </w:p>
        </w:tc>
        <w:tc>
          <w:tcPr>
            <w:tcW w:w="1240" w:type="dxa"/>
            <w:vAlign w:val="bottom"/>
          </w:tcPr>
          <w:p>
            <w:pPr>
              <w:jc w:val="right"/>
              <w:ind w:right="60"/>
              <w:spacing w:after="0"/>
              <w:rPr>
                <w:sz w:val="20"/>
                <w:szCs w:val="20"/>
                <w:color w:val="auto"/>
              </w:rPr>
            </w:pPr>
            <w:r>
              <w:rPr>
                <w:rFonts w:ascii="Arial" w:cs="Arial" w:eastAsia="Arial" w:hAnsi="Arial"/>
                <w:sz w:val="18"/>
                <w:szCs w:val="18"/>
                <w:color w:val="auto"/>
              </w:rPr>
              <w:t>50%</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2013, 2014, 2015 and 2016 performance-based grants exceeded the maximum performance level and have vested or will vest at 100%.</w:t>
      </w:r>
    </w:p>
    <w:p>
      <w:pPr>
        <w:spacing w:after="0" w:line="14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connection with our incentive program covering bonus awards for performance year 2013, in February 2014, time-based share awards and share units were issued to certain employees that vested in three equal installments on January 1, 2015, 2016 and 2017. In January 2017, time-based share units were issued to all vice president and staff level employees that vest in three equal installments in January 2018, 2019 and 2020. In connection with our incentive program covering bonus awards for performance years 2014 through 2017, in February following each performance year, time-based share awards and share units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37"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were issued to certain employees that vest in three equal yearly installments commencing on March 1 of the year following the grant year.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May of each year, 2015 through 2018, time-based share units were granted to non-employee directors that vest one year from the date of grant.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nonvested common share and nonvested common share unit activity for the year ended December 31:</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(Shares 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beginning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(Shares 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beginning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(Shares in thousands)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Outstanding at beginning of year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Outstanding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344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4545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Time and Performance-</w:t>
            </w:r>
          </w:p>
        </w:tc>
        <w:tc>
          <w:tcPr>
            <w:tcW w:w="2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1,595</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410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536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3"/>
                <w:szCs w:val="23"/>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8"/>
                <w:szCs w:val="18"/>
                <w:color w:val="auto"/>
              </w:rPr>
              <w:t>482</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449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0" w:type="dxa"/>
            <w:vAlign w:val="bottom"/>
            <w:gridSpan w:val="7"/>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Time and Performance-</w:t>
            </w:r>
          </w:p>
        </w:tc>
        <w:tc>
          <w:tcPr>
            <w:tcW w:w="2360" w:type="dxa"/>
            <w:vAlign w:val="bottom"/>
            <w:gridSpan w:val="5"/>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1,503</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605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493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3"/>
                <w:szCs w:val="23"/>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8"/>
                <w:szCs w:val="18"/>
                <w:color w:val="auto"/>
              </w:rPr>
              <w:t>1,595</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536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0" w:type="dxa"/>
            <w:vAlign w:val="bottom"/>
            <w:gridSpan w:val="7"/>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Time and Performance-</w:t>
            </w:r>
          </w:p>
        </w:tc>
        <w:tc>
          <w:tcPr>
            <w:tcW w:w="236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24"/>
              <w:spacing w:after="0"/>
              <w:rPr>
                <w:sz w:val="20"/>
                <w:szCs w:val="20"/>
                <w:color w:val="auto"/>
              </w:rPr>
            </w:pPr>
            <w:r>
              <w:rPr>
                <w:rFonts w:ascii="Arial" w:cs="Arial" w:eastAsia="Arial" w:hAnsi="Arial"/>
                <w:sz w:val="18"/>
                <w:szCs w:val="18"/>
                <w:color w:val="auto"/>
              </w:rPr>
              <w:t>1,294</w:t>
            </w: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890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544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3"/>
                <w:szCs w:val="23"/>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gridSpan w:val="2"/>
          </w:tcPr>
          <w:p>
            <w:pPr>
              <w:jc w:val="right"/>
              <w:ind w:right="24"/>
              <w:spacing w:after="0"/>
              <w:rPr>
                <w:sz w:val="20"/>
                <w:szCs w:val="20"/>
                <w:color w:val="auto"/>
              </w:rPr>
            </w:pPr>
            <w:r>
              <w:rPr>
                <w:rFonts w:ascii="Arial" w:cs="Arial" w:eastAsia="Arial" w:hAnsi="Arial"/>
                <w:sz w:val="18"/>
                <w:szCs w:val="18"/>
                <w:color w:val="auto"/>
              </w:rPr>
              <w:t>1,503</w:t>
            </w: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2"/>
                <w:szCs w:val="22"/>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605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2"/>
                <w:szCs w:val="22"/>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493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-4441825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-4098290</wp:posOffset>
            </wp:positionV>
            <wp:extent cx="72294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-4792980</wp:posOffset>
            </wp:positionV>
            <wp:extent cx="722947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-2494915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-2152015</wp:posOffset>
            </wp:positionV>
            <wp:extent cx="722947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72294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-548005</wp:posOffset>
            </wp:positionV>
            <wp:extent cx="72034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-205105</wp:posOffset>
            </wp:positionV>
            <wp:extent cx="720344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18859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-899795</wp:posOffset>
            </wp:positionV>
            <wp:extent cx="720344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60"/>
          </w:cols>
          <w:pgMar w:left="240" w:top="337" w:right="259" w:bottom="1440" w:gutter="0" w:footer="0" w:header="0"/>
          <w:type w:val="continuous"/>
        </w:sectPr>
      </w:pPr>
    </w:p>
    <w:p>
      <w:pPr>
        <w:spacing w:after="0" w:line="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Quoted market prices are used for the valuation of common shares granted subsequent to our initial public offering. For nonvested common shares granted in September 2013, prior to our IPO,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337" w:right="259" w:bottom="144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Company's business potential and earnings prospects, the Company's historical operating results, market valuations of companies deemed comparable to the Company and an assessment of risks and opportunities.</w:t>
      </w:r>
    </w:p>
    <w:p>
      <w:pPr>
        <w:spacing w:after="0" w:line="170"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total fair value of nonvested shares or share units that vested was $75.9 million, $22.4 million and $15.6 million for the years ended December 31, 2018, 2017 and 2016, respectively. As of December 31, 2018, there was $18.1 million of total unrecognized compensation expense related to nonvested shares or share units outstanding at December 31, 2018 and we expect to recognize the expense over a weighted average period of 1.9 years.</w:t>
      </w:r>
    </w:p>
    <w:p>
      <w:pPr>
        <w:spacing w:after="0" w:line="14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2018, in February 2019, 113,631 nonvested common share units were issued to certain employees and are subject to time-based vesting. In February 2019, 90,292 nonvested common shares were granted to certain members of senior management and are subject to time-based vesting.</w:t>
      </w:r>
    </w:p>
    <w:p>
      <w:pPr>
        <w:spacing w:after="0" w:line="18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718,726, 223,027 and 184,583 in 2018, 2017 and 2016, respectively. The tendered shares were recorded at cost and included in treasury stock. All treasury stock has been cancelled as of December 31, 2018 and 2017.</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Compensation expense, net of forfeitures, and related tax effects recognized in connection with nonvested shares were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16,881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5,455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2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2018, Essent Guaranty had unassigned surplus of approximately $166.8 million. During the year ended December 31, 2018, Essent Guaranty paid to its parent, Essent US Holdings, Inc. ("Essent Holdings"), a $40 million dividend which was used to repay the borrowings remaining under the revolving component of the Credit Facility. Essent Guaranty paid no dividends to Essent Group or any intermediate holding companies in the years ended December 31, 2017 or 2016. Essent PA had unassigned surplus of approximately $10.3 million as of December 31, 2018. Essent PA did not pay a dividend in 2018. In the years ended December 31, 2017 and 2016, Essent PA paid to its parent company, Essent Holdings, a dividend of $5 million and $3.75 million, respectively.</w:t>
      </w:r>
    </w:p>
    <w:p>
      <w:pPr>
        <w:spacing w:after="0" w:line="19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2018, Essent Re had total equity of $798.6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our insurance subsidiaries were in compliance with these rules, regulations and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For the year ended December 31, 2018, the statutory income tax rates of the countries where the Company does business are 21% in the United States and 0.0% in Bermuda. The statutory income tax rate of each country is applied against the taxable income from each country to calculate the income tax expense.</w:t>
      </w:r>
    </w:p>
    <w:p>
      <w:pPr>
        <w:spacing w:after="0" w:line="18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December 22, 2017, the “Tax Cuts and Jobs Act” (“TCJA”) was enacted. The provisions of TCJA include broad tax reforms that are applicable to the Company, including a reduction in the U.S. statutory corporate income tax rate from 35%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337" w:right="2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21% effective January 1, 2018. This change in tax rates required us to remeasure our deferred tax assets and liabilities as of the enactment date resulting in a one-time $85.1 million income tax benefit for the year ended December 31,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consists of the following components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31,712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50,692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65,660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57,564</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Remeasurement of net deferred tax liability for enacted changes in tax law</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79,336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18,821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89,276</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For the year ended December 31, 2018 pre-tax income attributable to Bermuda and U.S. operations was $128.5 million and $418.2 million, respectively, as compared to $86.3 million and $312.3 million, respectively, for the year ended December 31, 2017 and $51.6 million and $260.3 million, respectively, for the year ended December 31, 2016.</w:t>
      </w:r>
    </w:p>
    <w:p>
      <w:pPr>
        <w:spacing w:after="0" w:line="18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Income tax expense is different from that which would be obtained by applying the applicable statutory income tax rates to income before taxes by jurisdiction (i.e. for 2018, U.S. 21%; Bermuda 0.0%; for 2017 and prior U.S. 35%; Bermuda 0.0%). The reconciliation of the difference between income tax expense and the expected tax provision at the weighted average tax rate was as follows for the years ended December 31:</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12"/>
              <w:spacing w:after="0"/>
              <w:rPr>
                <w:sz w:val="20"/>
                <w:szCs w:val="20"/>
                <w:color w:val="auto"/>
              </w:rPr>
            </w:pPr>
            <w:r>
              <w:rPr>
                <w:rFonts w:ascii="Arial" w:cs="Arial" w:eastAsia="Arial" w:hAnsi="Arial"/>
                <w:sz w:val="16"/>
                <w:szCs w:val="16"/>
                <w:b w:val="1"/>
                <w:bCs w:val="1"/>
                <w:color w:val="auto"/>
              </w:rPr>
              <w:t>% of pretax</w:t>
            </w:r>
          </w:p>
        </w:tc>
      </w:tr>
      <w:tr>
        <w:trPr>
          <w:trHeight w:val="210"/>
        </w:trPr>
        <w:tc>
          <w:tcPr>
            <w:tcW w:w="414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Pr>
          <w:p>
            <w:pPr>
              <w:spacing w:after="0"/>
              <w:rPr>
                <w:sz w:val="18"/>
                <w:szCs w:val="18"/>
                <w:color w:val="auto"/>
              </w:rPr>
            </w:pPr>
          </w:p>
        </w:tc>
        <w:tc>
          <w:tcPr>
            <w:tcW w:w="78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20" w:type="dxa"/>
            <w:vAlign w:val="bottom"/>
          </w:tcPr>
          <w:p>
            <w:pPr>
              <w:jc w:val="right"/>
              <w:ind w:right="272"/>
              <w:spacing w:after="0"/>
              <w:rPr>
                <w:sz w:val="20"/>
                <w:szCs w:val="20"/>
                <w:color w:val="auto"/>
              </w:rPr>
            </w:pPr>
            <w:r>
              <w:rPr>
                <w:rFonts w:ascii="Arial" w:cs="Arial" w:eastAsia="Arial" w:hAnsi="Arial"/>
                <w:sz w:val="16"/>
                <w:szCs w:val="16"/>
                <w:b w:val="1"/>
                <w:bCs w:val="1"/>
                <w:color w:val="auto"/>
              </w:rPr>
              <w:t>income</w:t>
            </w:r>
          </w:p>
        </w:tc>
      </w:tr>
      <w:tr>
        <w:trPr>
          <w:trHeight w:val="33"/>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provision at weighted average statutory rates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91,092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Change in valuation of net deferred tax liability</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(85,091)</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Excess tax benefits from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Tax exempt interest, net of proration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79,336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89,276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28,696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(156,332)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5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net deferred tax liability were as follows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Contingency reserves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(151,586)</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14,454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(gain) loss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ceding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Nonvested shares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6,442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2,529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Start-up expenditures,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Loss reserves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Organizational expenditures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(127,636)</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T&amp;L Bonds in an amount equal to the tax benefit derived from deducting any portion of our statutory contingency reserves. During the year ended December 31, 2018, we had a net redemption of T&amp;L Bonds in the amount of $49.8 million and had net purchases of T&amp;L Bonds in the amount of $70.9 million, during the year ended December 31, 2017. As of December 31, 2018 and 2017 we held $202.4 million and $252.2 million of T&amp;L Bonds, respectively.</w:t>
      </w:r>
    </w:p>
    <w:p>
      <w:pPr>
        <w:spacing w:after="0" w:line="158"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December 31, 2018 and 2017, after weighing all the evidence, management concluded that it was more likely than not that our deferred tax assets would be realized.</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4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Essent Holdings and its subsidiaries are subject to income taxes imposed by U.S. law and file a U.S. Consolidated Income Tax Return. Each subsidiary has executed a tax sharing agreement with its parent company, which provides that taxes are settled in cash between parent and subsidiary on a quarterly basis based on separate company pro-forma calculations.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$1.2 billion. The associated withholding tax liability under the U.S./Ireland tax treaty would be approximately $61.0 million.</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3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At December 31, 2018 and 2017, the Company had no unrecognized tax benefits. As of December 31, 2018, the U.S. federal income tax returns for the tax years 2015 through 2017 remain subject to examination. The Company has not recorded any uncertain tax positions as of December 31, 2018 or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Company is a party to an investment advisory agreement with Goldman Sachs Asset Management, L.P., a subsidiary of The Goldman Sachs Group, Inc. ("Goldman Sachs"), one of Essent Group's investors prior to 2017. Through the date of our IPO, Goldman Sachs beneficially owned 11.35% of our outstanding shares. Subsequent to the IPO and prior to 2017, Goldman Sachs directly held less than 10% of our outstanding shares. Investment expense incurred under the investment advisory agreement totaled $0.8 million for the year ended December 31, 2016. Goldman Sachs is also one of several lenders under our Credit Facility discussed in Note 7 and was paid an upfront fee of $0.1 million in 2016. Commitment fees and interest expense incurred under the Credit Facility allocable to Goldman Sachs totaled $0.1 million in 2016.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 (EPS)</w:t>
      </w:r>
    </w:p>
    <w:p>
      <w:pPr>
        <w:spacing w:after="0" w:line="28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379,747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222,606</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Less: dividends declared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Undistributed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467,363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379,747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222,606</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income allocable to common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467,363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379,747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222,606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93,330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90,913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92,245</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128,575, 44,540 and 96,251 antidilutive shares for the years ended December 31, 2018, 2017 and 2016, respectively.</w:t>
      </w:r>
    </w:p>
    <w:p>
      <w:pPr>
        <w:spacing w:after="0" w:line="279"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December 31, 2018, 2017 and 2016, 100% of the performance-based share awards would be issuable under the terms of the arrangements at each date if December 31 was the end of the contingency period.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37"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Before Tax</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Net of Tax</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Before Tax</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Net of Tax</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(losses)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w w:val="94"/>
              </w:rPr>
              <w:t>Unrealized holding (losses) gains arising during the period</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9,363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included in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income (1)</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Net unrealized (losses) gains on investments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8,068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gain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8,068</w:t>
            </w: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9"/>
              </w:rPr>
              <w:t>Reclassification of certain income tax effects resulting from</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tax reform</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935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-98425</wp:posOffset>
            </wp:positionV>
            <wp:extent cx="4262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Included in net realized investments gains on our consolidated statements of comprehensive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w:t>
      </w:r>
    </w:p>
    <w:p>
      <w:pPr>
        <w:spacing w:after="0" w:line="22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60" w:hanging="247"/>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37" w:right="239" w:bottom="1440" w:gutter="0" w:footer="0" w:header="0"/>
        </w:sectPr>
      </w:pPr>
    </w:p>
    <w:bookmarkStart w:id="113" w:name="page114"/>
    <w:bookmarkEnd w:id="113"/>
    <w:p>
      <w:pPr>
        <w:jc w:val="center"/>
        <w:ind w:right="353"/>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47"/>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27"/>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247" w:right="40" w:hanging="247"/>
        <w:spacing w:after="0" w:line="273" w:lineRule="auto"/>
        <w:tabs>
          <w:tab w:leader="none" w:pos="247"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78" w:lineRule="exact"/>
        <w:rPr>
          <w:sz w:val="20"/>
          <w:szCs w:val="20"/>
          <w:color w:val="auto"/>
        </w:rPr>
      </w:pPr>
    </w:p>
    <w:p>
      <w:pPr>
        <w:ind w:left="247" w:right="120" w:firstLine="648"/>
        <w:spacing w:after="0" w:line="287" w:lineRule="auto"/>
        <w:rPr>
          <w:sz w:val="20"/>
          <w:szCs w:val="20"/>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69" w:lineRule="exact"/>
        <w:rPr>
          <w:sz w:val="20"/>
          <w:szCs w:val="20"/>
          <w:color w:val="auto"/>
        </w:rPr>
      </w:pPr>
    </w:p>
    <w:p>
      <w:pPr>
        <w:ind w:left="247" w:right="100" w:hanging="247"/>
        <w:spacing w:after="0" w:line="272" w:lineRule="auto"/>
        <w:tabs>
          <w:tab w:leader="none" w:pos="247"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Derivative liabilities—Through June 30, 2016, certain of our Freddie Mac ACIS contracts were accounted for as derivatives. In determining an exit market, we considered the fact that there is not a principal market for these contracts. In the absence of a principal market, we valued these ACIS contracts in a hypothetical market where market participants, and potential counterparties, included other mortgage guaranty insurers or reinsurers with similar credit quality to us. We believed that in the absence of a principal market, this hypothetical market provided the most relevant information with respect to fair value estimates. These ACIS contracts were classified as Level 3 of the fair value hierarchy. During the quarter ended September 30, 2016, these contracts were amended and are now accounted for as insurance contracts rather than as derivatives. As of December 31, 2018 and 2017, the Company had no freestanding derivative instruments.</w:t>
      </w:r>
    </w:p>
    <w:p>
      <w:pPr>
        <w:spacing w:after="0" w:line="178" w:lineRule="exact"/>
        <w:rPr>
          <w:sz w:val="20"/>
          <w:szCs w:val="20"/>
          <w:color w:val="auto"/>
        </w:rPr>
      </w:pPr>
    </w:p>
    <w:p>
      <w:pPr>
        <w:ind w:left="247" w:firstLine="648"/>
        <w:spacing w:after="0" w:line="272" w:lineRule="auto"/>
        <w:rPr>
          <w:sz w:val="20"/>
          <w:szCs w:val="20"/>
          <w:color w:val="auto"/>
        </w:rPr>
      </w:pPr>
      <w:r>
        <w:rPr>
          <w:rFonts w:ascii="Arial" w:cs="Arial" w:eastAsia="Arial" w:hAnsi="Arial"/>
          <w:sz w:val="17"/>
          <w:szCs w:val="17"/>
          <w:color w:val="auto"/>
        </w:rPr>
        <w:t>Through June 30, 2016, we determined the fair value of our derivative instruments primarily using internally-generated models. We utilized market observable inputs, such as the performance of the underlying pool of mortgages, mortgage prepayment speeds and pricing spreads on the reference STACR notes issued by Freddie Mac, whenever they were available. There was a high degree of uncertainty about our fair value estimates since our contracts were not traded or exchanged, which made external validation and corroboration of our estimates difficult. Considerable judgment was required to interpret market data to develop the estimates of fair value. Accordingly, the estimates may not have been indicative of amounts we could have realized in a market exchange or negotiated termination. The use of different market assumptions or estimation methodologies may have had a material effect on the estimated fair value amounts.</w:t>
      </w:r>
    </w:p>
    <w:p>
      <w:pPr>
        <w:spacing w:after="0" w:line="200" w:lineRule="exact"/>
        <w:rPr>
          <w:sz w:val="20"/>
          <w:szCs w:val="20"/>
          <w:color w:val="auto"/>
        </w:rPr>
      </w:pPr>
    </w:p>
    <w:p>
      <w:pPr>
        <w:spacing w:after="0" w:line="221" w:lineRule="exact"/>
        <w:rPr>
          <w:sz w:val="20"/>
          <w:szCs w:val="20"/>
          <w:color w:val="auto"/>
        </w:rPr>
      </w:pPr>
    </w:p>
    <w:p>
      <w:pPr>
        <w:jc w:val="center"/>
        <w:ind w:right="35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67"/>
          </w:cols>
          <w:pgMar w:left="653" w:top="337" w:right="2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637,178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139,083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139,083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428,975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2,331,091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2,760,066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79,407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263,797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491,602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1,813,463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97"/>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Statutory Accounting</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379,119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261,811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215,951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872,105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761,006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578,887</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916,568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678,701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480,829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12,978</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49,336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45,509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47,387</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48,545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43,141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36,401</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Net income determined in accordance with statutory accounting practices differs from GAAP. In 2018 and 2017,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78"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At December 31, 2018 and 2017,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2018, Essent Guaranty, our GSE-approved mortgage insurance company, was in compliance with the PMIERs.</w:t>
      </w:r>
    </w:p>
    <w:p>
      <w:pPr>
        <w:spacing w:after="0" w:line="16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2018, Essent Guaranty increased its contingency reserve by $237.9 million and Essent PA increased its contingency reserve by $5.4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2018, 2017 or 2016.</w:t>
      </w:r>
    </w:p>
    <w:p>
      <w:pPr>
        <w:spacing w:after="0" w:line="16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3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2018 and 2017, all such requirements were met.</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Essent Re's statutory capital and surplus was $798.5 million and $662.6 million as of December 31, 2018 and 2017, respectively, and statutory net income was $140.2 million and $96.9 million, respectively. Statutory capital and surplus and net income determined in accordance with statutory accounting practices were not significantly different than the amounts determined under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Maintenance Agreement</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2018, Essent PA's risk-to-capital ratio was 4.2:1 and there were no amounts outstanding related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following table summarizes the unaudited results of operations for each quarter of 2018 and 2017. We have prepared the consolidated quarterly information on a basis consistent with the audited consolidated financial statements. In the opinion of management, the financial information reflects all adjustments (which include normal recurring adjustments) required for a fair presentation of the financial information for the quarters presented. This information should be read in conjunction with our audited financial statements and the related notes. The results of interim periods are not necessarily indicative of the results for the full year.</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1"/>
              </w:rPr>
              <w:t>December 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7"/>
              </w:rPr>
              <w:t>September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166,675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152,558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14,905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38,124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132,909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121,580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111,069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97,298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97,951</w:t>
            </w:r>
          </w:p>
        </w:tc>
      </w:tr>
      <w:tr>
        <w:trPr>
          <w:trHeight w:val="675"/>
        </w:trPr>
        <w:tc>
          <w:tcPr>
            <w:tcW w:w="550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1"/>
              </w:rPr>
              <w:t>December 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7"/>
              </w:rPr>
              <w:t>September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137,940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117,651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9,941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36,332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107,399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98,961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86,851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66,598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91,381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91,258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93,023</w:t>
            </w:r>
          </w:p>
        </w:tc>
      </w:tr>
      <w:tr>
        <w:trPr>
          <w:trHeight w:val="891"/>
        </w:trPr>
        <w:tc>
          <w:tcPr>
            <w:tcW w:w="550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380" w:type="dxa"/>
            <w:vAlign w:val="bottom"/>
          </w:tcPr>
          <w:p>
            <w:pPr>
              <w:spacing w:after="0"/>
              <w:rPr>
                <w:sz w:val="14"/>
                <w:szCs w:val="14"/>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174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Amount at which</w:t>
            </w:r>
          </w:p>
        </w:tc>
        <w:tc>
          <w:tcPr>
            <w:tcW w:w="0" w:type="dxa"/>
            <w:vAlign w:val="bottom"/>
          </w:tcPr>
          <w:p>
            <w:pPr>
              <w:spacing w:after="0"/>
              <w:rPr>
                <w:sz w:val="1"/>
                <w:szCs w:val="1"/>
                <w:color w:val="auto"/>
              </w:rPr>
            </w:pPr>
          </w:p>
        </w:tc>
      </w:tr>
      <w:tr>
        <w:trPr>
          <w:trHeight w:val="149"/>
        </w:trPr>
        <w:tc>
          <w:tcPr>
            <w:tcW w:w="5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1"/>
              </w:rPr>
              <w:t>shown in the</w:t>
            </w:r>
          </w:p>
        </w:tc>
        <w:tc>
          <w:tcPr>
            <w:tcW w:w="0" w:type="dxa"/>
            <w:vAlign w:val="bottom"/>
          </w:tcPr>
          <w:p>
            <w:pPr>
              <w:spacing w:after="0"/>
              <w:rPr>
                <w:sz w:val="1"/>
                <w:szCs w:val="1"/>
                <w:color w:val="auto"/>
              </w:rPr>
            </w:pPr>
          </w:p>
        </w:tc>
      </w:tr>
      <w:tr>
        <w:trPr>
          <w:trHeight w:val="192"/>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74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50"/>
        </w:trPr>
        <w:tc>
          <w:tcPr>
            <w:tcW w:w="5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Bonds: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United States Government and government agencies and authorities</w:t>
            </w:r>
          </w:p>
        </w:tc>
        <w:tc>
          <w:tcPr>
            <w:tcW w:w="8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944,750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944,750</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States, municipalities and political subdivisions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481,547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483,879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483,879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121,838</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288,371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284,997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284,997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government and agency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45,001</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All other corporate bonds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738,964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725,201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725,201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fixed maturities</w:t>
            </w:r>
          </w:p>
        </w:tc>
        <w:tc>
          <w:tcPr>
            <w:tcW w:w="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2,638,950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2,605,666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2,605,666</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154,400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154,400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154,400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30,952</w:t>
            </w:r>
          </w:p>
        </w:tc>
        <w:tc>
          <w:tcPr>
            <w:tcW w:w="0" w:type="dxa"/>
            <w:vAlign w:val="bottom"/>
          </w:tcPr>
          <w:p>
            <w:pPr>
              <w:spacing w:after="0"/>
              <w:rPr>
                <w:sz w:val="1"/>
                <w:szCs w:val="1"/>
                <w:color w:val="auto"/>
              </w:rPr>
            </w:pP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Total investments</w:t>
            </w:r>
          </w:p>
        </w:tc>
        <w:tc>
          <w:tcPr>
            <w:tcW w:w="5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2,824,302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2,791,018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2,791,018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Short-term investments available for sale, at fair value (amortized cost: 2018 — $71,804; 2017 — $97,926)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71,804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97,917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Due from affiliates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2,410,085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1,956,955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2,662</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2,491,374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2,064,771</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Due to affiliates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3"/>
              </w:rPr>
              <w:t>Credit facility borrowings (at carrying value, less unamortized deferred costs of $986 in 2018 and $1,409 in 2017)</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124,014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123,591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125,657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124,335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1,110,800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1,127,137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1,282,438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815,075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2,365,717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1,940,436</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2,491,374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2,064,771</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8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5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investment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Administrative service fees from subsidiaries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473</w:t>
            </w: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service fees to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4,832</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r>
      <w:tr>
        <w:trPr>
          <w:trHeight w:val="237"/>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7,018</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 and equity in undistributed net income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Loss before equity in undistributed net income of subsidiaries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(6,150)</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undistributed net income of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390,232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228,756</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467,363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379,747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222,606</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Change in unrealized (depreciation) appreciation of investments, net of tax (benefit) expense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780" w:type="dxa"/>
            <w:vAlign w:val="bottom"/>
            <w:gridSpan w:val="2"/>
          </w:tcPr>
          <w:p>
            <w:pPr>
              <w:ind w:left="420"/>
              <w:spacing w:after="0"/>
              <w:rPr>
                <w:sz w:val="20"/>
                <w:szCs w:val="20"/>
                <w:color w:val="auto"/>
              </w:rPr>
            </w:pPr>
            <w:r>
              <w:rPr>
                <w:rFonts w:ascii="Arial" w:cs="Arial" w:eastAsia="Arial" w:hAnsi="Arial"/>
                <w:sz w:val="18"/>
                <w:szCs w:val="18"/>
                <w:color w:val="auto"/>
              </w:rPr>
              <w:t>($5,686) in 2018, $4,519 in 2017 and ($2,941) in 2016</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(12,156)</w:t>
            </w: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r>
      <w:tr>
        <w:trPr>
          <w:trHeight w:val="257"/>
        </w:trPr>
        <w:tc>
          <w:tcPr>
            <w:tcW w:w="77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441,622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387,815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210,450</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8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467,363</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379,747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222,606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Equity in net income of subsidiaries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(478,880)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(390,232)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(228,756)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(gain) on the sale of investments,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premium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15,537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18,236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17,433</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12,342</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change in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Investments in subsidiaries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(164,927)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(130,101)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maturity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investments available for sale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16,582</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(110,044)</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197,829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Credit facility borrowings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100,000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 facility repayments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Treasury stock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 of issuance costs for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Other financing activities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212,562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93,682</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8,541</w:t>
            </w:r>
          </w:p>
        </w:tc>
      </w:tr>
      <w:tr>
        <w:trPr>
          <w:trHeight w:val="297"/>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at end of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6,601</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4,521</w:t>
            </w:r>
          </w:p>
        </w:tc>
      </w:tr>
      <w:tr>
        <w:trPr>
          <w:trHeight w:val="176"/>
        </w:trPr>
        <w:tc>
          <w:tcPr>
            <w:tcW w:w="6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189"/>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Repayment of borrowings with term loan proceeds (see Note 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0"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29"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2018, Essent Guaranty had unassigned surplus of approximately $166.8 million. During the year ended December 31, 2018, Essent Guaranty paid to its parent, Essent US Holdings, Inc. ("Essent Holdings"), a $40 million dividend which was used to pay down the borrowings remaining under the revolving component of the Credit Facility. Essent PA had unassigned surplus of approximately $10.3 million as of December 31, 2018.</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years ending December 31, 2018, the Parent Company did not receive any dividends from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22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more fully discussed in Note 7 of our consolidated financial statements, on May 2, 2018, the Credit Facility was amended to increase the committed capacity by $125 million to $500 million and to increase the uncommitted line by $25 million to $100 million. The revolving component of the Credit Facility was increased from $250 million to $275 million, and the Borrowers issued $100 million of additional term loans, resulting in $225 million of term loans outstanding at the consolidated level. The proceeds of $100 million of additional term loans were used to pay down borrowings outstanding under the revolving component of the Credit Facility. At December 31, 2018, the Parent Company's borrowings under the Credit Facility contractually mature in 2021.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8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IV—Reinsurance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Premiums Earned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Ceded to Other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Assumed from</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Assumed Premiums</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3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as a Percentage of Net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Companies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Other Companies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Premiums</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660,260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649,492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2017</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530,130</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530,130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422,707</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422,707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gridSpan w:val="2"/>
          </w:tcPr>
          <w:p>
            <w:pPr>
              <w:jc w:val="right"/>
              <w:ind w:right="1037"/>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4" w:name="page125"/>
    <w:bookmarkEnd w:id="124"/>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2018, the end of the period covered by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including our chief executive officer and chief financial officer, assessed the effectiveness of internal control over financial reporting as of December 31, 2018.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2018,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an independent registered public accounting firm, as stated in their report, which is included in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80"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right="600" w:firstLine="432"/>
        <w:spacing w:after="0" w:line="434" w:lineRule="auto"/>
        <w:rPr>
          <w:sz w:val="20"/>
          <w:szCs w:val="20"/>
          <w:color w:val="auto"/>
        </w:rPr>
      </w:pPr>
      <w:r>
        <w:rPr>
          <w:rFonts w:ascii="Arial" w:cs="Arial" w:eastAsia="Arial" w:hAnsi="Arial"/>
          <w:sz w:val="18"/>
          <w:szCs w:val="18"/>
          <w:color w:val="auto"/>
        </w:rPr>
        <w:t xml:space="preserve">Incorporated herein by reference to our definitive proxy statement to be filed with respect to our 2019 Annual General Meeting of Shareholders. </w:t>
      </w:r>
      <w:r>
        <w:rPr>
          <w:rFonts w:ascii="Arial" w:cs="Arial" w:eastAsia="Arial" w:hAnsi="Arial"/>
          <w:sz w:val="18"/>
          <w:szCs w:val="18"/>
          <w:b w:val="1"/>
          <w:bCs w:val="1"/>
          <w:color w:val="auto"/>
        </w:rPr>
        <w:t>ITEM 11. EXECUTIVE COMPENSATION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2019 Annual General Meeting of Shareholders.</w:t>
      </w:r>
    </w:p>
    <w:p>
      <w:pPr>
        <w:spacing w:after="0" w:line="233"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2019 Annual General Meeting of Shareholders.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as of December 31, 2018, information concerning equity compensation plans under which our securities are authorized for issuance. The table does not reflect grants, awards, exercises, terminations or expirations since that date.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Number of Securities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60" w:type="dxa"/>
            <w:vAlign w:val="bottom"/>
            <w:vMerge w:val="restart"/>
          </w:tcPr>
          <w:p>
            <w:pPr>
              <w:jc w:val="center"/>
              <w:ind w:right="362"/>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6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0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4"/>
              </w:rPr>
              <w:t>Warrants and Rights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2260" w:type="dxa"/>
            <w:vAlign w:val="bottom"/>
          </w:tcPr>
          <w:p>
            <w:pPr>
              <w:jc w:val="center"/>
              <w:ind w:right="38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448,975  (1)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4,597,100  (3)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448,975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rPr>
              <w:t>4,597,100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-98425</wp:posOffset>
            </wp:positionV>
            <wp:extent cx="40474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 w:lineRule="exact"/>
        <w:rPr>
          <w:sz w:val="20"/>
          <w:szCs w:val="20"/>
          <w:color w:val="auto"/>
        </w:rPr>
      </w:pPr>
    </w:p>
    <w:p>
      <w:pPr>
        <w:ind w:left="420" w:right="120" w:hanging="412"/>
        <w:spacing w:after="0" w:line="254"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these shares are subject to outstanding restricted common share unit awards. This number does not include 689,429 shares that are subject to then-outstanding, but unvested, restricted common share awards because those securities have been subtracted from the number of securities remaining available for future issuance under column (c).</w:t>
      </w:r>
    </w:p>
    <w:p>
      <w:pPr>
        <w:spacing w:after="0" w:line="191" w:lineRule="exact"/>
        <w:rPr>
          <w:rFonts w:ascii="Arial" w:cs="Arial" w:eastAsia="Arial" w:hAnsi="Arial"/>
          <w:sz w:val="18"/>
          <w:szCs w:val="18"/>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 applicable because all outstanding awards reflected in column (a) will be issued upon the vesting of outstanding restricted common share units.</w:t>
      </w:r>
    </w:p>
    <w:p>
      <w:pPr>
        <w:spacing w:after="0" w:line="248" w:lineRule="exact"/>
        <w:rPr>
          <w:rFonts w:ascii="Arial" w:cs="Arial" w:eastAsia="Arial" w:hAnsi="Arial"/>
          <w:sz w:val="16"/>
          <w:szCs w:val="16"/>
          <w:color w:val="auto"/>
        </w:rPr>
      </w:pPr>
    </w:p>
    <w:p>
      <w:pPr>
        <w:ind w:left="420" w:hanging="412"/>
        <w:spacing w:after="0" w:line="271" w:lineRule="auto"/>
        <w:tabs>
          <w:tab w:leader="none" w:pos="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of the shares that remained available for future issuance as of December 31, 2018 were available under the 2013 Essent Group Ltd. Long-Term Incentive Plan, as amended and restated effective May 3, 2017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7,500,000 common shares are reserved and available for delivery under the amended and restated 2013 Plan.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2019 Annual General Meeting of Shareholders.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80" w:right="239" w:bottom="1440" w:gutter="0" w:footer="0" w:header="0"/>
        </w:sectPr>
      </w:pPr>
    </w:p>
    <w:bookmarkStart w:id="126" w:name="page127"/>
    <w:bookmarkEnd w:id="126"/>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2019 Annual General Meeting of Shareholders.</w:t>
      </w: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820"/>
          </w:cols>
          <w:pgMar w:left="240" w:top="580" w:right="8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rFonts w:ascii="Arial" w:cs="Arial" w:eastAsia="Arial" w:hAnsi="Arial"/>
          <w:sz w:val="18"/>
          <w:szCs w:val="18"/>
          <w:color w:val="auto"/>
        </w:rPr>
      </w:pPr>
    </w:p>
    <w:p>
      <w:pPr>
        <w:ind w:left="1120" w:right="200" w:hanging="459"/>
        <w:spacing w:after="0" w:line="277" w:lineRule="auto"/>
        <w:rPr>
          <w:rFonts w:ascii="Arial" w:cs="Arial" w:eastAsia="Arial" w:hAnsi="Arial"/>
          <w:sz w:val="18"/>
          <w:szCs w:val="18"/>
          <w:color w:val="auto"/>
        </w:rPr>
      </w:pPr>
      <w:r>
        <w:rPr>
          <w:rFonts w:ascii="Arial" w:cs="Arial" w:eastAsia="Arial" w:hAnsi="Arial"/>
          <w:sz w:val="18"/>
          <w:szCs w:val="18"/>
          <w:color w:val="auto"/>
        </w:rPr>
        <w:t>1.Financial Statements. See the "Index to Financial Statements—Consolidated Financial Statements" included in Item 8 of Part II of this Annual Report for a list of the financial statements filed as a part of this Annual Report.</w:t>
      </w:r>
    </w:p>
    <w:p>
      <w:pPr>
        <w:spacing w:after="0" w:line="170" w:lineRule="exact"/>
        <w:rPr>
          <w:rFonts w:ascii="Arial" w:cs="Arial" w:eastAsia="Arial" w:hAnsi="Arial"/>
          <w:sz w:val="18"/>
          <w:szCs w:val="18"/>
          <w:color w:val="auto"/>
        </w:rPr>
      </w:pPr>
    </w:p>
    <w:p>
      <w:pPr>
        <w:ind w:left="1120" w:right="300" w:hanging="459"/>
        <w:spacing w:after="0" w:line="277" w:lineRule="auto"/>
        <w:rPr>
          <w:rFonts w:ascii="Arial" w:cs="Arial" w:eastAsia="Arial" w:hAnsi="Arial"/>
          <w:sz w:val="18"/>
          <w:szCs w:val="18"/>
          <w:color w:val="auto"/>
        </w:rPr>
      </w:pPr>
      <w:r>
        <w:rPr>
          <w:rFonts w:ascii="Arial" w:cs="Arial" w:eastAsia="Arial" w:hAnsi="Arial"/>
          <w:sz w:val="18"/>
          <w:szCs w:val="18"/>
          <w:color w:val="auto"/>
        </w:rPr>
        <w:t>2.Financial Statements Schedules. See the "Index to Financial Statements—Financial Statement Schedules" included in Item 8 of Part II of this Annual Report for a list of the financial statements filed as a part of this Annual Report.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2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1000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660" w:type="dxa"/>
            <w:vAlign w:val="bottom"/>
            <w:gridSpan w:val="6"/>
          </w:tcPr>
          <w:p>
            <w:pPr>
              <w:jc w:val="center"/>
              <w:ind w:left="271"/>
              <w:spacing w:after="0" w:line="202" w:lineRule="exact"/>
              <w:rPr>
                <w:rFonts w:ascii="Arial" w:cs="Arial" w:eastAsia="Arial" w:hAnsi="Arial"/>
                <w:sz w:val="18"/>
                <w:szCs w:val="18"/>
                <w:color w:val="0000FF"/>
                <w:w w:val="87"/>
              </w:rPr>
            </w:pPr>
            <w:hyperlink r:id="rId3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0" w:type="dxa"/>
            <w:vAlign w:val="bottom"/>
          </w:tcPr>
          <w:p>
            <w:pPr>
              <w:ind w:left="20"/>
              <w:spacing w:after="0" w:line="202" w:lineRule="exact"/>
              <w:rPr>
                <w:sz w:val="20"/>
                <w:szCs w:val="20"/>
                <w:color w:val="auto"/>
              </w:rPr>
            </w:pPr>
            <w:r>
              <w:rPr>
                <w:rFonts w:ascii="Arial" w:cs="Arial" w:eastAsia="Arial" w:hAnsi="Arial"/>
                <w:sz w:val="18"/>
                <w:szCs w:val="18"/>
                <w:color w:val="auto"/>
                <w:w w:val="93"/>
              </w:rPr>
              <w:t>Memorandum of Association (incorporated herein by reference to Exhibit 3.1 of the Registration Statement on Form S-1 (File No. 333-</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191193) filed on September 16,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Certificate of Deposit of Memorandum of Increase of Share Capital, dated as of February 18, 2009 (incorporated herein by reference to</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Exhibit 3.2 of the Registration Statement on Form S-1 (File No. 333-191193) filed on September 16, 2013)</w:t>
            </w:r>
          </w:p>
        </w:tc>
      </w:tr>
      <w:tr>
        <w:trPr>
          <w:trHeight w:val="230"/>
        </w:trPr>
        <w:tc>
          <w:tcPr>
            <w:tcW w:w="680" w:type="dxa"/>
            <w:vAlign w:val="bottom"/>
            <w:gridSpan w:val="7"/>
          </w:tcPr>
          <w:p>
            <w:pPr>
              <w:jc w:val="center"/>
              <w:ind w:left="231"/>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3.</w:t>
              </w:r>
              <w:r>
                <w:rPr>
                  <w:rFonts w:ascii="Arial" w:cs="Arial" w:eastAsia="Arial" w:hAnsi="Arial"/>
                  <w:sz w:val="18"/>
                  <w:szCs w:val="18"/>
                  <w:u w:val="single" w:color="auto"/>
                  <w:color w:val="0000FF"/>
                  <w:w w:val="89"/>
                </w:rPr>
                <w:t>2.1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4"/>
              </w:rPr>
              <w:t>Certificate of Deposit of Memorandum of Increase of Share Capital, dated as of October 3, 2013 (incorporated herein by reference to</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9"/>
              </w:rPr>
              <w:t>Exhibit 3.2.1 of Amendment No.3 to the Registration Statement on Form S-1 (File No. 333-191193) filed on October 21,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7"/>
              </w:rPr>
              <w:t>Amended and Restated Bye-laws (incorporated herein by reference to Exhibit 3.3 of the Form 10-K (File No. 001-36157) filed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March 10, 2014)</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Form of Common Share Certificate (incorporated herein by reference to Exhibit 4.1 of Amendment No.3 to the Registration Statement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S-1 (File No. 333-191193) filed on October 21,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Third Amended and Restated Registration Rights Agreement, dated as of November 11, 2014, among Essent Group Ltd. and the</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shareholders party thereto (incorporated herein by reference to Exhibit 4.1 of the Form 10-Q (File No. 001-36157) filed on November 14,</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40" w:type="dxa"/>
            <w:vAlign w:val="bottom"/>
            <w:gridSpan w:val="2"/>
          </w:tcPr>
          <w:p>
            <w:pPr>
              <w:ind w:left="360"/>
              <w:spacing w:after="0"/>
              <w:rPr>
                <w:sz w:val="20"/>
                <w:szCs w:val="20"/>
                <w:color w:val="auto"/>
              </w:rPr>
            </w:pPr>
            <w:r>
              <w:rPr>
                <w:rFonts w:ascii="Arial" w:cs="Arial" w:eastAsia="Arial" w:hAnsi="Arial"/>
                <w:sz w:val="18"/>
                <w:szCs w:val="18"/>
                <w:color w:val="auto"/>
              </w:rPr>
              <w:t>2014)</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3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4"/>
              </w:rPr>
              <w:t>Asset Purchase Agreement, dated as of October 7, 2009, between Essent Guaranty, Inc. and Triad Guaranty Insurance Corporation</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10.4 of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September 16,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4"/>
              </w:rPr>
              <w:t>†   Leadership Bonus Program (incorporated herein by reference to Exhibit 10.8 of the Annual Report on Form 10-K (File No. 001-36157)</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filed on February 29, 2016)</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8"/>
              </w:rPr>
              <w:t>†   2013 Long-Term Incentive Plan (incorporated herein by reference to Appendix B to the Company's Definitive Proxy Statement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Schedule 14A (File No. 333-191193) filed on April 3, 2017)</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9"/>
              </w:rPr>
              <w:t>†   Form of Time-Based Restricted Share Agreement (incorporated herein by reference to Exhibit 10.11 of Amendment No.1 to the</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Form of Performance-Based Restricted Share Agreement (incorporated herein by reference to Exhibit 10.11 of the Annual Report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10-K (File No. 001-36157) filed on February 27, 2015)</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2"/>
              </w:rPr>
              <w:t>†   Annual Incentive Plan (incorporated herein by reference to Exhibit 10.13 of Amendment No.1 to the Registration Statement on Form S-1</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(File No. 333-191193) filed on September 26,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Employment Agreement, dated as of September 25, 2013, by and between Essent US Holdings, Inc. and Mark Casale (incorporated</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10.14 of Amendment No.2 to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October 4,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Employment Agreement, dated as of September 26, 2013, by and between Essent US Holdings, Inc. and Vijay Bhasin (incorporated</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10.16 of Amendment No.2 to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October 4,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9"/>
              </w:rPr>
              <w:t>†   Employment Agreement, dated as of September 26, 2013, by and between Essent US Holdings, Inc. and Lawrence E. McAlee</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10.16 of the Annual Report on Form 10-K (File No. 001-36157) filed on February 27, 2015)</w:t>
            </w:r>
          </w:p>
        </w:tc>
      </w:tr>
      <w:tr>
        <w:trPr>
          <w:trHeight w:val="230"/>
        </w:trPr>
        <w:tc>
          <w:tcPr>
            <w:tcW w:w="720" w:type="dxa"/>
            <w:vAlign w:val="bottom"/>
            <w:gridSpan w:val="9"/>
          </w:tcPr>
          <w:p>
            <w:pPr>
              <w:jc w:val="center"/>
              <w:ind w:left="211"/>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10</w:t>
              </w:r>
            </w:hyperlink>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8"/>
              </w:rPr>
              <w:t>†   Employment Agreement, dated as of September 26, 2013, by and between Essent US Holdings, Inc. and Mary Lourdes Gibbons</w:t>
            </w: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10.17 of the Annual Report on Form 10-K (File No. 001-36157) filed on February 27, 2015)</w:t>
            </w:r>
          </w:p>
        </w:tc>
      </w:tr>
      <w:tr>
        <w:trPr>
          <w:trHeight w:val="230"/>
        </w:trPr>
        <w:tc>
          <w:tcPr>
            <w:tcW w:w="720" w:type="dxa"/>
            <w:vAlign w:val="bottom"/>
            <w:gridSpan w:val="9"/>
          </w:tcPr>
          <w:p>
            <w:pPr>
              <w:jc w:val="center"/>
              <w:ind w:left="191"/>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1"/>
              </w:rPr>
              <w:t>†   Employment Agreement, dated as of March 13, 2015, by and between Essent Reinsurance Ltd. and Joseph Hissong (incorporated herein</w:t>
            </w: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by reference to Exhibit 10.18 of the Annual Report on Form 10-K (File No. 001-36157) filed on February 29, 2016)</w:t>
            </w:r>
          </w:p>
        </w:tc>
      </w:tr>
      <w:tr>
        <w:trPr>
          <w:trHeight w:val="48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2"/>
          </w:tcPr>
          <w:p>
            <w:pPr>
              <w:ind w:left="452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400"/>
          </w:cols>
          <w:pgMar w:left="240" w:top="580" w:right="25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12</w:t>
              </w:r>
            </w:hyperlink>
          </w:p>
        </w:tc>
        <w:tc>
          <w:tcPr>
            <w:tcW w:w="10600" w:type="dxa"/>
            <w:vAlign w:val="bottom"/>
          </w:tcPr>
          <w:p>
            <w:pPr>
              <w:ind w:left="320"/>
              <w:spacing w:after="0"/>
              <w:rPr>
                <w:sz w:val="20"/>
                <w:szCs w:val="20"/>
                <w:color w:val="auto"/>
              </w:rPr>
            </w:pPr>
            <w:r>
              <w:rPr>
                <w:rFonts w:ascii="Arial" w:cs="Arial" w:eastAsia="Arial" w:hAnsi="Arial"/>
                <w:sz w:val="18"/>
                <w:szCs w:val="18"/>
                <w:color w:val="auto"/>
                <w:w w:val="92"/>
              </w:rPr>
              <w:t>†   Employment Agreement, dated as of September 26, 2013, by and between Essent Guaranty, Inc. and Jeff Cashmer (incorporated herein</w:t>
            </w: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by reference to Exhibit 10.19 of the Annual Report on Form 10-K (File No. 001-36157) filed on February 16, 2017)</w:t>
            </w:r>
          </w:p>
        </w:tc>
      </w:tr>
      <w:tr>
        <w:trPr>
          <w:trHeight w:val="230"/>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w:anchor="page13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10600" w:type="dxa"/>
            <w:vAlign w:val="bottom"/>
          </w:tcPr>
          <w:p>
            <w:pPr>
              <w:ind w:left="320"/>
              <w:spacing w:after="0"/>
              <w:rPr>
                <w:sz w:val="20"/>
                <w:szCs w:val="20"/>
                <w:color w:val="auto"/>
              </w:rPr>
            </w:pPr>
            <w:r>
              <w:rPr>
                <w:rFonts w:ascii="Arial" w:cs="Arial" w:eastAsia="Arial" w:hAnsi="Arial"/>
                <w:sz w:val="18"/>
                <w:szCs w:val="18"/>
                <w:color w:val="auto"/>
                <w:w w:val="96"/>
              </w:rPr>
              <w:t>†   Employment Agreement, dated as of September 26, 2013, by and between Essent Guaranty, Inc. and Christopher G. Curran (filed</w:t>
            </w: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herewith)</w:t>
            </w:r>
          </w:p>
        </w:tc>
      </w:tr>
      <w:tr>
        <w:trPr>
          <w:trHeight w:val="230"/>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10600" w:type="dxa"/>
            <w:vAlign w:val="bottom"/>
          </w:tcPr>
          <w:p>
            <w:pPr>
              <w:ind w:left="320"/>
              <w:spacing w:after="0"/>
              <w:rPr>
                <w:sz w:val="20"/>
                <w:szCs w:val="20"/>
                <w:color w:val="auto"/>
              </w:rPr>
            </w:pPr>
            <w:r>
              <w:rPr>
                <w:rFonts w:ascii="Arial" w:cs="Arial" w:eastAsia="Arial" w:hAnsi="Arial"/>
                <w:sz w:val="18"/>
                <w:szCs w:val="18"/>
                <w:color w:val="auto"/>
              </w:rPr>
              <w:t>†   Form of Director and Officer Indemnification Agreement (incorporated herein by reference to Exhibit 10.17 of the Registration</w:t>
            </w: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Statement on Form S-1 (File No. 333-191193) filed on September 16, 2013)</w:t>
            </w:r>
          </w:p>
        </w:tc>
      </w:tr>
      <w:tr>
        <w:trPr>
          <w:trHeight w:val="230"/>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10600" w:type="dxa"/>
            <w:vAlign w:val="bottom"/>
          </w:tcPr>
          <w:p>
            <w:pPr>
              <w:ind w:left="320"/>
              <w:spacing w:after="0"/>
              <w:rPr>
                <w:sz w:val="20"/>
                <w:szCs w:val="20"/>
                <w:color w:val="auto"/>
              </w:rPr>
            </w:pPr>
            <w:r>
              <w:rPr>
                <w:rFonts w:ascii="Arial" w:cs="Arial" w:eastAsia="Arial" w:hAnsi="Arial"/>
                <w:sz w:val="18"/>
                <w:szCs w:val="18"/>
                <w:color w:val="auto"/>
                <w:w w:val="96"/>
              </w:rPr>
              <w:t>†   Section 409A Specified Employee Policy (incorporated herein by reference to Exhibit 10.18 of Amendment No.2 to the Registration</w:t>
            </w: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Statement on Form S-1 (File No. 333-191193) filed on October 4, 2013)</w:t>
            </w:r>
          </w:p>
        </w:tc>
      </w:tr>
      <w:tr>
        <w:trPr>
          <w:trHeight w:val="230"/>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16</w:t>
              </w:r>
            </w:hyperlink>
          </w:p>
        </w:tc>
        <w:tc>
          <w:tcPr>
            <w:tcW w:w="10600" w:type="dxa"/>
            <w:vAlign w:val="bottom"/>
          </w:tcPr>
          <w:p>
            <w:pPr>
              <w:ind w:left="660"/>
              <w:spacing w:after="0"/>
              <w:rPr>
                <w:sz w:val="20"/>
                <w:szCs w:val="20"/>
                <w:color w:val="auto"/>
              </w:rPr>
            </w:pPr>
            <w:r>
              <w:rPr>
                <w:rFonts w:ascii="Arial" w:cs="Arial" w:eastAsia="Arial" w:hAnsi="Arial"/>
                <w:sz w:val="18"/>
                <w:szCs w:val="18"/>
                <w:color w:val="auto"/>
                <w:w w:val="91"/>
              </w:rPr>
              <w:t>Amended and Restated Credit Agreement, dated as of May 17, 2017, as amended by Incremental Amendment No. 1 dated as of May 2,</w:t>
            </w:r>
          </w:p>
        </w:tc>
      </w:tr>
      <w:tr>
        <w:trPr>
          <w:trHeight w:val="222"/>
        </w:trPr>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4"/>
              </w:rPr>
              <w:t>2018, by and among Essent Group Ltd., Essent Irish Intermediate Holdings Limited, and Essent US Holdings, Inc., as borrowers, the</w:t>
            </w:r>
          </w:p>
        </w:tc>
      </w:tr>
      <w:tr>
        <w:trPr>
          <w:trHeight w:val="216"/>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3"/>
              </w:rPr>
              <w:t>several banks and other financial institutions or entities from time to time parties to this agreement, as lenders, and JPMorgan Chase</w:t>
            </w:r>
          </w:p>
        </w:tc>
      </w:tr>
      <w:tr>
        <w:trPr>
          <w:trHeight w:val="216"/>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4"/>
              </w:rPr>
              <w:t>Bank, N.A., as administrative agent (incorporated herein by reference to Exhibit 1.1 of the Current Report on Form 8-K (File No. 001-</w:t>
            </w:r>
          </w:p>
        </w:tc>
      </w:tr>
      <w:tr>
        <w:trPr>
          <w:trHeight w:val="230"/>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36157) filed on May 7, 2018)</w:t>
            </w:r>
          </w:p>
        </w:tc>
      </w:tr>
      <w:tr>
        <w:trPr>
          <w:trHeight w:val="230"/>
        </w:trPr>
        <w:tc>
          <w:tcPr>
            <w:tcW w:w="360" w:type="dxa"/>
            <w:vAlign w:val="bottom"/>
            <w:gridSpan w:val="2"/>
          </w:tcPr>
          <w:p>
            <w:pPr>
              <w:jc w:val="center"/>
              <w:spacing w:after="0"/>
              <w:rPr>
                <w:rFonts w:ascii="Arial" w:cs="Arial" w:eastAsia="Arial" w:hAnsi="Arial"/>
                <w:sz w:val="18"/>
                <w:szCs w:val="18"/>
                <w:color w:val="0000FF"/>
                <w:w w:val="85"/>
              </w:rPr>
            </w:pPr>
            <w:hyperlink w:anchor="page150">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List of Subsidiaries (filed herewith)</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250"/>
        </w:trPr>
        <w:tc>
          <w:tcPr>
            <w:tcW w:w="360" w:type="dxa"/>
            <w:vAlign w:val="bottom"/>
            <w:gridSpan w:val="2"/>
          </w:tcPr>
          <w:p>
            <w:pPr>
              <w:jc w:val="center"/>
              <w:spacing w:after="0"/>
              <w:rPr>
                <w:rFonts w:ascii="Arial" w:cs="Arial" w:eastAsia="Arial" w:hAnsi="Arial"/>
                <w:sz w:val="18"/>
                <w:szCs w:val="18"/>
                <w:color w:val="0000FF"/>
                <w:w w:val="85"/>
              </w:rPr>
            </w:pPr>
            <w:hyperlink w:anchor="page151">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60" w:type="dxa"/>
            <w:vAlign w:val="bottom"/>
          </w:tcPr>
          <w:p>
            <w:pPr>
              <w:spacing w:after="0"/>
              <w:rPr>
                <w:sz w:val="21"/>
                <w:szCs w:val="21"/>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Consent of PricewaterhouseCoopers LLP (filed herewith)</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250"/>
        </w:trPr>
        <w:tc>
          <w:tcPr>
            <w:tcW w:w="360" w:type="dxa"/>
            <w:vAlign w:val="bottom"/>
            <w:gridSpan w:val="2"/>
          </w:tcPr>
          <w:p>
            <w:pPr>
              <w:jc w:val="center"/>
              <w:spacing w:after="0"/>
              <w:rPr>
                <w:rFonts w:ascii="Arial" w:cs="Arial" w:eastAsia="Arial" w:hAnsi="Arial"/>
                <w:sz w:val="18"/>
                <w:szCs w:val="18"/>
                <w:color w:val="0000FF"/>
                <w:w w:val="85"/>
              </w:rPr>
            </w:pPr>
            <w:hyperlink w:anchor="page15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0" w:type="dxa"/>
            <w:vAlign w:val="bottom"/>
          </w:tcPr>
          <w:p>
            <w:pPr>
              <w:spacing w:after="0"/>
              <w:rPr>
                <w:sz w:val="21"/>
                <w:szCs w:val="21"/>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1"/>
              </w:rPr>
              <w:t>Certification of Chief Executive Officer required by Rule 13a-14(a) or Rule 15d-14(a) of the Securities Exchange Act of 1934, as adopted</w:t>
            </w:r>
          </w:p>
        </w:tc>
      </w:tr>
      <w:tr>
        <w:trPr>
          <w:trHeight w:val="237"/>
        </w:trPr>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30"/>
        </w:trPr>
        <w:tc>
          <w:tcPr>
            <w:tcW w:w="360" w:type="dxa"/>
            <w:vAlign w:val="bottom"/>
            <w:gridSpan w:val="2"/>
          </w:tcPr>
          <w:p>
            <w:pPr>
              <w:jc w:val="center"/>
              <w:spacing w:after="0"/>
              <w:rPr>
                <w:rFonts w:ascii="Arial" w:cs="Arial" w:eastAsia="Arial" w:hAnsi="Arial"/>
                <w:sz w:val="18"/>
                <w:szCs w:val="18"/>
                <w:color w:val="0000FF"/>
                <w:w w:val="85"/>
              </w:rPr>
            </w:pPr>
            <w:hyperlink w:anchor="page15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2"/>
              </w:rPr>
              <w:t>Certification of Chief Financial Officer required by Rule 13a-14(a) or Rule 15d-14(a) of the Securities Exchange Act of 1934, as adopted</w:t>
            </w:r>
          </w:p>
        </w:tc>
      </w:tr>
      <w:tr>
        <w:trPr>
          <w:trHeight w:val="237"/>
        </w:trPr>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30"/>
        </w:trPr>
        <w:tc>
          <w:tcPr>
            <w:tcW w:w="360" w:type="dxa"/>
            <w:vAlign w:val="bottom"/>
            <w:gridSpan w:val="2"/>
          </w:tcPr>
          <w:p>
            <w:pPr>
              <w:jc w:val="center"/>
              <w:spacing w:after="0"/>
              <w:rPr>
                <w:rFonts w:ascii="Arial" w:cs="Arial" w:eastAsia="Arial" w:hAnsi="Arial"/>
                <w:sz w:val="18"/>
                <w:szCs w:val="18"/>
                <w:color w:val="0000FF"/>
                <w:w w:val="85"/>
              </w:rPr>
            </w:pPr>
            <w:hyperlink w:anchor="page15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w:t>
            </w:r>
          </w:p>
        </w:tc>
      </w:tr>
      <w:tr>
        <w:trPr>
          <w:trHeight w:val="237"/>
        </w:trPr>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the Sarbanes-Oxley Act of 2002 (filed herewith)</w:t>
            </w:r>
          </w:p>
        </w:tc>
      </w:tr>
    </w:tbl>
    <w:p>
      <w:pPr>
        <w:spacing w:after="0" w:line="40" w:lineRule="exact"/>
        <w:rPr>
          <w:sz w:val="20"/>
          <w:szCs w:val="20"/>
          <w:color w:val="auto"/>
        </w:rPr>
      </w:pPr>
    </w:p>
    <w:p>
      <w:pPr>
        <w:ind w:left="1080" w:right="120" w:hanging="1007"/>
        <w:spacing w:after="0" w:line="255" w:lineRule="auto"/>
        <w:tabs>
          <w:tab w:leader="none" w:pos="7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The following financial information from this Annual Report on Form 10-K for the year ended December 31, 2017, formatted in XBRL (Extensible Business Reporting Language) and filed electronically herewith: (i) the Consolidated Balance Sheets as of December 31, 2017 and December 31, 2016; (ii) the Consolidated Statements of Comprehensive Income for the years ended December 31, 2017, 2016 and 2015; (iii) the Consolidated Statements of Changes in Stockholders' Equity for the years ended December 31, 2017, 2016 and 2015; (iv) the Consolidated Statements of Cash Flows for the years ended December 31, 2017, 2016 and 2015; and (v) the Notes to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191770</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08" w:lineRule="exact"/>
        <w:rPr>
          <w:sz w:val="20"/>
          <w:szCs w:val="20"/>
          <w:color w:val="auto"/>
        </w:rPr>
      </w:pPr>
    </w:p>
    <w:p>
      <w:pPr>
        <w:ind w:left="740" w:hanging="577"/>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79" w:lineRule="exact"/>
        <w:rPr>
          <w:sz w:val="20"/>
          <w:szCs w:val="20"/>
          <w:color w:val="auto"/>
        </w:rPr>
      </w:pPr>
    </w:p>
    <w:p>
      <w:pPr>
        <w:ind w:left="740" w:right="160" w:hanging="577"/>
        <w:spacing w:after="0" w:line="286" w:lineRule="auto"/>
        <w:tabs>
          <w:tab w:leader="none" w:pos="7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0" w:lineRule="exact"/>
        <w:rPr>
          <w:sz w:val="20"/>
          <w:szCs w:val="20"/>
          <w:color w:val="auto"/>
        </w:rPr>
      </w:pPr>
    </w:p>
    <w:p>
      <w:pPr>
        <w:spacing w:after="0" w:line="23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20"/>
          </w:cols>
          <w:pgMar w:left="580" w:top="729" w:right="2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15th day of February, 2019.</w:t>
      </w:r>
    </w:p>
    <w:p>
      <w:pPr>
        <w:spacing w:after="0" w:line="200" w:lineRule="exact"/>
        <w:rPr>
          <w:sz w:val="20"/>
          <w:szCs w:val="20"/>
          <w:color w:val="auto"/>
        </w:rPr>
      </w:pPr>
    </w:p>
    <w:p>
      <w:pPr>
        <w:spacing w:after="0" w:line="268"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ESSENT GROUP LTD.</w:t>
            </w:r>
          </w:p>
        </w:tc>
        <w:tc>
          <w:tcPr>
            <w:tcW w:w="406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MARK A. CASALE</w:t>
            </w:r>
          </w:p>
        </w:tc>
      </w:tr>
      <w:tr>
        <w:trPr>
          <w:trHeight w:val="27"/>
        </w:trPr>
        <w:tc>
          <w:tcPr>
            <w:tcW w:w="1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Name:</w:t>
            </w:r>
          </w:p>
        </w:tc>
        <w:tc>
          <w:tcPr>
            <w:tcW w:w="4060" w:type="dxa"/>
            <w:vAlign w:val="bottom"/>
          </w:tcPr>
          <w:p>
            <w:pPr>
              <w:ind w:left="340"/>
              <w:spacing w:after="0"/>
              <w:rPr>
                <w:sz w:val="20"/>
                <w:szCs w:val="20"/>
                <w:color w:val="auto"/>
              </w:rPr>
            </w:pPr>
            <w:r>
              <w:rPr>
                <w:rFonts w:ascii="Arial" w:cs="Arial" w:eastAsia="Arial" w:hAnsi="Arial"/>
                <w:sz w:val="18"/>
                <w:szCs w:val="18"/>
                <w:color w:val="auto"/>
              </w:rPr>
              <w:t>Mark A. Casale</w:t>
            </w:r>
          </w:p>
        </w:tc>
      </w:tr>
    </w:tbl>
    <w:p>
      <w:pPr>
        <w:spacing w:after="0" w:line="40" w:lineRule="exact"/>
        <w:rPr>
          <w:sz w:val="20"/>
          <w:szCs w:val="20"/>
          <w:color w:val="auto"/>
        </w:rPr>
      </w:pPr>
    </w:p>
    <w:p>
      <w:pPr>
        <w:ind w:left="632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Chief</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Executive Officer and President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Mark A. Casale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Lawrence E. McAlee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David B. Weinstock</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JANE P. CHWICK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Jane P. Chwick</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Aditya Dutt</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Robert Glanville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ANGELA HEISE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Angela Heise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Roy J. Kasmar</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Allan Levine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6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Chairman of the Board of Directors,</w:t>
            </w:r>
          </w:p>
        </w:tc>
        <w:tc>
          <w:tcPr>
            <w:tcW w:w="198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122"/>
        </w:trPr>
        <w:tc>
          <w:tcPr>
            <w:tcW w:w="39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2"/>
              </w:rPr>
              <w:t>Chief Executive Officer and President</w:t>
            </w:r>
          </w:p>
        </w:tc>
        <w:tc>
          <w:tcPr>
            <w:tcW w:w="1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3"/>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Senior Vice President, Chief Financial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Vice President, Chief Accounting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4260" w:space="720"/>
            <w:col w:w="6440"/>
          </w:cols>
          <w:pgMar w:left="240" w:top="7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715" w:right="2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36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2"/>
              </w:rPr>
              <w:t>Signature</w:t>
            </w:r>
          </w:p>
        </w:tc>
        <w:tc>
          <w:tcPr>
            <w:tcW w:w="4160" w:type="dxa"/>
            <w:vAlign w:val="bottom"/>
            <w:gridSpan w:val="3"/>
          </w:tcPr>
          <w:p>
            <w:pPr>
              <w:jc w:val="center"/>
              <w:ind w:left="796"/>
              <w:spacing w:after="0"/>
              <w:rPr>
                <w:sz w:val="20"/>
                <w:szCs w:val="20"/>
                <w:color w:val="auto"/>
              </w:rPr>
            </w:pPr>
            <w:r>
              <w:rPr>
                <w:rFonts w:ascii="Arial" w:cs="Arial" w:eastAsia="Arial" w:hAnsi="Arial"/>
                <w:sz w:val="14"/>
                <w:szCs w:val="14"/>
                <w:b w:val="1"/>
                <w:bCs w:val="1"/>
                <w:color w:val="auto"/>
                <w:w w:val="97"/>
              </w:rPr>
              <w:t>Title</w:t>
            </w:r>
          </w:p>
        </w:tc>
        <w:tc>
          <w:tcPr>
            <w:tcW w:w="2660" w:type="dxa"/>
            <w:vAlign w:val="bottom"/>
            <w:gridSpan w:val="3"/>
          </w:tcPr>
          <w:p>
            <w:pPr>
              <w:jc w:val="center"/>
              <w:ind w:left="1256"/>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/s/ DOUGLAS J. PAULS</w:t>
            </w:r>
          </w:p>
        </w:tc>
        <w:tc>
          <w:tcPr>
            <w:tcW w:w="4160" w:type="dxa"/>
            <w:vAlign w:val="bottom"/>
            <w:gridSpan w:val="3"/>
            <w:vMerge w:val="restart"/>
          </w:tcPr>
          <w:p>
            <w:pPr>
              <w:jc w:val="center"/>
              <w:ind w:left="796"/>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vMerge w:val="restart"/>
          </w:tcPr>
          <w:p>
            <w:pPr>
              <w:jc w:val="center"/>
              <w:ind w:left="1256"/>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160" w:type="dxa"/>
            <w:vAlign w:val="bottom"/>
            <w:gridSpan w:val="3"/>
            <w:vMerge w:val="continue"/>
          </w:tcPr>
          <w:p>
            <w:pPr>
              <w:spacing w:after="0"/>
              <w:rPr>
                <w:sz w:val="2"/>
                <w:szCs w:val="2"/>
                <w:color w:val="auto"/>
              </w:rPr>
            </w:pPr>
          </w:p>
        </w:tc>
        <w:tc>
          <w:tcPr>
            <w:tcW w:w="26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Douglas J. Pauls</w:t>
            </w:r>
          </w:p>
        </w:tc>
        <w:tc>
          <w:tcPr>
            <w:tcW w:w="4160" w:type="dxa"/>
            <w:vAlign w:val="bottom"/>
            <w:gridSpan w:val="3"/>
            <w:vMerge w:val="continue"/>
          </w:tcPr>
          <w:p>
            <w:pPr>
              <w:spacing w:after="0"/>
              <w:rPr>
                <w:sz w:val="7"/>
                <w:szCs w:val="7"/>
                <w:color w:val="auto"/>
              </w:rPr>
            </w:pPr>
          </w:p>
        </w:tc>
        <w:tc>
          <w:tcPr>
            <w:tcW w:w="26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continue"/>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/s/ WILLIAM SPIEGEL</w:t>
            </w:r>
          </w:p>
        </w:tc>
        <w:tc>
          <w:tcPr>
            <w:tcW w:w="4160" w:type="dxa"/>
            <w:vAlign w:val="bottom"/>
            <w:gridSpan w:val="3"/>
            <w:vMerge w:val="restart"/>
          </w:tcPr>
          <w:p>
            <w:pPr>
              <w:jc w:val="center"/>
              <w:ind w:left="796"/>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vMerge w:val="restart"/>
          </w:tcPr>
          <w:p>
            <w:pPr>
              <w:jc w:val="center"/>
              <w:ind w:left="1256"/>
              <w:spacing w:after="0"/>
              <w:rPr>
                <w:sz w:val="20"/>
                <w:szCs w:val="20"/>
                <w:color w:val="auto"/>
              </w:rPr>
            </w:pPr>
            <w:r>
              <w:rPr>
                <w:rFonts w:ascii="Arial" w:cs="Arial" w:eastAsia="Arial" w:hAnsi="Arial"/>
                <w:sz w:val="18"/>
                <w:szCs w:val="18"/>
                <w:color w:val="auto"/>
                <w:w w:val="89"/>
              </w:rPr>
              <w:t>February 15, 2019</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160" w:type="dxa"/>
            <w:vAlign w:val="bottom"/>
            <w:gridSpan w:val="3"/>
            <w:vMerge w:val="continue"/>
          </w:tcPr>
          <w:p>
            <w:pPr>
              <w:spacing w:after="0"/>
              <w:rPr>
                <w:sz w:val="2"/>
                <w:szCs w:val="2"/>
                <w:color w:val="auto"/>
              </w:rPr>
            </w:pPr>
          </w:p>
        </w:tc>
        <w:tc>
          <w:tcPr>
            <w:tcW w:w="26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William Spiegel</w:t>
            </w:r>
          </w:p>
        </w:tc>
        <w:tc>
          <w:tcPr>
            <w:tcW w:w="4160" w:type="dxa"/>
            <w:vAlign w:val="bottom"/>
            <w:gridSpan w:val="3"/>
            <w:vMerge w:val="continue"/>
          </w:tcPr>
          <w:p>
            <w:pPr>
              <w:spacing w:after="0"/>
              <w:rPr>
                <w:sz w:val="7"/>
                <w:szCs w:val="7"/>
                <w:color w:val="auto"/>
              </w:rPr>
            </w:pPr>
          </w:p>
        </w:tc>
        <w:tc>
          <w:tcPr>
            <w:tcW w:w="26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continue"/>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40"/>
          </w:cols>
          <w:pgMar w:left="240" w:top="1059" w:right="7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QuickLinks</w:t>
      </w:r>
    </w:p>
    <w:p>
      <w:pPr>
        <w:spacing w:after="0" w:line="360"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Residential Purchase vs. Refinancing Mortgage Originations ($ in billions)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Relative Share of Private and Public Mortgage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Private mortgage insurance NIW ($ in billions)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Portfolio by Credit Score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LTV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Loan Amortization Period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Top Ten States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Top Ten Metropolitan Statistical Areas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Number of Loans in Default and Default Rate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Loan Defaults by Originating Year</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1B. UNRESOLVED STAFF COMMENTS</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4. MINE SAFETY DISCLOSURES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right="360" w:firstLine="351"/>
        <w:spacing w:after="0" w:line="277" w:lineRule="auto"/>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5. MARKET FOR THE COMPANY'S COMMON EQUITY, RELATED STOCKHOLDER MATTERS AND ISSUER PURCHASES OF</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EQUITY SECURITIES</w:t>
        </w:r>
      </w:hyperlink>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Investment Portfolio by Asset Class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Investment Portfolio by Rating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Investment Portfolio by Effective Duration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Top Ten Portfolio Holdings</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INDEX TO FINANCIAL STATEMENTS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Essent Group Ltd. and Subsidiaries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Essent Group Ltd. and Subsidiaries Consolidated Statements of Comprehensive Income</w:t>
        </w:r>
      </w:hyperlink>
    </w:p>
    <w:p>
      <w:pPr>
        <w:spacing w:after="0" w:line="9" w:lineRule="exact"/>
        <w:rPr>
          <w:sz w:val="20"/>
          <w:szCs w:val="20"/>
          <w:color w:val="auto"/>
        </w:rPr>
      </w:pPr>
    </w:p>
    <w:p>
      <w:pPr>
        <w:ind w:right="4180"/>
        <w:spacing w:after="0" w:line="265" w:lineRule="auto"/>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Essent Group Ltd. and Subsidiaries Consolidated Statements of Changes in Stockholders' Equity</w:t>
        </w:r>
      </w:hyperlink>
      <w:r>
        <w:rPr>
          <w:rFonts w:ascii="Arial" w:cs="Arial" w:eastAsia="Arial" w:hAnsi="Arial"/>
          <w:sz w:val="17"/>
          <w:szCs w:val="17"/>
          <w:u w:val="single" w:color="auto"/>
          <w:color w:val="0000EE"/>
        </w:rPr>
        <w:t xml:space="preserve"> </w:t>
      </w:r>
      <w:hyperlink w:anchor="page91">
        <w:r>
          <w:rPr>
            <w:rFonts w:ascii="Arial" w:cs="Arial" w:eastAsia="Arial" w:hAnsi="Arial"/>
            <w:sz w:val="17"/>
            <w:szCs w:val="17"/>
            <w:u w:val="single" w:color="auto"/>
            <w:color w:val="0000EE"/>
          </w:rPr>
          <w:t>Essent Group Ltd. and Subsidiaries Consolidated Statements of Cash Flows</w:t>
        </w:r>
      </w:hyperlink>
      <w:r>
        <w:rPr>
          <w:rFonts w:ascii="Arial" w:cs="Arial" w:eastAsia="Arial" w:hAnsi="Arial"/>
          <w:sz w:val="17"/>
          <w:szCs w:val="17"/>
          <w:u w:val="single" w:color="auto"/>
          <w:color w:val="0000EE"/>
        </w:rPr>
        <w:t xml:space="preserve"> </w:t>
      </w:r>
      <w:hyperlink w:anchor="page92">
        <w:r>
          <w:rPr>
            <w:rFonts w:ascii="Arial" w:cs="Arial" w:eastAsia="Arial" w:hAnsi="Arial"/>
            <w:sz w:val="17"/>
            <w:szCs w:val="17"/>
            <w:u w:val="single" w:color="auto"/>
            <w:color w:val="0000EE"/>
          </w:rPr>
          <w:t>Essent Group Ltd. and Subsidiaries Notes to Consolidated Financial Statements</w:t>
        </w:r>
      </w:hyperlink>
    </w:p>
    <w:p>
      <w:pPr>
        <w:spacing w:after="0" w:line="1" w:lineRule="exact"/>
        <w:rPr>
          <w:rFonts w:ascii="Arial" w:cs="Arial" w:eastAsia="Arial" w:hAnsi="Arial"/>
          <w:sz w:val="17"/>
          <w:szCs w:val="17"/>
          <w:u w:val="single" w:color="auto"/>
          <w:color w:val="0000EE"/>
        </w:rPr>
      </w:pPr>
    </w:p>
    <w:p>
      <w:pPr>
        <w:ind w:right="2180"/>
        <w:spacing w:after="0" w:line="281" w:lineRule="auto"/>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Essent Group Ltd. and Subsidiaries Schedule I—Summary of Investments—Other Than Investments in Related Parties</w:t>
        </w:r>
      </w:hyperlink>
      <w:r>
        <w:rPr>
          <w:rFonts w:ascii="Arial" w:cs="Arial" w:eastAsia="Arial" w:hAnsi="Arial"/>
          <w:sz w:val="16"/>
          <w:szCs w:val="16"/>
          <w:u w:val="single" w:color="auto"/>
          <w:color w:val="0000EE"/>
        </w:rPr>
        <w:t xml:space="preserve"> </w:t>
      </w:r>
      <w:hyperlink w:anchor="page120">
        <w:r>
          <w:rPr>
            <w:rFonts w:ascii="Arial" w:cs="Arial" w:eastAsia="Arial" w:hAnsi="Arial"/>
            <w:sz w:val="16"/>
            <w:szCs w:val="16"/>
            <w:u w:val="single" w:color="auto"/>
            <w:color w:val="0000EE"/>
          </w:rPr>
          <w:t>Essent Group Ltd. and Subsidiaries Schedule II—Financial Information of Registrant Balance Sheets Parent Company Only</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Essent Group Ltd. and Subsidiaries Schedule II—Condensed Financial Information of Registrant Condensed Statements of Comprehensive Income Parent</w:t>
        </w:r>
      </w:hyperlink>
      <w:r>
        <w:rPr>
          <w:rFonts w:ascii="Arial" w:cs="Arial" w:eastAsia="Arial" w:hAnsi="Arial"/>
          <w:sz w:val="18"/>
          <w:szCs w:val="18"/>
          <w:u w:val="single" w:color="auto"/>
          <w:color w:val="0000EE"/>
        </w:rPr>
        <w:t xml:space="preserve"> </w:t>
      </w:r>
      <w:hyperlink w:anchor="page121">
        <w:r>
          <w:rPr>
            <w:rFonts w:ascii="Arial" w:cs="Arial" w:eastAsia="Arial" w:hAnsi="Arial"/>
            <w:sz w:val="18"/>
            <w:szCs w:val="18"/>
            <w:u w:val="single" w:color="auto"/>
            <w:color w:val="0000EE"/>
          </w:rPr>
          <w:t>Company Only</w:t>
        </w:r>
      </w:hyperlink>
    </w:p>
    <w:p>
      <w:pPr>
        <w:spacing w:after="0" w:line="1" w:lineRule="exact"/>
        <w:rPr>
          <w:sz w:val="20"/>
          <w:szCs w:val="20"/>
          <w:color w:val="auto"/>
        </w:rPr>
      </w:pPr>
    </w:p>
    <w:p>
      <w:pPr>
        <w:ind w:right="120"/>
        <w:spacing w:after="0" w:line="261" w:lineRule="auto"/>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Essent Group Ltd. and Subsidiaries Schedule II—Condensed Financial Information of Registrant Condensed Statements of Cash Flows Parent Company</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Only</w:t>
        </w:r>
      </w:hyperlink>
    </w:p>
    <w:p>
      <w:pPr>
        <w:sectPr>
          <w:pgSz w:w="11900" w:h="16838" w:orient="portrait"/>
          <w:cols w:equalWidth="0" w:num="1">
            <w:col w:w="11140"/>
          </w:cols>
          <w:pgMar w:left="240" w:top="719" w:right="519" w:bottom="1440" w:gutter="0" w:footer="0" w:header="0"/>
        </w:sect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140"/>
          </w:cols>
          <w:pgMar w:left="240" w:top="719" w:right="519" w:bottom="1440" w:gutter="0" w:footer="0" w:header="0"/>
          <w:type w:val="continuous"/>
        </w:sectPr>
      </w:pPr>
    </w:p>
    <w:bookmarkStart w:id="132" w:name="page133"/>
    <w:bookmarkEnd w:id="132"/>
    <w:p>
      <w:pPr>
        <w:ind w:right="1100"/>
        <w:spacing w:after="0" w:line="277" w:lineRule="auto"/>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Essent Group Ltd. and Subsidiaries Schedule II—Condensed Financial Information of Registrant Parent Company Only Supplementary Notes</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Schedule IV—Reinsurance for the years ended December 31, 2018, 2017 and 2016</w:t>
        </w:r>
      </w:hyperlink>
    </w:p>
    <w:p>
      <w:pPr>
        <w:spacing w:after="0" w:line="170"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9B. OTHER INFORMATION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360" w:right="4440"/>
        <w:spacing w:after="0" w:line="258"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left="360"/>
        <w:spacing w:after="0" w:line="255"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ITEM 14. PRINCIPAL ACCOUNTING FEES AND SERVICES</w:t>
        </w:r>
      </w:hyperlink>
    </w:p>
    <w:p>
      <w:pPr>
        <w:spacing w:after="0" w:line="190"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36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ITEM 15. EXHIBITS, FINANCIAL STATEMENT SCHEDULES</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SIGNATURES</w:t>
        </w:r>
      </w:hyperlink>
    </w:p>
    <w:p>
      <w:pPr>
        <w:spacing w:after="0" w:line="252"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584" w:right="29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10.13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0"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EMPLOYMENT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this 26th day of September 2013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Essent US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Christopher G. Curran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Executive is currently employed by the Company as its Senior Vice President, Corporate Development; and</w:t>
      </w:r>
    </w:p>
    <w:p>
      <w:pPr>
        <w:spacing w:after="0" w:line="254" w:lineRule="exact"/>
        <w:rPr>
          <w:sz w:val="20"/>
          <w:szCs w:val="20"/>
          <w:color w:val="auto"/>
        </w:rPr>
      </w:pPr>
    </w:p>
    <w:p>
      <w:pPr>
        <w:ind w:right="116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Executive is a party to an employment agreement with the Company, dated June 2009 (the ”</w:t>
      </w:r>
      <w:r>
        <w:rPr>
          <w:rFonts w:ascii="Arial" w:cs="Arial" w:eastAsia="Arial" w:hAnsi="Arial"/>
          <w:sz w:val="22"/>
          <w:szCs w:val="22"/>
          <w:u w:val="single" w:color="auto"/>
          <w:color w:val="auto"/>
        </w:rPr>
        <w:t>Prior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and</w:t>
      </w:r>
    </w:p>
    <w:p>
      <w:pPr>
        <w:spacing w:after="0" w:line="162"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anticipates that Executive will make material contributions to the short and long term growth</w:t>
      </w:r>
      <w:r>
        <w:rPr>
          <w:rFonts w:ascii="Arial" w:cs="Arial" w:eastAsia="Arial" w:hAnsi="Arial"/>
          <w:sz w:val="22"/>
          <w:szCs w:val="22"/>
          <w:b w:val="1"/>
          <w:bCs w:val="1"/>
          <w:color w:val="auto"/>
        </w:rPr>
        <w:t xml:space="preserve"> </w:t>
      </w:r>
      <w:r>
        <w:rPr>
          <w:rFonts w:ascii="Arial" w:cs="Arial" w:eastAsia="Arial" w:hAnsi="Arial"/>
          <w:sz w:val="22"/>
          <w:szCs w:val="22"/>
          <w:color w:val="auto"/>
        </w:rPr>
        <w:t>and profitability of the Company and Parent;</w:t>
      </w:r>
    </w:p>
    <w:p>
      <w:pPr>
        <w:spacing w:after="0" w:line="162"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continue to employ Executive and to enter into this Agreement embodying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such employment, and Executive desires to enter into this Agreement and to accept such continued employment, subject to the terms and provisions of this Agreement.</w:t>
      </w:r>
    </w:p>
    <w:p>
      <w:pPr>
        <w:spacing w:after="0" w:line="176"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and mutual covenants contained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mutually acknowledged, the Company and Executive hereby agree as follows:</w:t>
      </w:r>
    </w:p>
    <w:p>
      <w:pPr>
        <w:spacing w:after="0" w:line="176"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Definitions.</w:t>
      </w:r>
    </w:p>
    <w:p>
      <w:pPr>
        <w:spacing w:after="0" w:line="266" w:lineRule="exact"/>
        <w:rPr>
          <w:sz w:val="20"/>
          <w:szCs w:val="20"/>
          <w:color w:val="auto"/>
        </w:rPr>
      </w:pPr>
    </w:p>
    <w:p>
      <w:pPr>
        <w:jc w:val="both"/>
        <w:ind w:right="200" w:firstLine="1305"/>
        <w:spacing w:after="0" w:line="250" w:lineRule="auto"/>
        <w:tabs>
          <w:tab w:leader="none" w:pos="2185"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shall mean (i) all accrued but unpaid Base Salary through the date of termination of Executive’s employment, (ii) any unpaid or unreimbursed expenses incurred in accordance with Section 7 hereof, and (iii) any benefits provided under the Company’s employee benefit plans upon a termination of employment, in accordance with the terms contained therein.</w:t>
      </w:r>
    </w:p>
    <w:p>
      <w:pPr>
        <w:spacing w:after="0" w:line="228" w:lineRule="exact"/>
        <w:rPr>
          <w:rFonts w:ascii="Arial" w:cs="Arial" w:eastAsia="Arial" w:hAnsi="Arial"/>
          <w:sz w:val="22"/>
          <w:szCs w:val="22"/>
          <w:color w:val="auto"/>
        </w:rPr>
      </w:pPr>
    </w:p>
    <w:p>
      <w:pPr>
        <w:ind w:left="2200" w:hanging="895"/>
        <w:spacing w:after="0"/>
        <w:tabs>
          <w:tab w:leader="none" w:pos="2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Bonus</w:t>
      </w:r>
      <w:r>
        <w:rPr>
          <w:rFonts w:ascii="Arial" w:cs="Arial" w:eastAsia="Arial" w:hAnsi="Arial"/>
          <w:sz w:val="22"/>
          <w:szCs w:val="22"/>
          <w:color w:val="auto"/>
        </w:rPr>
        <w:t>” shall have the meaning set forth in Section 4(b) hereof.</w:t>
      </w:r>
    </w:p>
    <w:p>
      <w:pPr>
        <w:spacing w:after="0" w:line="260" w:lineRule="exact"/>
        <w:rPr>
          <w:rFonts w:ascii="Arial" w:cs="Arial" w:eastAsia="Arial" w:hAnsi="Arial"/>
          <w:sz w:val="22"/>
          <w:szCs w:val="22"/>
          <w:color w:val="auto"/>
        </w:rPr>
      </w:pPr>
    </w:p>
    <w:p>
      <w:pPr>
        <w:ind w:right="100" w:firstLine="1305"/>
        <w:spacing w:after="0" w:line="263" w:lineRule="auto"/>
        <w:tabs>
          <w:tab w:leader="none" w:pos="2197"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shall mean the salary provided for in Section 4(a) hereof or any increased salary granted to Executive pursuant to Section 4(a) hereof.</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Parent.</w:t>
      </w:r>
    </w:p>
    <w:p>
      <w:pPr>
        <w:spacing w:after="0" w:line="260" w:lineRule="exact"/>
        <w:rPr>
          <w:rFonts w:ascii="Arial" w:cs="Arial" w:eastAsia="Arial" w:hAnsi="Arial"/>
          <w:sz w:val="22"/>
          <w:szCs w:val="22"/>
          <w:color w:val="auto"/>
        </w:rPr>
      </w:pPr>
    </w:p>
    <w:p>
      <w:pPr>
        <w:ind w:right="20" w:firstLine="1305"/>
        <w:spacing w:after="0" w:line="261" w:lineRule="auto"/>
        <w:tabs>
          <w:tab w:leader="none" w:pos="2161"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shall mean (i) Executive’s act(s) of gross negligence or willful misconduct in the course of Executive’s employment hereunder, (ii) willful and continued failure or refusal by Executive to perform in any material respect his duties or responsibilities, (iii) misappropriation (or attempted misappropriation) by Executive of any material assets or business opportunities of the Company or any other member of the Company Group, (iv) acts of embezzlement or material fraud committed (or attempted) by Executive, or at his direction, (v) Executive’s conviction of or pleading “guilty” or “ no contest” to, (x) a felony or (y) any other criminal charge that has, or could be reasonably</w:t>
      </w:r>
    </w:p>
    <w:p>
      <w:pPr>
        <w:sectPr>
          <w:pgSz w:w="11900" w:h="16838" w:orient="portrait"/>
          <w:cols w:equalWidth="0" w:num="1">
            <w:col w:w="11420"/>
          </w:cols>
          <w:pgMar w:left="240" w:top="585" w:right="239" w:bottom="1440" w:gutter="0" w:footer="0" w:header="0"/>
        </w:sectPr>
      </w:pPr>
    </w:p>
    <w:bookmarkStart w:id="134" w:name="page135"/>
    <w:bookmarkEnd w:id="134"/>
    <w:p>
      <w:pPr>
        <w:spacing w:after="0" w:line="259" w:lineRule="auto"/>
        <w:rPr>
          <w:sz w:val="20"/>
          <w:szCs w:val="20"/>
          <w:color w:val="auto"/>
        </w:rPr>
      </w:pPr>
      <w:r>
        <w:rPr>
          <w:rFonts w:ascii="Arial" w:cs="Arial" w:eastAsia="Arial" w:hAnsi="Arial"/>
          <w:sz w:val="21"/>
          <w:szCs w:val="21"/>
          <w:color w:val="auto"/>
        </w:rPr>
        <w:t>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or (vii) Executive’s material breach of this Agreement or breach of the Non-Interference Agreement. If, within ninety (90) days subsequent to Executive’s termination for any reason other than by the Company for Cause, the Company determines that Executive’s employment could have been terminated for Cause, Executive’s employment will be deemed to have been terminated for Cause for all purposes, and Executive will be required to disgorge to the Company all amounts received pursuant to this Agreement to the extent that they would not have been paid or payable to Executive had such termination been by the Company for Cause.</w:t>
      </w:r>
    </w:p>
    <w:p>
      <w:pPr>
        <w:spacing w:after="0" w:line="221" w:lineRule="exact"/>
        <w:rPr>
          <w:sz w:val="20"/>
          <w:szCs w:val="20"/>
          <w:color w:val="auto"/>
        </w:rPr>
      </w:pPr>
    </w:p>
    <w:p>
      <w:pPr>
        <w:ind w:right="180" w:firstLine="1305"/>
        <w:spacing w:after="0" w:line="343" w:lineRule="auto"/>
        <w:tabs>
          <w:tab w:leader="none" w:pos="2197"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the first of the following to occur after the Effective Date, provided that all references to the “Company” within this subsection (g) shall apply with equal force and effect to the Parent:</w:t>
      </w:r>
    </w:p>
    <w:p>
      <w:pPr>
        <w:spacing w:after="0" w:line="145" w:lineRule="exact"/>
        <w:rPr>
          <w:rFonts w:ascii="Arial" w:cs="Arial" w:eastAsia="Arial" w:hAnsi="Arial"/>
          <w:sz w:val="19"/>
          <w:szCs w:val="19"/>
          <w:color w:val="auto"/>
        </w:rPr>
      </w:pPr>
    </w:p>
    <w:p>
      <w:pPr>
        <w:ind w:left="660" w:right="20" w:firstLine="1522"/>
        <w:spacing w:after="0" w:line="289" w:lineRule="auto"/>
        <w:tabs>
          <w:tab w:leader="none" w:pos="2795" w:val="left"/>
        </w:tabs>
        <w:numPr>
          <w:ilvl w:val="1"/>
          <w:numId w:val="52"/>
        </w:numPr>
        <w:rPr>
          <w:rFonts w:ascii="Arial" w:cs="Arial" w:eastAsia="Arial" w:hAnsi="Arial"/>
          <w:sz w:val="19"/>
          <w:szCs w:val="19"/>
          <w:color w:val="auto"/>
        </w:rPr>
      </w:pPr>
      <w:r>
        <w:rPr>
          <w:rFonts w:ascii="Arial" w:cs="Arial" w:eastAsia="Arial" w:hAnsi="Arial"/>
          <w:sz w:val="19"/>
          <w:szCs w:val="19"/>
          <w:i w:val="1"/>
          <w:iCs w:val="1"/>
          <w:color w:val="auto"/>
        </w:rPr>
        <w:t>Acquisition of Controlling Interest</w:t>
      </w:r>
      <w:r>
        <w:rPr>
          <w:rFonts w:ascii="Arial" w:cs="Arial" w:eastAsia="Arial" w:hAnsi="Arial"/>
          <w:sz w:val="19"/>
          <w:szCs w:val="19"/>
          <w:color w:val="auto"/>
        </w:rPr>
        <w:t>. Any person or group of persons acting in concert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persons who are employees at any time more than one year before a transaction) becomes the beneficial owner (within the meaning of Rule 13d-3 promulgated under the Securities Exchange Act of 1934, as amended), directly or indirectly, of securities of the Company representing thirty-five percent (35%) or more of the combined voting power of the Company’s then outstanding securities, excluding, however, the following: (A) any acquisition directly from the Company, (B) any acquisition by the Company; (C) any acquisition by any employee benefit plan (or related trust) sponsored or maintained by the Company or any corporation controlled by the Company; or (D) any underwriter temporarily holding securities pursuant to an offering of such securities. In applying the preceding sentence, an agreement to vote securities shall be disregarded unless its ultimate purpose is to cause what would otherwise be Change of Control, as reasonably determined by the Board.</w:t>
      </w:r>
    </w:p>
    <w:p>
      <w:pPr>
        <w:spacing w:after="0" w:line="198" w:lineRule="exact"/>
        <w:rPr>
          <w:rFonts w:ascii="Arial" w:cs="Arial" w:eastAsia="Arial" w:hAnsi="Arial"/>
          <w:sz w:val="19"/>
          <w:szCs w:val="19"/>
          <w:color w:val="auto"/>
        </w:rPr>
      </w:pPr>
    </w:p>
    <w:p>
      <w:pPr>
        <w:ind w:left="660" w:right="20" w:firstLine="1522"/>
        <w:spacing w:after="0" w:line="292" w:lineRule="auto"/>
        <w:tabs>
          <w:tab w:leader="none" w:pos="2855" w:val="left"/>
        </w:tabs>
        <w:numPr>
          <w:ilvl w:val="1"/>
          <w:numId w:val="52"/>
        </w:numPr>
        <w:rPr>
          <w:rFonts w:ascii="Arial" w:cs="Arial" w:eastAsia="Arial" w:hAnsi="Arial"/>
          <w:sz w:val="19"/>
          <w:szCs w:val="19"/>
          <w:color w:val="auto"/>
        </w:rPr>
      </w:pPr>
      <w:r>
        <w:rPr>
          <w:rFonts w:ascii="Arial" w:cs="Arial" w:eastAsia="Arial" w:hAnsi="Arial"/>
          <w:sz w:val="19"/>
          <w:szCs w:val="19"/>
          <w:i w:val="1"/>
          <w:iCs w:val="1"/>
          <w:color w:val="auto"/>
        </w:rPr>
        <w:t>Change in Board Control</w:t>
      </w:r>
      <w:r>
        <w:rPr>
          <w:rFonts w:ascii="Arial" w:cs="Arial" w:eastAsia="Arial" w:hAnsi="Arial"/>
          <w:sz w:val="19"/>
          <w:szCs w:val="19"/>
          <w:color w:val="auto"/>
        </w:rPr>
        <w:t>. During any consecutive one-year period commencing after the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Date, individuals who constituted the Board at the beginning of the period (or their approved replacements, as defined in the next sentence) cease for any reason to constitute a majority of the Board. A new director shall be considered an “approved replacement” director if his or her election (or nomination for election) was approved by a vote of at least a majority of the directors then still in office who either were directors at the beginning of the period or were themselves approved replacement directors, but in either case excluding any director whose initial assumption of office occurred as a result of an actual or threatened solicitation of proxies or consents by or on behalf of any person other than the Board.</w:t>
      </w:r>
    </w:p>
    <w:p>
      <w:pPr>
        <w:spacing w:after="0" w:line="192" w:lineRule="exact"/>
        <w:rPr>
          <w:rFonts w:ascii="Arial" w:cs="Arial" w:eastAsia="Arial" w:hAnsi="Arial"/>
          <w:sz w:val="19"/>
          <w:szCs w:val="19"/>
          <w:color w:val="auto"/>
        </w:rPr>
      </w:pPr>
    </w:p>
    <w:p>
      <w:pPr>
        <w:ind w:left="2920" w:hanging="738"/>
        <w:spacing w:after="0"/>
        <w:tabs>
          <w:tab w:leader="none" w:pos="2920" w:val="left"/>
        </w:tabs>
        <w:numPr>
          <w:ilvl w:val="1"/>
          <w:numId w:val="52"/>
        </w:numPr>
        <w:rPr>
          <w:rFonts w:ascii="Arial" w:cs="Arial" w:eastAsia="Arial" w:hAnsi="Arial"/>
          <w:sz w:val="19"/>
          <w:szCs w:val="19"/>
          <w:color w:val="auto"/>
        </w:rPr>
      </w:pPr>
      <w:r>
        <w:rPr>
          <w:rFonts w:ascii="Arial" w:cs="Arial" w:eastAsia="Arial" w:hAnsi="Arial"/>
          <w:sz w:val="19"/>
          <w:szCs w:val="19"/>
          <w:i w:val="1"/>
          <w:iCs w:val="1"/>
          <w:color w:val="auto"/>
        </w:rPr>
        <w:t>Merger</w:t>
      </w:r>
      <w:r>
        <w:rPr>
          <w:rFonts w:ascii="Arial" w:cs="Arial" w:eastAsia="Arial" w:hAnsi="Arial"/>
          <w:sz w:val="19"/>
          <w:szCs w:val="19"/>
          <w:color w:val="auto"/>
        </w:rPr>
        <w:t>. The Company consummates a merger, or consolidation of the Company with any other</w:t>
      </w:r>
    </w:p>
    <w:p>
      <w:pPr>
        <w:spacing w:after="0" w:line="56" w:lineRule="exact"/>
        <w:rPr>
          <w:rFonts w:ascii="Arial" w:cs="Arial" w:eastAsia="Arial" w:hAnsi="Arial"/>
          <w:sz w:val="19"/>
          <w:szCs w:val="19"/>
          <w:color w:val="auto"/>
        </w:rPr>
      </w:pPr>
    </w:p>
    <w:p>
      <w:pPr>
        <w:ind w:left="660" w:right="140"/>
        <w:spacing w:after="0" w:line="257" w:lineRule="auto"/>
        <w:rPr>
          <w:rFonts w:ascii="Arial" w:cs="Arial" w:eastAsia="Arial" w:hAnsi="Arial"/>
          <w:sz w:val="19"/>
          <w:szCs w:val="19"/>
          <w:color w:val="auto"/>
        </w:rPr>
      </w:pPr>
      <w:r>
        <w:rPr>
          <w:rFonts w:ascii="Arial" w:cs="Arial" w:eastAsia="Arial" w:hAnsi="Arial"/>
          <w:sz w:val="21"/>
          <w:szCs w:val="21"/>
          <w:color w:val="auto"/>
        </w:rPr>
        <w:t>corporation unless: (a) the voting securities of the Company outstanding immediately before the merger or consolidation would continue to represent (either by remaining outstanding or by being converted into voting securities of the surviving entity) at least fifty percent (50%) of the combined voting power of the voting securities of the Company or such surviving entity outstanding immediately after such merger or consolidation; and (b) no person (other than persons who are employees at any time more than one year before the transaction) becomes the beneficial owner, directly or indirectly, of securities of the Company representing fifty percent (50%) or more of the combined voting power of the Company’s then outstanding securities.</w:t>
      </w:r>
    </w:p>
    <w:p>
      <w:pPr>
        <w:sectPr>
          <w:pgSz w:w="11900" w:h="16838" w:orient="portrait"/>
          <w:cols w:equalWidth="0" w:num="1">
            <w:col w:w="11420"/>
          </w:cols>
          <w:pgMar w:left="240" w:top="591" w:right="239" w:bottom="1440" w:gutter="0" w:footer="0" w:header="0"/>
        </w:sectPr>
      </w:pPr>
    </w:p>
    <w:bookmarkStart w:id="135" w:name="page136"/>
    <w:bookmarkEnd w:id="135"/>
    <w:p>
      <w:pPr>
        <w:ind w:left="2900" w:hanging="718"/>
        <w:spacing w:after="0"/>
        <w:tabs>
          <w:tab w:leader="none" w:pos="2900"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Sale of Assets</w:t>
      </w:r>
      <w:r>
        <w:rPr>
          <w:rFonts w:ascii="Arial" w:cs="Arial" w:eastAsia="Arial" w:hAnsi="Arial"/>
          <w:sz w:val="19"/>
          <w:szCs w:val="19"/>
          <w:color w:val="auto"/>
        </w:rPr>
        <w:t>. The Company consummates a sale or disposition of all, or substantially all,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Company’s assets.</w:t>
      </w:r>
    </w:p>
    <w:p>
      <w:pPr>
        <w:spacing w:after="0" w:line="242" w:lineRule="exact"/>
        <w:rPr>
          <w:rFonts w:ascii="Arial" w:cs="Arial" w:eastAsia="Arial" w:hAnsi="Arial"/>
          <w:sz w:val="19"/>
          <w:szCs w:val="19"/>
          <w:color w:val="auto"/>
        </w:rPr>
      </w:pPr>
    </w:p>
    <w:p>
      <w:pPr>
        <w:ind w:left="2840" w:hanging="658"/>
        <w:spacing w:after="0"/>
        <w:tabs>
          <w:tab w:leader="none" w:pos="2840"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Liquidation or Dissolution</w:t>
      </w:r>
      <w:r>
        <w:rPr>
          <w:rFonts w:ascii="Arial" w:cs="Arial" w:eastAsia="Arial" w:hAnsi="Arial"/>
          <w:sz w:val="19"/>
          <w:szCs w:val="19"/>
          <w:color w:val="auto"/>
        </w:rPr>
        <w:t>. The Company implements a plan for liquidation or dissolution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r>
        <w:rPr>
          <w:rFonts w:ascii="Arial" w:cs="Arial" w:eastAsia="Arial" w:hAnsi="Arial"/>
          <w:sz w:val="22"/>
          <w:szCs w:val="22"/>
          <w:b w:val="1"/>
          <w:bCs w:val="1"/>
          <w:color w:val="auto"/>
        </w:rPr>
        <w:t>.</w:t>
      </w:r>
    </w:p>
    <w:p>
      <w:pPr>
        <w:spacing w:after="0" w:line="242" w:lineRule="exact"/>
        <w:rPr>
          <w:sz w:val="20"/>
          <w:szCs w:val="20"/>
          <w:color w:val="auto"/>
        </w:rPr>
      </w:pPr>
    </w:p>
    <w:p>
      <w:pPr>
        <w:ind w:right="160"/>
        <w:spacing w:after="0" w:line="290" w:lineRule="auto"/>
        <w:rPr>
          <w:sz w:val="20"/>
          <w:szCs w:val="20"/>
          <w:color w:val="auto"/>
        </w:rPr>
      </w:pPr>
      <w:r>
        <w:rPr>
          <w:rFonts w:ascii="Arial" w:cs="Arial" w:eastAsia="Arial" w:hAnsi="Arial"/>
          <w:sz w:val="19"/>
          <w:szCs w:val="19"/>
          <w:color w:val="auto"/>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with respect to the payment of any amount that constitutes a deferral of compensation subject to Section 409A of the Code payable upon a Change of Control, a “Change of Control” shall not be deemed to have occurred unless the Change of Control constitutes a change in the ownership or effective control of the Company or in the ownership of a substantial portion of the assets of the Company under Section 409A(a)(2)(A)(v) of the Code.</w:t>
      </w:r>
    </w:p>
    <w:p>
      <w:pPr>
        <w:spacing w:after="0" w:line="157" w:lineRule="exact"/>
        <w:rPr>
          <w:sz w:val="20"/>
          <w:szCs w:val="20"/>
          <w:color w:val="auto"/>
        </w:rPr>
      </w:pPr>
    </w:p>
    <w:p>
      <w:pPr>
        <w:ind w:left="2200" w:hanging="895"/>
        <w:spacing w:after="0"/>
        <w:tabs>
          <w:tab w:leader="none" w:pos="22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shall mean the Internal Revenue Code of 1986, as amended, and the rules and regulations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promulgated thereunder.</w:t>
      </w:r>
    </w:p>
    <w:p>
      <w:pPr>
        <w:spacing w:after="0" w:line="242" w:lineRule="exact"/>
        <w:rPr>
          <w:rFonts w:ascii="Arial" w:cs="Arial" w:eastAsia="Arial" w:hAnsi="Arial"/>
          <w:sz w:val="21"/>
          <w:szCs w:val="21"/>
          <w:color w:val="auto"/>
        </w:rPr>
      </w:pPr>
    </w:p>
    <w:p>
      <w:pPr>
        <w:ind w:left="2160" w:hanging="855"/>
        <w:spacing w:after="0"/>
        <w:tabs>
          <w:tab w:leader="none" w:pos="21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Group</w:t>
      </w:r>
      <w:r>
        <w:rPr>
          <w:rFonts w:ascii="Arial" w:cs="Arial" w:eastAsia="Arial" w:hAnsi="Arial"/>
          <w:sz w:val="19"/>
          <w:szCs w:val="19"/>
          <w:color w:val="auto"/>
        </w:rPr>
        <w:t>” shall mean the Parent together with any direct or indirect subsidiaries of the Parent.</w:t>
      </w:r>
    </w:p>
    <w:p>
      <w:pPr>
        <w:spacing w:after="0" w:line="294" w:lineRule="exact"/>
        <w:rPr>
          <w:rFonts w:ascii="Arial" w:cs="Arial" w:eastAsia="Arial" w:hAnsi="Arial"/>
          <w:sz w:val="19"/>
          <w:szCs w:val="19"/>
          <w:color w:val="auto"/>
        </w:rPr>
      </w:pPr>
    </w:p>
    <w:p>
      <w:pPr>
        <w:ind w:right="360" w:firstLine="1305"/>
        <w:spacing w:after="0" w:line="263" w:lineRule="auto"/>
        <w:tabs>
          <w:tab w:leader="none" w:pos="2197"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shall mean the committee of the Board designated to make compensation decisions relating to senior executive officers of the Company Group.</w:t>
      </w:r>
    </w:p>
    <w:p>
      <w:pPr>
        <w:spacing w:after="0" w:line="215" w:lineRule="exact"/>
        <w:rPr>
          <w:rFonts w:ascii="Arial" w:cs="Arial" w:eastAsia="Arial" w:hAnsi="Arial"/>
          <w:sz w:val="22"/>
          <w:szCs w:val="22"/>
          <w:color w:val="auto"/>
        </w:rPr>
      </w:pPr>
    </w:p>
    <w:p>
      <w:pPr>
        <w:ind w:left="2160" w:hanging="855"/>
        <w:spacing w:after="0"/>
        <w:tabs>
          <w:tab w:leader="none" w:pos="21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 Period</w:t>
      </w:r>
      <w:r>
        <w:rPr>
          <w:rFonts w:ascii="Arial" w:cs="Arial" w:eastAsia="Arial" w:hAnsi="Arial"/>
          <w:sz w:val="22"/>
          <w:szCs w:val="22"/>
          <w:color w:val="auto"/>
        </w:rPr>
        <w:t>” shall have the meaning set forth in Section 13 hereof.</w:t>
      </w:r>
    </w:p>
    <w:p>
      <w:pPr>
        <w:spacing w:after="0" w:line="260" w:lineRule="exact"/>
        <w:rPr>
          <w:rFonts w:ascii="Arial" w:cs="Arial" w:eastAsia="Arial" w:hAnsi="Arial"/>
          <w:sz w:val="22"/>
          <w:szCs w:val="22"/>
          <w:color w:val="auto"/>
        </w:rPr>
      </w:pPr>
    </w:p>
    <w:p>
      <w:pPr>
        <w:ind w:firstLine="1305"/>
        <w:spacing w:after="0" w:line="247" w:lineRule="auto"/>
        <w:tabs>
          <w:tab w:leader="none" w:pos="22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any physical or mental disability or infirmity of Executive that prevents the performance of Executive’s material duties for a period of one hundred twenty (120) consecutive days during any twelve (12) month period. Any question as to the existence, extent, or potentiality of Executive’s Disability upon which Executive and the Company cannot agree shall be determined by a qualified, independent physician selected and paid for by the Company and approved by Executive (which approval shall not be unreasonably withheld). The determination of any such physician shall be final and conclusive for all purposes of this Agreement.</w:t>
      </w:r>
    </w:p>
    <w:p>
      <w:pPr>
        <w:spacing w:after="0" w:line="234" w:lineRule="exact"/>
        <w:rPr>
          <w:rFonts w:ascii="Arial" w:cs="Arial" w:eastAsia="Arial" w:hAnsi="Arial"/>
          <w:sz w:val="22"/>
          <w:szCs w:val="22"/>
          <w:color w:val="auto"/>
        </w:rPr>
      </w:pPr>
    </w:p>
    <w:p>
      <w:pPr>
        <w:ind w:left="2200" w:hanging="895"/>
        <w:spacing w:after="0"/>
        <w:tabs>
          <w:tab w:leader="none" w:pos="22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right="100" w:firstLine="1305"/>
        <w:spacing w:after="0" w:line="259" w:lineRule="auto"/>
        <w:tabs>
          <w:tab w:leader="none" w:pos="2197" w:val="left"/>
        </w:tabs>
        <w:numPr>
          <w:ilvl w:val="0"/>
          <w:numId w:val="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without Executive’s consent, (i) a material diminution in Executive’s title, authority, duties, or responsibilities as set forth in Section 3 hereof such that Executive is no longer serving in a senior executive capacity for the Company, (ii) a material reduction in Base Salary set forth in Section 4(a) hereof or Annual Bonus opportunity set forth in Section 4(b) hereof (other than pursuant to an across-the-board reduction applicable to all similarly situated executive officers), (iii) the relocation of Executive’s principal place of employment (as provided in Section 3(c) hereof) more than fifty (50) miles from its current Radnor, Pennsylvania location, or (iv) any other material breach of a provision of this Agreement by the Company (other than a provision that is covered by clause (i), (ii) or (iii) above). Executive acknowledges and agrees that his exclusive remedy in the event of any breach of</w:t>
      </w:r>
    </w:p>
    <w:p>
      <w:pPr>
        <w:sectPr>
          <w:pgSz w:w="11900" w:h="16838" w:orient="portrait"/>
          <w:cols w:equalWidth="0" w:num="1">
            <w:col w:w="11400"/>
          </w:cols>
          <w:pgMar w:left="240" w:top="591" w:right="259" w:bottom="1440" w:gutter="0" w:footer="0" w:header="0"/>
        </w:sectPr>
      </w:pPr>
    </w:p>
    <w:bookmarkStart w:id="136" w:name="page137"/>
    <w:bookmarkEnd w:id="136"/>
    <w:p>
      <w:pPr>
        <w:ind w:right="40"/>
        <w:spacing w:after="0" w:line="261" w:lineRule="auto"/>
        <w:rPr>
          <w:sz w:val="20"/>
          <w:szCs w:val="20"/>
          <w:color w:val="auto"/>
        </w:rPr>
      </w:pPr>
      <w:r>
        <w:rPr>
          <w:rFonts w:ascii="Arial" w:cs="Arial" w:eastAsia="Arial" w:hAnsi="Arial"/>
          <w:sz w:val="21"/>
          <w:szCs w:val="21"/>
          <w:color w:val="auto"/>
        </w:rPr>
        <w:t xml:space="preserve">this Agreement shall be to assert Good Reason pursuant to the terms and conditions of Section 8(e) hereof. Notwithstanding the foregoing, during the Term, in the event that the Board reasonably believes that Executive may have engaged in conduct that could constitute Cause hereunder, the Board may, in its sole and absolute discretion, suspend Executive from performing his duties hereunder, and in no event shall any such suspension constitute an event pursuant to which Executive may terminate employment with Good Reason or otherwise constitute a breach hereunder; </w:t>
      </w:r>
      <w:r>
        <w:rPr>
          <w:rFonts w:ascii="Arial" w:cs="Arial" w:eastAsia="Arial" w:hAnsi="Arial"/>
          <w:sz w:val="21"/>
          <w:szCs w:val="21"/>
          <w:i w:val="1"/>
          <w:iCs w:val="1"/>
          <w:color w:val="auto"/>
        </w:rPr>
        <w:t>provided</w:t>
      </w:r>
      <w:r>
        <w:rPr>
          <w:rFonts w:ascii="Arial" w:cs="Arial" w:eastAsia="Arial" w:hAnsi="Arial"/>
          <w:sz w:val="21"/>
          <w:szCs w:val="21"/>
          <w:color w:val="auto"/>
        </w:rPr>
        <w:t>, that no such suspension shall alter the Company’s obligations under this Agreement during such period of suspension.</w:t>
      </w:r>
    </w:p>
    <w:p>
      <w:pPr>
        <w:spacing w:after="0" w:line="221" w:lineRule="exact"/>
        <w:rPr>
          <w:sz w:val="20"/>
          <w:szCs w:val="20"/>
          <w:color w:val="auto"/>
        </w:rPr>
      </w:pPr>
    </w:p>
    <w:p>
      <w:pPr>
        <w:ind w:left="2200" w:hanging="895"/>
        <w:spacing w:after="0"/>
        <w:tabs>
          <w:tab w:leader="none" w:pos="22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Term Incentive Plan</w:t>
      </w:r>
      <w:r>
        <w:rPr>
          <w:rFonts w:ascii="Arial" w:cs="Arial" w:eastAsia="Arial" w:hAnsi="Arial"/>
          <w:sz w:val="22"/>
          <w:szCs w:val="22"/>
          <w:color w:val="auto"/>
        </w:rPr>
        <w:t>” shall have the meaning set forth in Section 4(b) hereof.</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LTIP Award</w:t>
      </w:r>
      <w:r>
        <w:rPr>
          <w:rFonts w:ascii="Arial" w:cs="Arial" w:eastAsia="Arial" w:hAnsi="Arial"/>
          <w:sz w:val="22"/>
          <w:szCs w:val="22"/>
          <w:color w:val="auto"/>
        </w:rPr>
        <w:t>” shall have the meaning set forth in Section 4(b) hereof.</w:t>
      </w:r>
    </w:p>
    <w:p>
      <w:pPr>
        <w:spacing w:after="0" w:line="260" w:lineRule="exact"/>
        <w:rPr>
          <w:rFonts w:ascii="Arial" w:cs="Arial" w:eastAsia="Arial" w:hAnsi="Arial"/>
          <w:sz w:val="22"/>
          <w:szCs w:val="22"/>
          <w:color w:val="auto"/>
        </w:rPr>
      </w:pPr>
    </w:p>
    <w:p>
      <w:pPr>
        <w:ind w:right="940" w:firstLine="1305"/>
        <w:spacing w:after="0" w:line="263" w:lineRule="auto"/>
        <w:tabs>
          <w:tab w:leader="none" w:pos="2161"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Non-Interference Agreement</w:t>
      </w:r>
      <w:r>
        <w:rPr>
          <w:rFonts w:ascii="Arial" w:cs="Arial" w:eastAsia="Arial" w:hAnsi="Arial"/>
          <w:sz w:val="22"/>
          <w:szCs w:val="22"/>
          <w:color w:val="auto"/>
        </w:rPr>
        <w:t xml:space="preserve">” shall mean the Confidentiality, Non-Interference, and Invention Assignment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2180" w:hanging="875"/>
        <w:spacing w:after="0"/>
        <w:tabs>
          <w:tab w:leader="none" w:pos="21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mean Essent Group Ltd., a Bermuda limited liability company.</w:t>
      </w:r>
    </w:p>
    <w:p>
      <w:pPr>
        <w:spacing w:after="0" w:line="260" w:lineRule="exact"/>
        <w:rPr>
          <w:rFonts w:ascii="Arial" w:cs="Arial" w:eastAsia="Arial" w:hAnsi="Arial"/>
          <w:sz w:val="22"/>
          <w:szCs w:val="22"/>
          <w:color w:val="auto"/>
        </w:rPr>
      </w:pPr>
    </w:p>
    <w:p>
      <w:pPr>
        <w:ind w:right="40" w:firstLine="1305"/>
        <w:spacing w:after="0" w:line="265" w:lineRule="exact"/>
        <w:tabs>
          <w:tab w:leader="none" w:pos="2149" w:val="left"/>
        </w:tabs>
        <w:numPr>
          <w:ilvl w:val="1"/>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corporation, partnership, limited liability company, joint venture, association, joint</w:t>
      </w:r>
      <w:r>
        <w:rPr>
          <w:rFonts w:ascii="MS PGothic" w:cs="MS PGothic" w:eastAsia="MS PGothic" w:hAnsi="MS PGothic"/>
          <w:sz w:val="19"/>
          <w:szCs w:val="19"/>
          <w:color w:val="auto"/>
        </w:rPr>
        <w:t>‑</w:t>
      </w:r>
      <w:r>
        <w:rPr>
          <w:rFonts w:ascii="Arial" w:cs="Arial" w:eastAsia="Arial" w:hAnsi="Arial"/>
          <w:sz w:val="19"/>
          <w:szCs w:val="19"/>
          <w:color w:val="auto"/>
        </w:rPr>
        <w:t>stock company, trust (charitable or non-charitable), unincorporated organization, or other form of business entity.</w:t>
      </w:r>
    </w:p>
    <w:p>
      <w:pPr>
        <w:spacing w:after="0" w:line="239" w:lineRule="exact"/>
        <w:rPr>
          <w:rFonts w:ascii="Arial" w:cs="Arial" w:eastAsia="Arial" w:hAnsi="Arial"/>
          <w:sz w:val="19"/>
          <w:szCs w:val="19"/>
          <w:color w:val="auto"/>
        </w:rPr>
      </w:pPr>
    </w:p>
    <w:p>
      <w:pPr>
        <w:ind w:left="2200" w:hanging="895"/>
        <w:spacing w:after="0"/>
        <w:tabs>
          <w:tab w:leader="none" w:pos="22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Agreement</w:t>
      </w:r>
      <w:r>
        <w:rPr>
          <w:rFonts w:ascii="Arial" w:cs="Arial" w:eastAsia="Arial" w:hAnsi="Arial"/>
          <w:sz w:val="22"/>
          <w:szCs w:val="22"/>
          <w:color w:val="auto"/>
        </w:rPr>
        <w:t>” shall have the meaning set forth in the recitals hereto.</w:t>
      </w:r>
    </w:p>
    <w:p>
      <w:pPr>
        <w:spacing w:after="0" w:line="260" w:lineRule="exact"/>
        <w:rPr>
          <w:rFonts w:ascii="Arial" w:cs="Arial" w:eastAsia="Arial" w:hAnsi="Arial"/>
          <w:sz w:val="22"/>
          <w:szCs w:val="22"/>
          <w:color w:val="auto"/>
        </w:rPr>
      </w:pPr>
    </w:p>
    <w:p>
      <w:pPr>
        <w:jc w:val="both"/>
        <w:ind w:right="200" w:firstLine="1305"/>
        <w:spacing w:after="0" w:line="253" w:lineRule="auto"/>
        <w:tabs>
          <w:tab w:leader="none" w:pos="2197"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shall mean the Release of Claims in substantially the same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(as the same may be revised from time to time by the Company upon the advice of counsel to comply with changes in applicable law).</w:t>
      </w:r>
    </w:p>
    <w:p>
      <w:pPr>
        <w:spacing w:after="0" w:line="226" w:lineRule="exact"/>
        <w:rPr>
          <w:rFonts w:ascii="Arial" w:cs="Arial" w:eastAsia="Arial" w:hAnsi="Arial"/>
          <w:sz w:val="22"/>
          <w:szCs w:val="22"/>
          <w:color w:val="auto"/>
        </w:rPr>
      </w:pPr>
    </w:p>
    <w:p>
      <w:pPr>
        <w:ind w:left="2260" w:hanging="955"/>
        <w:spacing w:after="0"/>
        <w:tabs>
          <w:tab w:leader="none" w:pos="2260" w:val="left"/>
        </w:tabs>
        <w:numPr>
          <w:ilvl w:val="1"/>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Retirement</w:t>
      </w:r>
      <w:r>
        <w:rPr>
          <w:rFonts w:ascii="Arial" w:cs="Arial" w:eastAsia="Arial" w:hAnsi="Arial"/>
          <w:sz w:val="19"/>
          <w:szCs w:val="19"/>
          <w:color w:val="auto"/>
        </w:rPr>
        <w:t>” shall mean Executive’s voluntary termination of employment without Good Reason either</w:t>
      </w:r>
    </w:p>
    <w:p>
      <w:pPr>
        <w:spacing w:after="0" w:line="56" w:lineRule="exact"/>
        <w:rPr>
          <w:rFonts w:ascii="Arial" w:cs="Arial" w:eastAsia="Arial" w:hAnsi="Arial"/>
          <w:sz w:val="19"/>
          <w:szCs w:val="19"/>
          <w:color w:val="auto"/>
        </w:rPr>
      </w:pPr>
    </w:p>
    <w:p>
      <w:pPr>
        <w:ind w:right="60" w:firstLine="8"/>
        <w:spacing w:after="0" w:line="244" w:lineRule="auto"/>
        <w:tabs>
          <w:tab w:leader="none" w:pos="258" w:val="left"/>
        </w:tabs>
        <w:numPr>
          <w:ilvl w:val="0"/>
          <w:numId w:val="56"/>
        </w:numPr>
        <w:rPr>
          <w:rFonts w:ascii="Arial" w:cs="Arial" w:eastAsia="Arial" w:hAnsi="Arial"/>
          <w:sz w:val="22"/>
          <w:szCs w:val="22"/>
          <w:color w:val="auto"/>
        </w:rPr>
      </w:pPr>
      <w:r>
        <w:rPr>
          <w:rFonts w:ascii="Arial" w:cs="Arial" w:eastAsia="Arial" w:hAnsi="Arial"/>
          <w:sz w:val="22"/>
          <w:szCs w:val="22"/>
          <w:color w:val="auto"/>
        </w:rPr>
        <w:t>upon satisfaction of the requirements for late, normal or early retirement under the tax-qualified defined contribution plan in which Executive is eligible to participate, as defined in such plan, or (ii) regardless of whether such plan exists, following any date after which Executive has attained the age of sixty-two (62) and completed no less than ten (10) years of continuous service with the Company Group.</w:t>
      </w:r>
    </w:p>
    <w:p>
      <w:pPr>
        <w:spacing w:after="0" w:line="236" w:lineRule="exact"/>
        <w:rPr>
          <w:rFonts w:ascii="Arial" w:cs="Arial" w:eastAsia="Arial" w:hAnsi="Arial"/>
          <w:sz w:val="22"/>
          <w:szCs w:val="22"/>
          <w:color w:val="auto"/>
        </w:rPr>
      </w:pPr>
    </w:p>
    <w:p>
      <w:pPr>
        <w:ind w:left="2200" w:hanging="895"/>
        <w:spacing w:after="0"/>
        <w:tabs>
          <w:tab w:leader="none" w:pos="22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Benefits</w:t>
      </w:r>
      <w:r>
        <w:rPr>
          <w:rFonts w:ascii="Arial" w:cs="Arial" w:eastAsia="Arial" w:hAnsi="Arial"/>
          <w:sz w:val="22"/>
          <w:szCs w:val="22"/>
          <w:color w:val="auto"/>
        </w:rPr>
        <w:t>” shall have the meaning set forth in Section 8(h) hereof.</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Multiplier</w:t>
      </w:r>
      <w:r>
        <w:rPr>
          <w:rFonts w:ascii="Arial" w:cs="Arial" w:eastAsia="Arial" w:hAnsi="Arial"/>
          <w:sz w:val="22"/>
          <w:szCs w:val="22"/>
          <w:color w:val="auto"/>
        </w:rPr>
        <w:t>” shall mean an amount equal to one and one-half (1½).</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shall mean the period specified in Section 2 hereof.</w:t>
      </w:r>
    </w:p>
    <w:p>
      <w:pPr>
        <w:spacing w:after="0" w:line="260" w:lineRule="exact"/>
        <w:rPr>
          <w:sz w:val="20"/>
          <w:szCs w:val="20"/>
          <w:color w:val="auto"/>
        </w:rPr>
      </w:pPr>
    </w:p>
    <w:p>
      <w:pPr>
        <w:ind w:left="2280" w:hanging="975"/>
        <w:spacing w:after="0"/>
        <w:tabs>
          <w:tab w:leader="none" w:pos="22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shall have the meaning set forth in Section 4(d) hereof.</w:t>
      </w:r>
    </w:p>
    <w:p>
      <w:pPr>
        <w:spacing w:after="0" w:line="254"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Acceptance and Term.</w:t>
      </w:r>
    </w:p>
    <w:p>
      <w:pPr>
        <w:spacing w:after="0" w:line="26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Company agrees to continue to employ Executive, and Executive agrees to continue to serve the Company, on the terms and conditions set forth herein. The Term shall commence on the Effective Date and, unless terminated sooner as provided in Section 8 hereof, shall continue during the period ending on the close of business of the three (3) year anniversary of the Effective Date (the ”</w:t>
      </w:r>
      <w:r>
        <w:rPr>
          <w:rFonts w:ascii="Arial" w:cs="Arial" w:eastAsia="Arial" w:hAnsi="Arial"/>
          <w:sz w:val="19"/>
          <w:szCs w:val="19"/>
          <w:u w:val="single" w:color="auto"/>
          <w:color w:val="auto"/>
        </w:rPr>
        <w:t>Initial Term</w:t>
      </w:r>
      <w:r>
        <w:rPr>
          <w:rFonts w:ascii="Arial" w:cs="Arial" w:eastAsia="Arial" w:hAnsi="Arial"/>
          <w:sz w:val="19"/>
          <w:szCs w:val="19"/>
          <w:color w:val="auto"/>
        </w:rPr>
        <w:t>”). The term of this Agreement shall automatically be extended for successive one-year periods (“</w:t>
      </w:r>
      <w:r>
        <w:rPr>
          <w:rFonts w:ascii="Arial" w:cs="Arial" w:eastAsia="Arial" w:hAnsi="Arial"/>
          <w:sz w:val="19"/>
          <w:szCs w:val="19"/>
          <w:u w:val="single" w:color="auto"/>
          <w:color w:val="auto"/>
        </w:rPr>
        <w:t>Extension</w:t>
      </w:r>
    </w:p>
    <w:p>
      <w:pPr>
        <w:sectPr>
          <w:pgSz w:w="11900" w:h="16838" w:orient="portrait"/>
          <w:cols w:equalWidth="0" w:num="1">
            <w:col w:w="11360"/>
          </w:cols>
          <w:pgMar w:left="240" w:top="591" w:right="299" w:bottom="1440" w:gutter="0" w:footer="0" w:header="0"/>
        </w:sectPr>
      </w:pPr>
    </w:p>
    <w:bookmarkStart w:id="137" w:name="page138"/>
    <w:bookmarkEnd w:id="137"/>
    <w:p>
      <w:pPr>
        <w:ind w:right="60"/>
        <w:spacing w:after="0" w:line="297" w:lineRule="auto"/>
        <w:rPr>
          <w:sz w:val="20"/>
          <w:szCs w:val="20"/>
          <w:color w:val="auto"/>
        </w:rPr>
      </w:pPr>
      <w:r>
        <w:rPr>
          <w:rFonts w:ascii="Arial" w:cs="Arial" w:eastAsia="Arial" w:hAnsi="Arial"/>
          <w:sz w:val="19"/>
          <w:szCs w:val="19"/>
          <w:u w:val="single" w:color="auto"/>
          <w:color w:val="auto"/>
        </w:rPr>
        <w:t>Terms</w:t>
      </w:r>
      <w:r>
        <w:rPr>
          <w:rFonts w:ascii="Arial" w:cs="Arial" w:eastAsia="Arial" w:hAnsi="Arial"/>
          <w:sz w:val="19"/>
          <w:szCs w:val="19"/>
          <w:color w:val="auto"/>
        </w:rPr>
        <w:t>” and, collectively with the Initial Term, the ”</w:t>
      </w:r>
      <w:r>
        <w:rPr>
          <w:rFonts w:ascii="Arial" w:cs="Arial" w:eastAsia="Arial" w:hAnsi="Arial"/>
          <w:sz w:val="19"/>
          <w:szCs w:val="19"/>
          <w:u w:val="single" w:color="auto"/>
          <w:color w:val="auto"/>
        </w:rPr>
        <w:t>Term</w:t>
      </w:r>
      <w:r>
        <w:rPr>
          <w:rFonts w:ascii="Arial" w:cs="Arial" w:eastAsia="Arial" w:hAnsi="Arial"/>
          <w:sz w:val="19"/>
          <w:szCs w:val="19"/>
          <w:color w:val="auto"/>
        </w:rPr>
        <w:t>”) unless either party gives written notice of non-extension to the other no later than one hundred twenty (120) days prior to the expiration of the then-applicable Term. For the avoidance of doubt, in the event that the Company provides notice of non-extension to Executive in accordance with this Section 2, such notice and non-extension of the Term shall not be treated as a termination by the Company without Cause or an event that constitutes Good Reason, and Executive shall not be entitled to any Severance Benefits upon such termination of this Agreement.</w:t>
      </w:r>
    </w:p>
    <w:p>
      <w:pPr>
        <w:spacing w:after="0" w:line="141"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Position, Duties, and Responsibilities; Place of Performance.</w:t>
      </w:r>
    </w:p>
    <w:p>
      <w:pPr>
        <w:spacing w:after="0" w:line="266" w:lineRule="exact"/>
        <w:rPr>
          <w:sz w:val="20"/>
          <w:szCs w:val="20"/>
          <w:color w:val="auto"/>
        </w:rPr>
      </w:pPr>
    </w:p>
    <w:p>
      <w:pPr>
        <w:ind w:right="280" w:firstLine="1305"/>
        <w:spacing w:after="0" w:line="247" w:lineRule="auto"/>
        <w:tabs>
          <w:tab w:leader="none" w:pos="2185"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Position, Duties, and Responsibilities</w:t>
      </w:r>
      <w:r>
        <w:rPr>
          <w:rFonts w:ascii="Arial" w:cs="Arial" w:eastAsia="Arial" w:hAnsi="Arial"/>
          <w:sz w:val="22"/>
          <w:szCs w:val="22"/>
          <w:color w:val="auto"/>
        </w:rPr>
        <w:t>. During the Term, Executive shall be employed and serve as the Senior Vice President, Corporate Development of the Company and the Parent (together with such other position or positions consistent with Executive’s title as the Board shall specify from time to time) and shall have such duties and responsibilities commensurate with such titles. Executive also agrees to serve as an officer and/or director of any other member of the Company Group, in each case without additional compensation. Executive shall report directly to the Chief Executive Officer of the Company.</w:t>
      </w:r>
    </w:p>
    <w:p>
      <w:pPr>
        <w:spacing w:after="0" w:line="234" w:lineRule="exact"/>
        <w:rPr>
          <w:rFonts w:ascii="Arial" w:cs="Arial" w:eastAsia="Arial" w:hAnsi="Arial"/>
          <w:sz w:val="22"/>
          <w:szCs w:val="22"/>
          <w:color w:val="auto"/>
        </w:rPr>
      </w:pPr>
    </w:p>
    <w:p>
      <w:pPr>
        <w:ind w:firstLine="1305"/>
        <w:spacing w:after="0" w:line="288" w:lineRule="auto"/>
        <w:tabs>
          <w:tab w:leader="none" w:pos="2197"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Executive shall devote his full business time, attention, skill, and best efforts to the performance of his duties under this Agreement and shall not engage in any other business or occupation during the Term, including, without limitation, any activity that (x) conflicts with the interests of the Company or any other member of the Company Group, (y) interferes with the proper and efficient performance of Executive’s duties for the Company, or (z) interferes with Executive’s exercise of judgment in the Company’s best interests. Notwithstanding the foregoing, nothing herein shall preclude Executive from (i) serving, with the prior written consent of the Board, as a member of the boards of directors or advisory boards (or their equivalents in the case of a non-corporate entity) of non-competing businesses and charitable organizations, (ii) engaging in charitable activities and community affairs, and (iii) managing his personal investments and affairs;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activities set out in clauses (i), (ii), and (iii) shall be limited by Executive so as not to materially interfere, individually or in the aggregate, with the performance of his duties and responsibilities hereunder or create a potential business or fiduciary conflict.</w:t>
      </w:r>
    </w:p>
    <w:p>
      <w:pPr>
        <w:spacing w:after="0" w:line="200" w:lineRule="exact"/>
        <w:rPr>
          <w:rFonts w:ascii="Arial" w:cs="Arial" w:eastAsia="Arial" w:hAnsi="Arial"/>
          <w:sz w:val="19"/>
          <w:szCs w:val="19"/>
          <w:color w:val="auto"/>
        </w:rPr>
      </w:pPr>
    </w:p>
    <w:p>
      <w:pPr>
        <w:ind w:right="100" w:firstLine="1305"/>
        <w:spacing w:after="0" w:line="343" w:lineRule="auto"/>
        <w:tabs>
          <w:tab w:leader="none" w:pos="218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Principal Place of Employment</w:t>
      </w:r>
      <w:r>
        <w:rPr>
          <w:rFonts w:ascii="Arial" w:cs="Arial" w:eastAsia="Arial" w:hAnsi="Arial"/>
          <w:sz w:val="19"/>
          <w:szCs w:val="19"/>
          <w:color w:val="auto"/>
        </w:rPr>
        <w:t>. Executive’s principal place of employment shall be in Radnor, Pennsylvania, although Executive understands and agrees that he may be required to travel from time to time for business reasons.</w:t>
      </w:r>
    </w:p>
    <w:p>
      <w:pPr>
        <w:spacing w:after="0" w:line="139"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Compensation.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Term, Executive shall be entitled to the following compensation:</w:t>
      </w:r>
    </w:p>
    <w:p>
      <w:pPr>
        <w:spacing w:after="0" w:line="220" w:lineRule="exact"/>
        <w:rPr>
          <w:sz w:val="20"/>
          <w:szCs w:val="20"/>
          <w:color w:val="auto"/>
        </w:rPr>
      </w:pPr>
    </w:p>
    <w:p>
      <w:pPr>
        <w:ind w:right="120" w:firstLine="1305"/>
        <w:spacing w:after="0" w:line="302" w:lineRule="auto"/>
        <w:tabs>
          <w:tab w:leader="none" w:pos="218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Executive shall be paid an annualized Base Salary, payable in accordance with the regular payroll practices of the Company, of not less than $300,000, with increases, if any, as may be approved in writing by the Compensation Committee;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preclude the Company from reducing Executive’s Base Salary as part of an across-the-board reduction applicable to all similarly situated executive officers of the Company.</w:t>
      </w:r>
    </w:p>
    <w:p>
      <w:pPr>
        <w:spacing w:after="0" w:line="183" w:lineRule="exact"/>
        <w:rPr>
          <w:rFonts w:ascii="Arial" w:cs="Arial" w:eastAsia="Arial" w:hAnsi="Arial"/>
          <w:sz w:val="19"/>
          <w:szCs w:val="19"/>
          <w:color w:val="auto"/>
        </w:rPr>
      </w:pPr>
    </w:p>
    <w:p>
      <w:pPr>
        <w:ind w:right="160" w:firstLine="1305"/>
        <w:spacing w:after="0" w:line="250" w:lineRule="auto"/>
        <w:tabs>
          <w:tab w:leader="none" w:pos="219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Executive shall be eligible for an annual incentive bonus award determined by the Compensation Committee in respect of each fiscal year during the Term (the “Annual Bonus Plan”). The target Annual Bonus for each fiscal year, commencing with fiscal year 2014, shall be at least 100% of Base Salary, with the actual Annual Bonus payable being based upon the level of</w:t>
      </w:r>
    </w:p>
    <w:p>
      <w:pPr>
        <w:sectPr>
          <w:pgSz w:w="11900" w:h="16838" w:orient="portrait"/>
          <w:cols w:equalWidth="0" w:num="1">
            <w:col w:w="11380"/>
          </w:cols>
          <w:pgMar w:left="240" w:top="591" w:right="279" w:bottom="1440" w:gutter="0" w:footer="0" w:header="0"/>
        </w:sectPr>
      </w:pPr>
    </w:p>
    <w:bookmarkStart w:id="138" w:name="page139"/>
    <w:bookmarkEnd w:id="138"/>
    <w:p>
      <w:pPr>
        <w:ind w:right="180"/>
        <w:spacing w:after="0" w:line="302" w:lineRule="auto"/>
        <w:rPr>
          <w:sz w:val="20"/>
          <w:szCs w:val="20"/>
          <w:color w:val="auto"/>
        </w:rPr>
      </w:pPr>
      <w:r>
        <w:rPr>
          <w:rFonts w:ascii="Arial" w:cs="Arial" w:eastAsia="Arial" w:hAnsi="Arial"/>
          <w:sz w:val="19"/>
          <w:szCs w:val="19"/>
          <w:color w:val="auto"/>
        </w:rPr>
        <w:t>achievement of annual Company and individual performance objectives for such fiscal year, as determined by the Compensation Committee and communicated to Executive consistent with the Annual Bonus Plan. The Annual Bonus shall be paid to Executive at the same time as annual bonuses are generally payable to other senior executives of the Company subject to Executive’s continuous employment through the payment date, except as otherwise provided in this Agreement.</w:t>
      </w:r>
    </w:p>
    <w:p>
      <w:pPr>
        <w:spacing w:after="0" w:line="183" w:lineRule="exact"/>
        <w:rPr>
          <w:sz w:val="20"/>
          <w:szCs w:val="20"/>
          <w:color w:val="auto"/>
        </w:rPr>
      </w:pPr>
    </w:p>
    <w:p>
      <w:pPr>
        <w:ind w:right="80" w:firstLine="1305"/>
        <w:spacing w:after="0" w:line="246" w:lineRule="auto"/>
        <w:tabs>
          <w:tab w:leader="none" w:pos="218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Long Term Incentive Plan</w:t>
      </w:r>
      <w:r>
        <w:rPr>
          <w:rFonts w:ascii="Arial" w:cs="Arial" w:eastAsia="Arial" w:hAnsi="Arial"/>
          <w:sz w:val="22"/>
          <w:szCs w:val="22"/>
          <w:color w:val="auto"/>
        </w:rPr>
        <w:t>. Commencing with the 2014 calendar year, Executive shall be eligible to participate in the applicable Company long-term incentive plan (“</w:t>
      </w:r>
      <w:r>
        <w:rPr>
          <w:rFonts w:ascii="Arial" w:cs="Arial" w:eastAsia="Arial" w:hAnsi="Arial"/>
          <w:sz w:val="22"/>
          <w:szCs w:val="22"/>
          <w:u w:val="single" w:color="auto"/>
          <w:color w:val="auto"/>
        </w:rPr>
        <w:t>Long Term Incentive Plan</w:t>
      </w:r>
      <w:r>
        <w:rPr>
          <w:rFonts w:ascii="Arial" w:cs="Arial" w:eastAsia="Arial" w:hAnsi="Arial"/>
          <w:sz w:val="22"/>
          <w:szCs w:val="22"/>
          <w:color w:val="auto"/>
        </w:rPr>
        <w:t>”), with an annual target opportunity thereunder of at least 50% of Base Salary. The terms and conditions (</w:t>
      </w:r>
      <w:r>
        <w:rPr>
          <w:rFonts w:ascii="Arial" w:cs="Arial" w:eastAsia="Arial" w:hAnsi="Arial"/>
          <w:sz w:val="22"/>
          <w:szCs w:val="22"/>
          <w:i w:val="1"/>
          <w:iCs w:val="1"/>
          <w:color w:val="auto"/>
        </w:rPr>
        <w:t>e</w:t>
      </w:r>
      <w:r>
        <w:rPr>
          <w:rFonts w:ascii="Arial" w:cs="Arial" w:eastAsia="Arial" w:hAnsi="Arial"/>
          <w:sz w:val="22"/>
          <w:szCs w:val="22"/>
          <w:color w:val="auto"/>
        </w:rPr>
        <w:t>.</w:t>
      </w:r>
      <w:r>
        <w:rPr>
          <w:rFonts w:ascii="Arial" w:cs="Arial" w:eastAsia="Arial" w:hAnsi="Arial"/>
          <w:sz w:val="22"/>
          <w:szCs w:val="22"/>
          <w:i w:val="1"/>
          <w:iCs w:val="1"/>
          <w:color w:val="auto"/>
        </w:rPr>
        <w:t>g</w:t>
      </w:r>
      <w:r>
        <w:rPr>
          <w:rFonts w:ascii="Arial" w:cs="Arial" w:eastAsia="Arial" w:hAnsi="Arial"/>
          <w:sz w:val="22"/>
          <w:szCs w:val="22"/>
          <w:color w:val="auto"/>
        </w:rPr>
        <w:t>., performance measures, vesting schedules, allocation between different forms of equity) of Executive’s long-term incentive awards shall be substantially similar to the terms and conditions of the long-term incentive awards granted to other executive officers of the Company, as determined by the Compensation Committee from time to time (the “</w:t>
      </w:r>
      <w:r>
        <w:rPr>
          <w:rFonts w:ascii="Arial" w:cs="Arial" w:eastAsia="Arial" w:hAnsi="Arial"/>
          <w:sz w:val="22"/>
          <w:szCs w:val="22"/>
          <w:u w:val="single" w:color="auto"/>
          <w:color w:val="auto"/>
        </w:rPr>
        <w:t>LTIP Awards</w:t>
      </w:r>
      <w:r>
        <w:rPr>
          <w:rFonts w:ascii="Arial" w:cs="Arial" w:eastAsia="Arial" w:hAnsi="Arial"/>
          <w:sz w:val="22"/>
          <w:szCs w:val="22"/>
          <w:color w:val="auto"/>
        </w:rPr>
        <w:t>”). The terms and conditions of the grant of LTIP Awards to Executive under the applicable Company’s Long Term Incentive Plan shall be set forth in the award agreement relating to the grant of such LTIP Award.</w:t>
      </w:r>
    </w:p>
    <w:p>
      <w:pPr>
        <w:spacing w:after="0" w:line="235" w:lineRule="exact"/>
        <w:rPr>
          <w:rFonts w:ascii="Arial" w:cs="Arial" w:eastAsia="Arial" w:hAnsi="Arial"/>
          <w:sz w:val="22"/>
          <w:szCs w:val="22"/>
          <w:color w:val="auto"/>
        </w:rPr>
      </w:pPr>
    </w:p>
    <w:p>
      <w:pPr>
        <w:ind w:right="80" w:firstLine="1305"/>
        <w:spacing w:after="0" w:line="250" w:lineRule="auto"/>
        <w:tabs>
          <w:tab w:leader="none" w:pos="219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Supplemental Senior Executive Retirement Plan</w:t>
      </w:r>
      <w:r>
        <w:rPr>
          <w:rFonts w:ascii="Arial" w:cs="Arial" w:eastAsia="Arial" w:hAnsi="Arial"/>
          <w:sz w:val="22"/>
          <w:szCs w:val="22"/>
          <w:color w:val="auto"/>
        </w:rPr>
        <w:t>. Commencing with the 2013 calendar year, Executive shall be eligible to participate in the Company Supplemental Senior Executive Retirement Plan (the “</w:t>
      </w:r>
      <w:r>
        <w:rPr>
          <w:rFonts w:ascii="Arial" w:cs="Arial" w:eastAsia="Arial" w:hAnsi="Arial"/>
          <w:sz w:val="22"/>
          <w:szCs w:val="22"/>
          <w:u w:val="single" w:color="auto"/>
          <w:color w:val="auto"/>
        </w:rPr>
        <w:t>SERP</w:t>
      </w:r>
      <w:r>
        <w:rPr>
          <w:rFonts w:ascii="Arial" w:cs="Arial" w:eastAsia="Arial" w:hAnsi="Arial"/>
          <w:sz w:val="22"/>
          <w:szCs w:val="22"/>
          <w:color w:val="auto"/>
        </w:rPr>
        <w:t>”), if and when established. Executive’s benefits under the SERP shall be treated consistent with and in the same manner as the benefit of the other executive officers of the Company who participate in the SERP.</w:t>
      </w:r>
    </w:p>
    <w:p>
      <w:pPr>
        <w:spacing w:after="0" w:line="223"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Executive Benefits.</w:t>
      </w:r>
    </w:p>
    <w:p>
      <w:pPr>
        <w:spacing w:after="0" w:line="26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During the Term, Executive shall be entitled to participate in health, insurance, retirement, and other benefits provided on no less favorable terms to similarly situated executive officers of the Company. Executive shall also be entitled to the same number of holidays, vacation days, and sick days, as well as any other benefits, in each case provided on no less favorable terms to similarly situated executive officers of the Company in accordance with the Company policy as in effect from time to time. Nothing contained herein shall be construed to limit the Company’s ability to amend, suspend, or terminate any employee benefit plan or policy at any time.</w:t>
      </w:r>
    </w:p>
    <w:p>
      <w:pPr>
        <w:spacing w:after="0" w:line="188"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Key-Man Insurance.</w:t>
      </w:r>
    </w:p>
    <w:p>
      <w:pPr>
        <w:spacing w:after="0" w:line="2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At any time during the Term, the Company shall have the right to insure the life of Executive for the sole benefit of the Company, in such amounts, and with such terms, as it may determine. All premiums payable thereon shall be the obligation of the Company. Executive shall have no interest in any such policy, but agrees to cooperate with the Company in procuring such insurance by submitting to physical examinations, supplying all information required by the insurance company, and executing all necessary documents, provided that no financial obligation is imposed on Executive by any such documents.</w:t>
      </w:r>
    </w:p>
    <w:p>
      <w:pPr>
        <w:spacing w:after="0" w:line="141"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Reimbursement of Business Expenses; Financial Advisory Services.</w:t>
      </w:r>
    </w:p>
    <w:p>
      <w:pPr>
        <w:spacing w:after="0" w:line="26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During the Term, the Company shall pay (or promptly reimburse Executive) for documented, out-of-pocket expenses reasonably incurred by Executive in the course of performing his duties and responsibilities hereunder, which are consistent with the Company’s policies in effect from time to time with respect to business expenses, subject to the Company’s requirements with respect to reporting of such expenses.</w:t>
      </w:r>
    </w:p>
    <w:p>
      <w:pPr>
        <w:sectPr>
          <w:pgSz w:w="11900" w:h="16838" w:orient="portrait"/>
          <w:cols w:equalWidth="0" w:num="1">
            <w:col w:w="11420"/>
          </w:cols>
          <w:pgMar w:left="240" w:top="591" w:right="239" w:bottom="1440" w:gutter="0" w:footer="0" w:header="0"/>
        </w:sectPr>
      </w:pPr>
    </w:p>
    <w:bookmarkStart w:id="139" w:name="page140"/>
    <w:bookmarkEnd w:id="139"/>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Termination of Employment.</w:t>
      </w:r>
    </w:p>
    <w:p>
      <w:pPr>
        <w:spacing w:after="0" w:line="266" w:lineRule="exact"/>
        <w:rPr>
          <w:sz w:val="20"/>
          <w:szCs w:val="20"/>
          <w:color w:val="auto"/>
        </w:rPr>
      </w:pPr>
    </w:p>
    <w:p>
      <w:pPr>
        <w:ind w:left="2200" w:hanging="895"/>
        <w:spacing w:after="0"/>
        <w:tabs>
          <w:tab w:leader="none" w:pos="2200"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Term shall terminate earlier than as provided in Section 2 hereof upon the earliest to occur of</w:t>
      </w:r>
    </w:p>
    <w:p>
      <w:pPr>
        <w:spacing w:after="0" w:line="56" w:lineRule="exact"/>
        <w:rPr>
          <w:rFonts w:ascii="Arial" w:cs="Arial" w:eastAsia="Arial" w:hAnsi="Arial"/>
          <w:sz w:val="19"/>
          <w:szCs w:val="19"/>
          <w:color w:val="auto"/>
        </w:rPr>
      </w:pPr>
    </w:p>
    <w:p>
      <w:pPr>
        <w:ind w:left="260" w:hanging="252"/>
        <w:spacing w:after="0"/>
        <w:tabs>
          <w:tab w:leader="none" w:pos="2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Executive’s death, (ii) a termination by reason of a Disability, (iii) a termination by the Company with or without Cause, and</w:t>
      </w:r>
    </w:p>
    <w:p>
      <w:pPr>
        <w:spacing w:after="0" w:line="38" w:lineRule="exact"/>
        <w:rPr>
          <w:rFonts w:ascii="Arial" w:cs="Arial" w:eastAsia="Arial" w:hAnsi="Arial"/>
          <w:sz w:val="19"/>
          <w:szCs w:val="19"/>
          <w:color w:val="auto"/>
        </w:rPr>
      </w:pPr>
    </w:p>
    <w:p>
      <w:pPr>
        <w:ind w:right="100" w:firstLine="8"/>
        <w:spacing w:after="0" w:line="281" w:lineRule="auto"/>
        <w:tabs>
          <w:tab w:leader="none" w:pos="366"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termination by Executive with or without Good Reason (including due to Retirement). Upon any termination of Executive’s employment for any reason, except as may otherwise be requested by the Company in writing and agreed upon in writing by Executive, Executive shall resign from any and all directorships, committee memberships, and any other positions Executive holds with the Company or any other member of the Company Group. Notwithstanding anything herein to the contrary, the payment (or commencement of a series of payments) hereunder of any nonqualified deferred compensation (within the meaning of</w:t>
      </w:r>
    </w:p>
    <w:p>
      <w:pPr>
        <w:spacing w:after="0" w:line="3" w:lineRule="exact"/>
        <w:rPr>
          <w:rFonts w:ascii="Arial" w:cs="Arial" w:eastAsia="Arial" w:hAnsi="Arial"/>
          <w:sz w:val="19"/>
          <w:szCs w:val="19"/>
          <w:color w:val="auto"/>
        </w:rPr>
      </w:pPr>
    </w:p>
    <w:p>
      <w:pPr>
        <w:spacing w:after="0" w:line="244" w:lineRule="auto"/>
        <w:rPr>
          <w:rFonts w:ascii="Arial" w:cs="Arial" w:eastAsia="Arial" w:hAnsi="Arial"/>
          <w:sz w:val="19"/>
          <w:szCs w:val="19"/>
          <w:color w:val="auto"/>
        </w:rPr>
      </w:pPr>
      <w:r>
        <w:rPr>
          <w:rFonts w:ascii="Arial" w:cs="Arial" w:eastAsia="Arial" w:hAnsi="Arial"/>
          <w:sz w:val="22"/>
          <w:szCs w:val="22"/>
          <w:color w:val="auto"/>
        </w:rPr>
        <w:t>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8 as if Executive had undergone such termination of employment (under the same circumstances) on the date of his ultimate “separation from service.”</w:t>
      </w:r>
    </w:p>
    <w:p>
      <w:pPr>
        <w:spacing w:after="0" w:line="235" w:lineRule="exact"/>
        <w:rPr>
          <w:rFonts w:ascii="Arial" w:cs="Arial" w:eastAsia="Arial" w:hAnsi="Arial"/>
          <w:sz w:val="19"/>
          <w:szCs w:val="19"/>
          <w:color w:val="auto"/>
        </w:rPr>
      </w:pPr>
    </w:p>
    <w:p>
      <w:pPr>
        <w:ind w:right="220" w:firstLine="1305"/>
        <w:spacing w:after="0" w:line="297" w:lineRule="auto"/>
        <w:tabs>
          <w:tab w:leader="none" w:pos="2197"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Termination Due to Death, Disability or Retirement</w:t>
      </w:r>
      <w:r>
        <w:rPr>
          <w:rFonts w:ascii="Arial" w:cs="Arial" w:eastAsia="Arial" w:hAnsi="Arial"/>
          <w:sz w:val="19"/>
          <w:szCs w:val="19"/>
          <w:color w:val="auto"/>
        </w:rPr>
        <w:t>. Executive’s employment shall terminate automatically upon his death. The Company may terminate Executive’s employment immediately upon the occurrence of a Disability, such termination to be effective upon Executive’s receipt of written notice of such termination. Employment shall terminate upon Executive’s Retirement. Upon Executive’s death or in the event that Executive’s employment is terminated due to his Disability or Retirement, Executive or his estate or his beneficiaries, as the case may be, shall be entitled to:</w:t>
      </w:r>
    </w:p>
    <w:p>
      <w:pPr>
        <w:spacing w:after="0" w:line="187" w:lineRule="exact"/>
        <w:rPr>
          <w:rFonts w:ascii="Arial" w:cs="Arial" w:eastAsia="Arial" w:hAnsi="Arial"/>
          <w:sz w:val="19"/>
          <w:szCs w:val="19"/>
          <w:color w:val="auto"/>
        </w:rPr>
      </w:pPr>
    </w:p>
    <w:p>
      <w:pPr>
        <w:ind w:left="2800" w:hanging="847"/>
        <w:spacing w:after="0"/>
        <w:tabs>
          <w:tab w:leader="none" w:pos="2800" w:val="left"/>
        </w:tabs>
        <w:numPr>
          <w:ilvl w:val="2"/>
          <w:numId w:val="63"/>
        </w:numPr>
        <w:rPr>
          <w:rFonts w:ascii="Arial" w:cs="Arial" w:eastAsia="Arial" w:hAnsi="Arial"/>
          <w:sz w:val="22"/>
          <w:szCs w:val="22"/>
          <w:color w:val="auto"/>
        </w:rPr>
      </w:pPr>
      <w:r>
        <w:rPr>
          <w:rFonts w:ascii="Arial" w:cs="Arial" w:eastAsia="Arial" w:hAnsi="Arial"/>
          <w:sz w:val="22"/>
          <w:szCs w:val="22"/>
          <w:color w:val="auto"/>
        </w:rPr>
        <w:t>The Accrued Obligations; and</w:t>
      </w:r>
    </w:p>
    <w:p>
      <w:pPr>
        <w:spacing w:after="0" w:line="260" w:lineRule="exact"/>
        <w:rPr>
          <w:rFonts w:ascii="Arial" w:cs="Arial" w:eastAsia="Arial" w:hAnsi="Arial"/>
          <w:sz w:val="22"/>
          <w:szCs w:val="22"/>
          <w:color w:val="auto"/>
        </w:rPr>
      </w:pPr>
    </w:p>
    <w:p>
      <w:pPr>
        <w:ind w:left="660" w:right="140" w:firstLine="1293"/>
        <w:spacing w:after="0" w:line="250" w:lineRule="auto"/>
        <w:tabs>
          <w:tab w:leader="none" w:pos="2869" w:val="left"/>
        </w:tabs>
        <w:numPr>
          <w:ilvl w:val="2"/>
          <w:numId w:val="63"/>
        </w:numPr>
        <w:rPr>
          <w:rFonts w:ascii="Arial" w:cs="Arial" w:eastAsia="Arial" w:hAnsi="Arial"/>
          <w:sz w:val="22"/>
          <w:szCs w:val="22"/>
          <w:color w:val="auto"/>
        </w:rPr>
      </w:pPr>
      <w:r>
        <w:rPr>
          <w:rFonts w:ascii="Arial" w:cs="Arial" w:eastAsia="Arial" w:hAnsi="Arial"/>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228" w:lineRule="exact"/>
        <w:rPr>
          <w:rFonts w:ascii="Arial" w:cs="Arial" w:eastAsia="Arial" w:hAnsi="Arial"/>
          <w:sz w:val="22"/>
          <w:szCs w:val="22"/>
          <w:color w:val="auto"/>
        </w:rPr>
      </w:pPr>
    </w:p>
    <w:p>
      <w:pPr>
        <w:ind w:left="2920" w:hanging="967"/>
        <w:spacing w:after="0"/>
        <w:tabs>
          <w:tab w:leader="none" w:pos="2920" w:val="left"/>
        </w:tabs>
        <w:numPr>
          <w:ilvl w:val="2"/>
          <w:numId w:val="63"/>
        </w:numPr>
        <w:rPr>
          <w:rFonts w:ascii="Arial" w:cs="Arial" w:eastAsia="Arial" w:hAnsi="Arial"/>
          <w:sz w:val="19"/>
          <w:szCs w:val="19"/>
          <w:color w:val="auto"/>
        </w:rPr>
      </w:pPr>
      <w:r>
        <w:rPr>
          <w:rFonts w:ascii="Arial" w:cs="Arial" w:eastAsia="Arial" w:hAnsi="Arial"/>
          <w:sz w:val="19"/>
          <w:szCs w:val="19"/>
          <w:color w:val="auto"/>
        </w:rPr>
        <w:t>Any service-based vesting or service requirements with respect to any equity grant and other</w:t>
      </w:r>
    </w:p>
    <w:p>
      <w:pPr>
        <w:spacing w:after="0" w:line="56" w:lineRule="exact"/>
        <w:rPr>
          <w:sz w:val="20"/>
          <w:szCs w:val="20"/>
          <w:color w:val="auto"/>
        </w:rPr>
      </w:pPr>
    </w:p>
    <w:p>
      <w:pPr>
        <w:ind w:left="660" w:right="80"/>
        <w:spacing w:after="0" w:line="256" w:lineRule="auto"/>
        <w:rPr>
          <w:sz w:val="20"/>
          <w:szCs w:val="20"/>
          <w:color w:val="auto"/>
        </w:rPr>
      </w:pPr>
      <w:r>
        <w:rPr>
          <w:rFonts w:ascii="Arial" w:cs="Arial" w:eastAsia="Arial" w:hAnsi="Arial"/>
          <w:sz w:val="21"/>
          <w:szCs w:val="21"/>
          <w:color w:val="auto"/>
        </w:rPr>
        <w:t>long-term incentive award previously granted to Executive and then outstanding shall become vested and non-forfeitable as of the date of termination of Executive’s employment and 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amount of time which elapsed from the commencement of the applicable performance period through the date of termination), based on the actual attainment of performance goals during the applicable performance period, and, in other respects, such awards shall be governed by the plans, programs, agreements, or other documents, as applicable, pursuant to which such awards were granted.</w:t>
      </w:r>
    </w:p>
    <w:p>
      <w:pPr>
        <w:spacing w:after="0" w:line="230" w:lineRule="exact"/>
        <w:rPr>
          <w:sz w:val="20"/>
          <w:szCs w:val="20"/>
          <w:color w:val="auto"/>
        </w:rPr>
      </w:pPr>
    </w:p>
    <w:p>
      <w:pPr>
        <w:ind w:right="280"/>
        <w:spacing w:after="0" w:line="343" w:lineRule="auto"/>
        <w:rPr>
          <w:sz w:val="20"/>
          <w:szCs w:val="20"/>
          <w:color w:val="auto"/>
        </w:rPr>
      </w:pPr>
      <w:r>
        <w:rPr>
          <w:rFonts w:ascii="Arial" w:cs="Arial" w:eastAsia="Arial" w:hAnsi="Arial"/>
          <w:sz w:val="19"/>
          <w:szCs w:val="19"/>
          <w:color w:val="auto"/>
        </w:rPr>
        <w:t>Following Executive’s death or a termination of Executive’s employment by reason of a Disability or Retirement, except as set forth in this Section 8(b), Executive shall have no further rights to any compensation or any other benefits under this Agreement.</w:t>
      </w:r>
    </w:p>
    <w:p>
      <w:pPr>
        <w:sectPr>
          <w:pgSz w:w="11900" w:h="16838" w:orient="portrait"/>
          <w:cols w:equalWidth="0" w:num="1">
            <w:col w:w="11420"/>
          </w:cols>
          <w:pgMar w:left="240" w:top="585" w:right="239" w:bottom="1440" w:gutter="0" w:footer="0" w:header="0"/>
        </w:sectPr>
      </w:pPr>
    </w:p>
    <w:bookmarkStart w:id="140" w:name="page141"/>
    <w:bookmarkEnd w:id="140"/>
    <w:p>
      <w:pPr>
        <w:ind w:left="1000" w:hanging="895"/>
        <w:spacing w:after="0"/>
        <w:tabs>
          <w:tab w:leader="none" w:pos="10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 Cause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540" w:right="20" w:firstLine="1293"/>
        <w:spacing w:after="0" w:line="290" w:lineRule="auto"/>
        <w:tabs>
          <w:tab w:leader="none" w:pos="1609"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The Company may terminate Executive’s employment at any time with Cause, effective upon Executive’s receipt of written notice of such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Cause termination relying on clause (ii) or (vi) of the definition of Cause set forth in Section 1(f) hereof, to the extent that such act or acts or failure or failures to act are curable, Executive shall be given not less than thirty (30) days’ written notice by the Board of the Company’s intention to terminate him with Cause, such notice to state in detail the particular act or acts or failure or failures to act that constitute the grounds on which the proposed termination with Cause is based, and such termination shall be effective at the expiration of such thirty (30) day notice period unless Executive has fully cured such act or acts or failure or failures to act that give rise to Cause during such period.</w:t>
      </w:r>
    </w:p>
    <w:p>
      <w:pPr>
        <w:spacing w:after="0" w:line="197" w:lineRule="exact"/>
        <w:rPr>
          <w:rFonts w:ascii="Arial" w:cs="Arial" w:eastAsia="Arial" w:hAnsi="Arial"/>
          <w:sz w:val="19"/>
          <w:szCs w:val="19"/>
          <w:color w:val="auto"/>
        </w:rPr>
      </w:pPr>
    </w:p>
    <w:p>
      <w:pPr>
        <w:ind w:left="-540" w:right="20" w:firstLine="1293"/>
        <w:spacing w:after="0" w:line="250" w:lineRule="auto"/>
        <w:tabs>
          <w:tab w:leader="none" w:pos="1669"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 the event that the Company terminates Executive’s employment with Cause, he shall be entitled only to the Accrued Obligations. Following such termination of Executive’s employment with Cause, except as set forth in this Section 8(c)(ii)). Executive shall have no further rights to any compensation or any other benefits under this Agreement.</w:t>
      </w:r>
    </w:p>
    <w:p>
      <w:pPr>
        <w:spacing w:after="0" w:line="228" w:lineRule="exact"/>
        <w:rPr>
          <w:rFonts w:ascii="Arial" w:cs="Arial" w:eastAsia="Arial" w:hAnsi="Arial"/>
          <w:sz w:val="22"/>
          <w:szCs w:val="22"/>
          <w:color w:val="auto"/>
        </w:rPr>
      </w:pPr>
    </w:p>
    <w:p>
      <w:pPr>
        <w:ind w:left="-1200" w:right="320" w:firstLine="1305"/>
        <w:spacing w:after="0" w:line="312" w:lineRule="auto"/>
        <w:tabs>
          <w:tab w:leader="none" w:pos="997"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Executive’s employment at any time without Cause, effective upon Executive’s receipt of written notice of such termination. In the event that Executive’s employment is terminated by the Company without Cause (other than due to death or Disability), Executive shall be entitled to:</w:t>
      </w:r>
    </w:p>
    <w:p>
      <w:pPr>
        <w:spacing w:after="0" w:line="174" w:lineRule="exact"/>
        <w:rPr>
          <w:rFonts w:ascii="Arial" w:cs="Arial" w:eastAsia="Arial" w:hAnsi="Arial"/>
          <w:sz w:val="19"/>
          <w:szCs w:val="19"/>
          <w:color w:val="auto"/>
        </w:rPr>
      </w:pPr>
    </w:p>
    <w:p>
      <w:pPr>
        <w:ind w:left="1600" w:hanging="847"/>
        <w:spacing w:after="0"/>
        <w:tabs>
          <w:tab w:leader="none" w:pos="16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Accrued Obligations; and</w:t>
      </w:r>
    </w:p>
    <w:p>
      <w:pPr>
        <w:spacing w:after="0" w:line="260" w:lineRule="exact"/>
        <w:rPr>
          <w:rFonts w:ascii="Arial" w:cs="Arial" w:eastAsia="Arial" w:hAnsi="Arial"/>
          <w:sz w:val="22"/>
          <w:szCs w:val="22"/>
          <w:color w:val="auto"/>
        </w:rPr>
      </w:pPr>
    </w:p>
    <w:p>
      <w:pPr>
        <w:ind w:left="-540" w:right="120" w:firstLine="1293"/>
        <w:spacing w:after="0" w:line="250" w:lineRule="auto"/>
        <w:tabs>
          <w:tab w:leader="none" w:pos="1669"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228" w:lineRule="exact"/>
        <w:rPr>
          <w:rFonts w:ascii="Arial" w:cs="Arial" w:eastAsia="Arial" w:hAnsi="Arial"/>
          <w:sz w:val="22"/>
          <w:szCs w:val="22"/>
          <w:color w:val="auto"/>
        </w:rPr>
      </w:pPr>
    </w:p>
    <w:p>
      <w:pPr>
        <w:ind w:left="-540" w:right="40" w:firstLine="1293"/>
        <w:spacing w:after="0" w:line="294" w:lineRule="auto"/>
        <w:tabs>
          <w:tab w:leader="none" w:pos="1729" w:val="left"/>
        </w:tabs>
        <w:numPr>
          <w:ilvl w:val="1"/>
          <w:numId w:val="64"/>
        </w:numPr>
        <w:rPr>
          <w:rFonts w:ascii="Arial" w:cs="Arial" w:eastAsia="Arial" w:hAnsi="Arial"/>
          <w:sz w:val="19"/>
          <w:szCs w:val="19"/>
          <w:color w:val="auto"/>
        </w:rPr>
      </w:pPr>
      <w:r>
        <w:rPr>
          <w:rFonts w:ascii="Arial" w:cs="Arial" w:eastAsia="Arial" w:hAnsi="Arial"/>
          <w:sz w:val="19"/>
          <w:szCs w:val="19"/>
          <w:color w:val="auto"/>
        </w:rPr>
        <w:t>Subject to achievement of the applicable performance conditions for the fiscal year of the Company in which Executive’s termination occurs, as determined by the Compensation Committee, payment of the Annual Bonus that would otherwise have been earned in respect of the fiscal year in which such termination occurred, pro-rated to reflect the number of days Executive was employed during such fiscal year, which amount shall be paid at such time annual bonuses are paid to other senior executive officers of the Company, but in no event later than the date that is 2½ months following the last day of the fiscal year in which such termination occurred; and</w:t>
      </w:r>
    </w:p>
    <w:p>
      <w:pPr>
        <w:spacing w:after="0" w:line="190" w:lineRule="exact"/>
        <w:rPr>
          <w:rFonts w:ascii="Arial" w:cs="Arial" w:eastAsia="Arial" w:hAnsi="Arial"/>
          <w:sz w:val="19"/>
          <w:szCs w:val="19"/>
          <w:color w:val="auto"/>
        </w:rPr>
      </w:pPr>
    </w:p>
    <w:p>
      <w:pPr>
        <w:ind w:left="-540" w:firstLine="1293"/>
        <w:spacing w:after="0" w:line="302" w:lineRule="auto"/>
        <w:tabs>
          <w:tab w:leader="none" w:pos="1717" w:val="left"/>
        </w:tabs>
        <w:numPr>
          <w:ilvl w:val="1"/>
          <w:numId w:val="64"/>
        </w:numPr>
        <w:rPr>
          <w:rFonts w:ascii="Arial" w:cs="Arial" w:eastAsia="Arial" w:hAnsi="Arial"/>
          <w:sz w:val="19"/>
          <w:szCs w:val="19"/>
          <w:color w:val="auto"/>
        </w:rPr>
      </w:pPr>
      <w:r>
        <w:rPr>
          <w:rFonts w:ascii="Arial" w:cs="Arial" w:eastAsia="Arial" w:hAnsi="Arial"/>
          <w:sz w:val="19"/>
          <w:szCs w:val="19"/>
          <w:color w:val="auto"/>
        </w:rPr>
        <w:t>A lump sum payment equal to the Severance Multiplier multiplied by the sum of (x) Executive’s then-current Base Salary and (y) Executive’s target Annual Bonus for the fiscal year in which the date of termination occurs, payable as soon as reasonably practicable following the date of termination, but in no event later than the date that is 2½ months following the last day of the fiscal year in which such termination occurred; and</w:t>
      </w:r>
    </w:p>
    <w:p>
      <w:pPr>
        <w:spacing w:after="0" w:line="183" w:lineRule="exact"/>
        <w:rPr>
          <w:rFonts w:ascii="Arial" w:cs="Arial" w:eastAsia="Arial" w:hAnsi="Arial"/>
          <w:sz w:val="19"/>
          <w:szCs w:val="19"/>
          <w:color w:val="auto"/>
        </w:rPr>
      </w:pPr>
    </w:p>
    <w:p>
      <w:pPr>
        <w:ind w:left="-540" w:right="140" w:firstLine="1293"/>
        <w:spacing w:after="0" w:line="250" w:lineRule="auto"/>
        <w:tabs>
          <w:tab w:leader="none" w:pos="1657" w:val="left"/>
        </w:tabs>
        <w:numPr>
          <w:ilvl w:val="1"/>
          <w:numId w:val="64"/>
        </w:numPr>
        <w:rPr>
          <w:rFonts w:ascii="Arial" w:cs="Arial" w:eastAsia="Arial" w:hAnsi="Arial"/>
          <w:sz w:val="22"/>
          <w:szCs w:val="22"/>
          <w:color w:val="auto"/>
        </w:rPr>
      </w:pPr>
      <w:r>
        <w:rPr>
          <w:rFonts w:ascii="Arial" w:cs="Arial" w:eastAsia="Arial" w:hAnsi="Arial"/>
          <w:sz w:val="22"/>
          <w:szCs w:val="22"/>
          <w:color w:val="auto"/>
        </w:rPr>
        <w:t>To the extent permitted by applicable law without any tax or penalty to Executive or any member of the Company Group and subject to Executive’s election of COBRA continuation coverage under the Company’s group health plan, for a period of eighteen (18) months following the date of termination of Executive’s employment, on the first regularly</w:t>
      </w:r>
    </w:p>
    <w:p>
      <w:pPr>
        <w:sectPr>
          <w:pgSz w:w="11900" w:h="16838" w:orient="portrait"/>
          <w:cols w:equalWidth="0" w:num="1">
            <w:col w:w="10200"/>
          </w:cols>
          <w:pgMar w:left="1440" w:top="591" w:right="259" w:bottom="1440" w:gutter="0" w:footer="0" w:header="0"/>
        </w:sectPr>
      </w:pPr>
    </w:p>
    <w:bookmarkStart w:id="141" w:name="page142"/>
    <w:bookmarkEnd w:id="141"/>
    <w:p>
      <w:pPr>
        <w:ind w:left="660" w:right="140"/>
        <w:spacing w:after="0" w:line="291" w:lineRule="auto"/>
        <w:rPr>
          <w:sz w:val="20"/>
          <w:szCs w:val="20"/>
          <w:color w:val="auto"/>
        </w:rPr>
      </w:pPr>
      <w:r>
        <w:rPr>
          <w:rFonts w:ascii="Arial" w:cs="Arial" w:eastAsia="Arial" w:hAnsi="Arial"/>
          <w:sz w:val="19"/>
          <w:szCs w:val="19"/>
          <w:color w:val="auto"/>
        </w:rPr>
        <w:t xml:space="preserve">scheduled payroll date of each month during such eighteen (18) month period, the Company will pay Executive an amount equal to the monthly COBRA premium cost for current coverage and ; </w:t>
      </w:r>
      <w:r>
        <w:rPr>
          <w:rFonts w:ascii="Arial" w:cs="Arial" w:eastAsia="Arial" w:hAnsi="Arial"/>
          <w:sz w:val="19"/>
          <w:szCs w:val="19"/>
          <w:i w:val="1"/>
          <w:iCs w:val="1"/>
          <w:color w:val="auto"/>
        </w:rPr>
        <w:t>provided</w:t>
      </w:r>
      <w:r>
        <w:rPr>
          <w:rFonts w:ascii="Arial" w:cs="Arial" w:eastAsia="Arial" w:hAnsi="Arial"/>
          <w:sz w:val="19"/>
          <w:szCs w:val="19"/>
          <w:color w:val="auto"/>
        </w:rPr>
        <w:t>, that the payments pursuant to this clause</w:t>
      </w:r>
    </w:p>
    <w:p>
      <w:pPr>
        <w:spacing w:after="0" w:line="1" w:lineRule="exact"/>
        <w:rPr>
          <w:sz w:val="20"/>
          <w:szCs w:val="20"/>
          <w:color w:val="auto"/>
        </w:rPr>
      </w:pPr>
    </w:p>
    <w:p>
      <w:pPr>
        <w:ind w:left="660" w:right="120" w:hanging="4"/>
        <w:spacing w:after="0" w:line="244" w:lineRule="auto"/>
        <w:tabs>
          <w:tab w:leader="none" w:pos="1026" w:val="left"/>
        </w:tabs>
        <w:numPr>
          <w:ilvl w:val="0"/>
          <w:numId w:val="65"/>
        </w:numPr>
        <w:rPr>
          <w:rFonts w:ascii="Arial" w:cs="Arial" w:eastAsia="Arial" w:hAnsi="Arial"/>
          <w:sz w:val="22"/>
          <w:szCs w:val="22"/>
          <w:color w:val="auto"/>
        </w:rPr>
      </w:pPr>
      <w:r>
        <w:rPr>
          <w:rFonts w:ascii="Arial" w:cs="Arial" w:eastAsia="Arial" w:hAnsi="Arial"/>
          <w:sz w:val="22"/>
          <w:szCs w:val="22"/>
          <w:color w:val="auto"/>
        </w:rPr>
        <w:t>shall cease earlier than the expiration of the eighteen (18) month period in the event that Executive becomes eligible to receive comparable health benefits through a new employer. In the event that the provision of the continued coverage described herein is legally prohibited, or could subject either the Company or Executive to any tax or penalty, after consulting with Executive, the Company shall be permitted to modify such coverage so as to comply with applicable law and avoid any such tax or penalty;</w:t>
      </w:r>
    </w:p>
    <w:p>
      <w:pPr>
        <w:spacing w:after="0" w:line="235" w:lineRule="exact"/>
        <w:rPr>
          <w:rFonts w:ascii="Arial" w:cs="Arial" w:eastAsia="Arial" w:hAnsi="Arial"/>
          <w:sz w:val="22"/>
          <w:szCs w:val="22"/>
          <w:color w:val="auto"/>
        </w:rPr>
      </w:pPr>
    </w:p>
    <w:p>
      <w:pPr>
        <w:ind w:left="660" w:firstLine="1293"/>
        <w:spacing w:after="0" w:line="292" w:lineRule="auto"/>
        <w:tabs>
          <w:tab w:leader="none" w:pos="2917"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Any service-based vesting or service requirements with respect to any equity grant and other long-term incentive award previously granted to Executive and then outstanding that would have vested during a number of months following the date of termination of Executive’s employment equal to the Severance Multiplier multiplied by twelve (12) shall become vested and non-forfeitable as of the date of termination of Executive’s employment; </w:t>
      </w:r>
      <w:r>
        <w:rPr>
          <w:rFonts w:ascii="Arial" w:cs="Arial" w:eastAsia="Arial" w:hAnsi="Arial"/>
          <w:sz w:val="19"/>
          <w:szCs w:val="19"/>
          <w:i w:val="1"/>
          <w:iCs w:val="1"/>
          <w:color w:val="auto"/>
        </w:rPr>
        <w:t>provided</w:t>
      </w:r>
      <w:r>
        <w:rPr>
          <w:rFonts w:ascii="Arial" w:cs="Arial" w:eastAsia="Arial" w:hAnsi="Arial"/>
          <w:sz w:val="19"/>
          <w:szCs w:val="19"/>
          <w:color w:val="auto"/>
        </w:rPr>
        <w:t>, that in the event the termination of Executive’s employment follows a Change of Control, any service-based vesting or service requirements with respect to any equity grant and other long-term incentive award previously granted to Executive and then outstanding shall become fully vested and non-forfeitable as of the date of termination of Executive’s employment;</w:t>
      </w:r>
    </w:p>
    <w:p>
      <w:pPr>
        <w:spacing w:after="0" w:line="192" w:lineRule="exact"/>
        <w:rPr>
          <w:rFonts w:ascii="Arial" w:cs="Arial" w:eastAsia="Arial" w:hAnsi="Arial"/>
          <w:sz w:val="19"/>
          <w:szCs w:val="19"/>
          <w:color w:val="auto"/>
        </w:rPr>
      </w:pPr>
    </w:p>
    <w:p>
      <w:pPr>
        <w:ind w:left="660" w:right="40" w:firstLine="1293"/>
        <w:spacing w:after="0" w:line="292" w:lineRule="auto"/>
        <w:tabs>
          <w:tab w:leader="none" w:pos="2977"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amount of time which elapsed from the commencement of the applicable performance period through the date of termination), based on the actual attainment of performance goals during the applicable performance period , and, in other respects, such awards shall be governed by the plans, programs, agreements, or other documents, as applicable, pursuant to which such awards were granted; and</w:t>
      </w:r>
    </w:p>
    <w:p>
      <w:pPr>
        <w:spacing w:after="0" w:line="192" w:lineRule="exact"/>
        <w:rPr>
          <w:rFonts w:ascii="Arial" w:cs="Arial" w:eastAsia="Arial" w:hAnsi="Arial"/>
          <w:sz w:val="19"/>
          <w:szCs w:val="19"/>
          <w:color w:val="auto"/>
        </w:rPr>
      </w:pPr>
    </w:p>
    <w:p>
      <w:pPr>
        <w:ind w:left="660" w:right="20" w:firstLine="1293"/>
        <w:spacing w:after="0" w:line="263" w:lineRule="auto"/>
        <w:tabs>
          <w:tab w:leader="none" w:pos="3037" w:val="left"/>
        </w:tabs>
        <w:numPr>
          <w:ilvl w:val="1"/>
          <w:numId w:val="65"/>
        </w:numPr>
        <w:rPr>
          <w:rFonts w:ascii="Arial" w:cs="Arial" w:eastAsia="Arial" w:hAnsi="Arial"/>
          <w:sz w:val="22"/>
          <w:szCs w:val="22"/>
          <w:color w:val="auto"/>
        </w:rPr>
      </w:pPr>
      <w:r>
        <w:rPr>
          <w:rFonts w:ascii="Arial" w:cs="Arial" w:eastAsia="Arial" w:hAnsi="Arial"/>
          <w:sz w:val="22"/>
          <w:szCs w:val="22"/>
          <w:color w:val="auto"/>
        </w:rPr>
        <w:t>Outplacement services at a level commensurate with Executive’s position in accordance with the Company’s practices as in effect from time to time.</w:t>
      </w:r>
    </w:p>
    <w:p>
      <w:pPr>
        <w:spacing w:after="0" w:line="215"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color w:val="auto"/>
        </w:rPr>
        <w:t>Notwithstanding the foregoing, the payments and benefits described in clauses (ii), (iii), (iv) and (v) above shall immediately terminate, and the Company shall have no further obligations to Executive with respect thereto, in the event that Executive breaches any provision of the Non-Interference Agreement. Following such termination of Executive’s employment by the Company without Cause, except as set forth in this Section 8(d),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spacing w:after="0" w:line="150" w:lineRule="exact"/>
        <w:rPr>
          <w:sz w:val="20"/>
          <w:szCs w:val="20"/>
          <w:color w:val="auto"/>
        </w:rPr>
      </w:pPr>
    </w:p>
    <w:p>
      <w:pPr>
        <w:ind w:right="140" w:firstLine="1305"/>
        <w:spacing w:after="0" w:line="259" w:lineRule="auto"/>
        <w:tabs>
          <w:tab w:leader="none" w:pos="2185"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Termination by Executive with Good Reason</w:t>
      </w:r>
      <w:r>
        <w:rPr>
          <w:rFonts w:ascii="Arial" w:cs="Arial" w:eastAsia="Arial" w:hAnsi="Arial"/>
          <w:sz w:val="21"/>
          <w:szCs w:val="21"/>
          <w:color w:val="auto"/>
        </w:rPr>
        <w:t>. Executive may terminate his employment with Good Reason by providing the Company thirty (30) days’ written notice setting forth in reasonable specificity the event that constitutes Good Reason, which written notice, to be effective, must be provided to the Company within ninety (90) days of Executives knowledge of occurrence of such event. During such thirty (30) day notice period, the Company shall have a cure right, and if not cured within such period, Executive’s termination will be effective upon the expiration of such cure period, and Executive shall be entitled to the same payments and benefits as provided in Section 8(d) hereof for a termination by the Company without Cause, subject to the same conditions on payment and benefits as described in Section 8(d) hereof. Following such termination of Executive’s employment by Executive</w:t>
      </w:r>
    </w:p>
    <w:p>
      <w:pPr>
        <w:sectPr>
          <w:pgSz w:w="11900" w:h="16838" w:orient="portrait"/>
          <w:cols w:equalWidth="0" w:num="1">
            <w:col w:w="11420"/>
          </w:cols>
          <w:pgMar w:left="240" w:top="591" w:right="239" w:bottom="1440" w:gutter="0" w:footer="0" w:header="0"/>
        </w:sectPr>
      </w:pPr>
    </w:p>
    <w:bookmarkStart w:id="142" w:name="page143"/>
    <w:bookmarkEnd w:id="142"/>
    <w:p>
      <w:pPr>
        <w:ind w:right="140"/>
        <w:spacing w:after="0" w:line="253" w:lineRule="auto"/>
        <w:rPr>
          <w:sz w:val="20"/>
          <w:szCs w:val="20"/>
          <w:color w:val="auto"/>
        </w:rPr>
      </w:pPr>
      <w:r>
        <w:rPr>
          <w:rFonts w:ascii="Arial" w:cs="Arial" w:eastAsia="Arial" w:hAnsi="Arial"/>
          <w:sz w:val="22"/>
          <w:szCs w:val="22"/>
          <w:color w:val="auto"/>
        </w:rPr>
        <w:t>with Good Reason, except as set forth in this Section 8(e), Executive shall have no further rights to any compensation or any other benefits under this Agreement. For the avoidance of doubt, Executive’s sole and exclusive remedy upon a termination of employment with Good Reason shall be receipt of the Severance Benefits.</w:t>
      </w:r>
    </w:p>
    <w:p>
      <w:pPr>
        <w:spacing w:after="0" w:line="226" w:lineRule="exact"/>
        <w:rPr>
          <w:sz w:val="20"/>
          <w:szCs w:val="20"/>
          <w:color w:val="auto"/>
        </w:rPr>
      </w:pPr>
    </w:p>
    <w:p>
      <w:pPr>
        <w:ind w:right="20" w:firstLine="1305"/>
        <w:spacing w:after="0" w:line="292" w:lineRule="auto"/>
        <w:tabs>
          <w:tab w:leader="none" w:pos="216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Termination by Executive without Good Reason</w:t>
      </w:r>
      <w:r>
        <w:rPr>
          <w:rFonts w:ascii="Arial" w:cs="Arial" w:eastAsia="Arial" w:hAnsi="Arial"/>
          <w:sz w:val="19"/>
          <w:szCs w:val="19"/>
          <w:color w:val="auto"/>
        </w:rPr>
        <w:t>. Executive may terminate his employment without Good Reason by providing the Company thirty (30) days’ written notice of such termination. In the event of a termination of employment by Executive under this Section 8(f), Executive shall be entitled only to the Accrued Obligations. In the event of termination of Executive’s employment under this Section 8(f),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8(f), Executive shall have no further rights to any compensation or any other benefits under this Agreement.</w:t>
      </w:r>
    </w:p>
    <w:p>
      <w:pPr>
        <w:spacing w:after="0" w:line="192" w:lineRule="exact"/>
        <w:rPr>
          <w:rFonts w:ascii="Arial" w:cs="Arial" w:eastAsia="Arial" w:hAnsi="Arial"/>
          <w:sz w:val="19"/>
          <w:szCs w:val="19"/>
          <w:color w:val="auto"/>
        </w:rPr>
      </w:pPr>
    </w:p>
    <w:p>
      <w:pPr>
        <w:ind w:firstLine="1305"/>
        <w:spacing w:after="0" w:line="312" w:lineRule="auto"/>
        <w:tabs>
          <w:tab w:leader="none" w:pos="219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Employment following Expiration of the Term</w:t>
      </w:r>
      <w:r>
        <w:rPr>
          <w:rFonts w:ascii="Arial" w:cs="Arial" w:eastAsia="Arial" w:hAnsi="Arial"/>
          <w:sz w:val="19"/>
          <w:szCs w:val="19"/>
          <w:color w:val="auto"/>
        </w:rPr>
        <w:t>. If Executive’s employment with the Company continues beyond the expiration of the Term, Executive shall be considered an “at-will” employee and shall not be entitled to any payments or benefits under this Agreement upon any subsequent termination of employment for any reason whatsoever.</w:t>
      </w:r>
    </w:p>
    <w:p>
      <w:pPr>
        <w:spacing w:after="0" w:line="174" w:lineRule="exact"/>
        <w:rPr>
          <w:rFonts w:ascii="Arial" w:cs="Arial" w:eastAsia="Arial" w:hAnsi="Arial"/>
          <w:sz w:val="19"/>
          <w:szCs w:val="19"/>
          <w:color w:val="auto"/>
        </w:rPr>
      </w:pPr>
    </w:p>
    <w:p>
      <w:pPr>
        <w:ind w:right="60" w:firstLine="1305"/>
        <w:spacing w:after="0" w:line="291" w:lineRule="auto"/>
        <w:tabs>
          <w:tab w:leader="none" w:pos="219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 provision herein to the contrary, the payment of any amount or provision of any benefit pursuant to subsection (b), (d), or (e) of this Section 8 (other than the Accrued Obligations) (collectively,</w:t>
      </w:r>
    </w:p>
    <w:p>
      <w:pPr>
        <w:spacing w:after="0" w:line="1" w:lineRule="exact"/>
        <w:rPr>
          <w:rFonts w:ascii="Arial" w:cs="Arial" w:eastAsia="Arial" w:hAnsi="Arial"/>
          <w:sz w:val="19"/>
          <w:szCs w:val="19"/>
          <w:color w:val="auto"/>
        </w:rPr>
      </w:pPr>
    </w:p>
    <w:p>
      <w:pPr>
        <w:ind w:right="20"/>
        <w:spacing w:after="0" w:line="257" w:lineRule="auto"/>
        <w:rPr>
          <w:rFonts w:ascii="Arial" w:cs="Arial" w:eastAsia="Arial" w:hAnsi="Arial"/>
          <w:sz w:val="19"/>
          <w:szCs w:val="19"/>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Severance Benefits</w:t>
      </w:r>
      <w:r>
        <w:rPr>
          <w:rFonts w:ascii="Arial" w:cs="Arial" w:eastAsia="Arial" w:hAnsi="Arial"/>
          <w:sz w:val="20"/>
          <w:szCs w:val="20"/>
          <w:color w:val="auto"/>
        </w:rPr>
        <w:t>”) shall be conditioned upon Executive’s execution, delivery to the Company, and non-revocation of the Release of Claims (and the expiration of any revocation period contained in such Release of Claims) within sixty (60) days following the date of Executive’s termination of employment hereunder. If Executive fails to execute the Release of Claims in such a timely manner so as to permit any revocation period to expire prior to the end of such sixty (60) day period, or timely revokes his acceptance of such release following its execution, Executive shall not be entitled to any of the Severance Benefits. Further, to the extent that any of the Severance Benefits constitutes “nonqualified deferred compensation” for purposes of Section 409A of the Code, any payment of any amount or provision of any benefit otherwise scheduled to occur prior to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Executive’s termination of employment hereunder, but for the condition on executing the Release of Claims as set forth herein, shall not be made until the first regularly scheduled payroll date following such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after which any remaining Severance Benefits shall thereafter be provided to Executive according to the applicable schedule set forth herein. For the avoidance of doubt, in the event of a termination due to Executive’s death or Disability, Executive’s obligations herein to execute and not revoke the Release of Claims may be satisfied on his behalf by his estate or a person having legal power of attorney over his affairs.</w:t>
      </w:r>
    </w:p>
    <w:p>
      <w:pPr>
        <w:spacing w:after="0" w:line="219"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Non-Interference Agreement.</w:t>
      </w:r>
    </w:p>
    <w:p>
      <w:pPr>
        <w:spacing w:after="0" w:line="266"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As a condition of, and prior to commencement of, Executive’s employment with the Company, Executive shall have executed and delivered to the Company the Non-Interference Agreement. The parties hereto acknowledge and agree that this Agreement and the Non-Interference Agreement shall be considered separate contracts, and the Non-Interference Agreement will survive the termination of this Agreement for any reason.</w:t>
      </w:r>
    </w:p>
    <w:p>
      <w:pPr>
        <w:sectPr>
          <w:pgSz w:w="11900" w:h="16838" w:orient="portrait"/>
          <w:cols w:equalWidth="0" w:num="1">
            <w:col w:w="11420"/>
          </w:cols>
          <w:pgMar w:left="240" w:top="591" w:right="239" w:bottom="1440" w:gutter="0" w:footer="0" w:header="0"/>
        </w:sectPr>
      </w:pPr>
    </w:p>
    <w:bookmarkStart w:id="143" w:name="page144"/>
    <w:bookmarkEnd w:id="143"/>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Representations and Warranties of Executive.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Executive represents and warrants to the Company that-</w:t>
      </w:r>
    </w:p>
    <w:p>
      <w:pPr>
        <w:spacing w:after="0" w:line="220" w:lineRule="exact"/>
        <w:rPr>
          <w:sz w:val="20"/>
          <w:szCs w:val="20"/>
          <w:color w:val="auto"/>
        </w:rPr>
      </w:pPr>
    </w:p>
    <w:p>
      <w:pPr>
        <w:jc w:val="both"/>
        <w:ind w:right="20" w:firstLine="1305"/>
        <w:spacing w:after="0" w:line="253" w:lineRule="auto"/>
        <w:tabs>
          <w:tab w:leader="none" w:pos="2185" w:val="left"/>
        </w:tabs>
        <w:numPr>
          <w:ilvl w:val="0"/>
          <w:numId w:val="68"/>
        </w:numPr>
        <w:rPr>
          <w:rFonts w:ascii="Arial" w:cs="Arial" w:eastAsia="Arial" w:hAnsi="Arial"/>
          <w:sz w:val="22"/>
          <w:szCs w:val="22"/>
          <w:color w:val="auto"/>
        </w:rPr>
      </w:pPr>
      <w:r>
        <w:rPr>
          <w:rFonts w:ascii="Arial" w:cs="Arial" w:eastAsia="Arial" w:hAnsi="Arial"/>
          <w:sz w:val="22"/>
          <w:szCs w:val="22"/>
          <w:color w:val="auto"/>
        </w:rPr>
        <w:t>Executive is entering into this Agreement voluntarily and that his employment hereunder and compliance with the terms and conditions hereof will not conflict with or result in the breach by him of any agreement to which he is a party or by which he may be bound;</w:t>
      </w:r>
    </w:p>
    <w:p>
      <w:pPr>
        <w:spacing w:after="0" w:line="226" w:lineRule="exact"/>
        <w:rPr>
          <w:rFonts w:ascii="Arial" w:cs="Arial" w:eastAsia="Arial" w:hAnsi="Arial"/>
          <w:sz w:val="22"/>
          <w:szCs w:val="22"/>
          <w:color w:val="auto"/>
        </w:rPr>
      </w:pPr>
    </w:p>
    <w:p>
      <w:pPr>
        <w:ind w:right="20" w:firstLine="1305"/>
        <w:spacing w:after="0" w:line="253" w:lineRule="auto"/>
        <w:tabs>
          <w:tab w:leader="none" w:pos="2197" w:val="left"/>
        </w:tabs>
        <w:numPr>
          <w:ilvl w:val="0"/>
          <w:numId w:val="68"/>
        </w:numPr>
        <w:rPr>
          <w:rFonts w:ascii="Arial" w:cs="Arial" w:eastAsia="Arial" w:hAnsi="Arial"/>
          <w:sz w:val="22"/>
          <w:szCs w:val="22"/>
          <w:color w:val="auto"/>
        </w:rPr>
      </w:pPr>
      <w:r>
        <w:rPr>
          <w:rFonts w:ascii="Arial" w:cs="Arial" w:eastAsia="Arial" w:hAnsi="Arial"/>
          <w:sz w:val="22"/>
          <w:szCs w:val="22"/>
          <w:color w:val="auto"/>
        </w:rPr>
        <w:t>Executive has not violated, and in connection with his employment with the Company will not violate, any non-solicitation, non-competition, or other similar covenant or agreement of a prior employer by which he is or may be bound; and</w:t>
      </w:r>
    </w:p>
    <w:p>
      <w:pPr>
        <w:spacing w:after="0" w:line="226" w:lineRule="exact"/>
        <w:rPr>
          <w:rFonts w:ascii="Arial" w:cs="Arial" w:eastAsia="Arial" w:hAnsi="Arial"/>
          <w:sz w:val="22"/>
          <w:szCs w:val="22"/>
          <w:color w:val="auto"/>
        </w:rPr>
      </w:pPr>
    </w:p>
    <w:p>
      <w:pPr>
        <w:ind w:right="760" w:firstLine="1305"/>
        <w:spacing w:after="0" w:line="343" w:lineRule="auto"/>
        <w:tabs>
          <w:tab w:leader="none" w:pos="2185"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connection with his employment with the Company, Executive will not use any confidential or proprietary information he may have obtained in connection with employment with any prior employer.</w:t>
      </w:r>
    </w:p>
    <w:p>
      <w:pPr>
        <w:spacing w:after="0" w:line="139"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8"/>
          <w:szCs w:val="18"/>
          <w:b w:val="1"/>
          <w:bCs w:val="1"/>
          <w:color w:val="auto"/>
        </w:rPr>
        <w:t>Taxes.</w:t>
      </w:r>
    </w:p>
    <w:p>
      <w:pPr>
        <w:spacing w:after="0" w:line="266"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The Company may withhold from any payments made under this Agreement all applicable taxes, including but not limited to income, employment, and social insurance taxes, as shall be required by law. Executive acknowledges and represents that the Company has not provided any tax advice to him in connection with this Agreement and that he has been advised by the Company to seek tax advice from his own tax advisors regarding this Agreement and payments that may be made to him pursuant to this Agreement, including specifically, the application of the provisions of Section 409A of the Code to such payments.</w:t>
      </w:r>
    </w:p>
    <w:p>
      <w:pPr>
        <w:spacing w:after="0" w:line="141"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Set Off; Mitigation.</w:t>
      </w:r>
    </w:p>
    <w:p>
      <w:pPr>
        <w:spacing w:after="0" w:line="26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The Company’s obligation to pay Executive the amounts provided and to make the arrangements provided hereunder shall be subject to set-off, counterclaim, or recoupment of amounts owed by Executive to the Company or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any amount so subject to set-off, counterclaim, or recoupment is payable in installments hereunder, such</w:t>
      </w:r>
      <w:r>
        <w:rPr>
          <w:rFonts w:ascii="Arial" w:cs="Arial" w:eastAsia="Arial" w:hAnsi="Arial"/>
          <w:sz w:val="19"/>
          <w:szCs w:val="19"/>
          <w:i w:val="1"/>
          <w:iCs w:val="1"/>
          <w:color w:val="auto"/>
        </w:rPr>
        <w:t xml:space="preserve"> </w:t>
      </w:r>
      <w:r>
        <w:rPr>
          <w:rFonts w:ascii="Arial" w:cs="Arial" w:eastAsia="Arial" w:hAnsi="Arial"/>
          <w:sz w:val="19"/>
          <w:szCs w:val="19"/>
          <w:color w:val="auto"/>
        </w:rPr>
        <w:t>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or benefit provided pursuant to this Agreement by seeking other employment or otherwise, and except as provided in Section 8(d)(iv) hereof, the amount of any payment or benefit provided for pursuant to this Agreement shall not be reduced by any compensation earned as a result of Executive’s other employment or otherwise.</w:t>
      </w:r>
    </w:p>
    <w:p>
      <w:pPr>
        <w:spacing w:after="0" w:line="154"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color w:val="auto"/>
        </w:rPr>
        <w:t>Additional Section 409A Provisions.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any provision in this Agreement to the contrary-</w:t>
      </w:r>
    </w:p>
    <w:p>
      <w:pPr>
        <w:spacing w:after="0" w:line="220" w:lineRule="exact"/>
        <w:rPr>
          <w:sz w:val="20"/>
          <w:szCs w:val="20"/>
          <w:color w:val="auto"/>
        </w:rPr>
      </w:pPr>
    </w:p>
    <w:p>
      <w:pPr>
        <w:ind w:right="100" w:firstLine="1305"/>
        <w:spacing w:after="0" w:line="248" w:lineRule="auto"/>
        <w:tabs>
          <w:tab w:leader="none" w:pos="2185"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Arial" w:cs="Arial" w:eastAsia="Arial" w:hAnsi="Arial"/>
          <w:sz w:val="22"/>
          <w:szCs w:val="22"/>
          <w:u w:val="single" w:color="auto"/>
          <w:color w:val="auto"/>
        </w:rPr>
        <w:t>Delay Period</w:t>
      </w:r>
      <w:r>
        <w:rPr>
          <w:rFonts w:ascii="Arial" w:cs="Arial" w:eastAsia="Arial" w:hAnsi="Arial"/>
          <w:sz w:val="22"/>
          <w:szCs w:val="22"/>
          <w:color w:val="auto"/>
        </w:rPr>
        <w:t>”). On the first business day following the expiration of the Delay Period, Executive shall be paid, in a single cash lump sum, an amount equal to the aggregate amount of all payments delayed pursuant to the preceding</w:t>
      </w:r>
    </w:p>
    <w:p>
      <w:pPr>
        <w:sectPr>
          <w:pgSz w:w="11900" w:h="16838" w:orient="portrait"/>
          <w:cols w:equalWidth="0" w:num="1">
            <w:col w:w="11360"/>
          </w:cols>
          <w:pgMar w:left="240" w:top="585" w:right="29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sentence, and any remaining payments not so delayed shall continue to be paid pursuant to the payment schedule set forth herein.</w:t>
      </w:r>
    </w:p>
    <w:p>
      <w:pPr>
        <w:spacing w:after="0" w:line="295" w:lineRule="exact"/>
        <w:rPr>
          <w:sz w:val="20"/>
          <w:szCs w:val="20"/>
          <w:color w:val="auto"/>
        </w:rPr>
      </w:pPr>
    </w:p>
    <w:p>
      <w:pPr>
        <w:ind w:right="20" w:firstLine="1305"/>
        <w:spacing w:after="0" w:line="263" w:lineRule="auto"/>
        <w:tabs>
          <w:tab w:leader="none" w:pos="2197"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payment in a series of payments hereunder shall be deemed to be a separate payment for purposes of Section 409A of the Code.</w:t>
      </w:r>
    </w:p>
    <w:p>
      <w:pPr>
        <w:spacing w:after="0" w:line="215" w:lineRule="exact"/>
        <w:rPr>
          <w:rFonts w:ascii="Arial" w:cs="Arial" w:eastAsia="Arial" w:hAnsi="Arial"/>
          <w:sz w:val="22"/>
          <w:szCs w:val="22"/>
          <w:color w:val="auto"/>
        </w:rPr>
      </w:pPr>
    </w:p>
    <w:p>
      <w:pPr>
        <w:ind w:firstLine="1305"/>
        <w:spacing w:after="0" w:line="290" w:lineRule="auto"/>
        <w:tabs>
          <w:tab w:leader="none" w:pos="2185"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clause shall not be violated with regard to expenses reimbursed under any arrangement covered by</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105(b) of the Code solely because such expenses are subject to a limit related to the period the arrangement is in effect.</w:t>
      </w:r>
    </w:p>
    <w:p>
      <w:pPr>
        <w:spacing w:after="0" w:line="197" w:lineRule="exact"/>
        <w:rPr>
          <w:rFonts w:ascii="Arial" w:cs="Arial" w:eastAsia="Arial" w:hAnsi="Arial"/>
          <w:sz w:val="19"/>
          <w:szCs w:val="19"/>
          <w:color w:val="auto"/>
        </w:rPr>
      </w:pPr>
    </w:p>
    <w:p>
      <w:pPr>
        <w:ind w:right="60" w:firstLine="1305"/>
        <w:spacing w:after="0" w:line="297" w:lineRule="auto"/>
        <w:tabs>
          <w:tab w:leader="none" w:pos="2197" w:val="left"/>
        </w:tabs>
        <w:numPr>
          <w:ilvl w:val="0"/>
          <w:numId w:val="70"/>
        </w:numPr>
        <w:rPr>
          <w:rFonts w:ascii="Arial" w:cs="Arial" w:eastAsia="Arial" w:hAnsi="Arial"/>
          <w:sz w:val="19"/>
          <w:szCs w:val="19"/>
          <w:color w:val="auto"/>
        </w:rPr>
      </w:pPr>
      <w:r>
        <w:rPr>
          <w:rFonts w:ascii="Arial" w:cs="Arial" w:eastAsia="Arial" w:hAnsi="Arial"/>
          <w:sz w:val="19"/>
          <w:szCs w:val="19"/>
          <w:color w:val="auto"/>
        </w:rPr>
        <w:t>While the payments and benefits provided hereunder are intended to be structured in a manner to avoid the implication of any penalty taxes under Section 409A of the Code, in no event whatsoever shall the Parent or any of its affiliates (including, without limitation, the Company) be liable for any additional tax, interest, or penalties that may be imposed on Executive as a result of Section 409A of the Code or any damages for failing to comply with Section 409A of the Code (other than for withholding obligations or other obligations applicable to employers, if any, under Section 409A of the Code).</w:t>
      </w:r>
    </w:p>
    <w:p>
      <w:pPr>
        <w:spacing w:after="0" w:line="182"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Golden Parachute Tax Provisions</w:t>
      </w:r>
    </w:p>
    <w:p>
      <w:pPr>
        <w:spacing w:after="0" w:line="26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If there is a change in ownership or control of the Company that would cause any payment or distribution by the Company or any other Person or entity to Executive or for Executive’s benefit (whether paid or payable or distributed or distributable pursuant to the terms of this Agreement or otherwise) (a “</w:t>
      </w:r>
      <w:r>
        <w:rPr>
          <w:rFonts w:ascii="Arial" w:cs="Arial" w:eastAsia="Arial" w:hAnsi="Arial"/>
          <w:sz w:val="19"/>
          <w:szCs w:val="19"/>
          <w:u w:val="single" w:color="auto"/>
          <w:color w:val="auto"/>
        </w:rPr>
        <w:t>Payment</w:t>
      </w:r>
      <w:r>
        <w:rPr>
          <w:rFonts w:ascii="Arial" w:cs="Arial" w:eastAsia="Arial" w:hAnsi="Arial"/>
          <w:sz w:val="19"/>
          <w:szCs w:val="19"/>
          <w:color w:val="auto"/>
        </w:rPr>
        <w:t>”) to be subject to the excise tax imposed by Section 4999 of the Code (such excise tax, together with any interest or penalties incurred by Executive with respect to such excise tax, the “</w:t>
      </w:r>
      <w:r>
        <w:rPr>
          <w:rFonts w:ascii="Arial" w:cs="Arial" w:eastAsia="Arial" w:hAnsi="Arial"/>
          <w:sz w:val="19"/>
          <w:szCs w:val="19"/>
          <w:u w:val="single" w:color="auto"/>
          <w:color w:val="auto"/>
        </w:rPr>
        <w:t>Excise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w:t>
      </w:r>
      <w:r>
        <w:rPr>
          <w:rFonts w:ascii="Arial" w:cs="Arial" w:eastAsia="Arial" w:hAnsi="Arial"/>
          <w:sz w:val="19"/>
          <w:szCs w:val="19"/>
          <w:color w:val="auto"/>
        </w:rPr>
        <w:t>”), then Executive will receive the greatest of the following, whichever gives Executive the highest net after-tax amount (after taking into account federal, state, local and social security taxes): (a) the Payments or (b) one dollar ($1) less than the amount of the Payments that would subject Executive to the Excise Tax (the “</w:t>
      </w:r>
      <w:r>
        <w:rPr>
          <w:rFonts w:ascii="Arial" w:cs="Arial" w:eastAsia="Arial" w:hAnsi="Arial"/>
          <w:sz w:val="19"/>
          <w:szCs w:val="19"/>
          <w:u w:val="single" w:color="auto"/>
          <w:color w:val="auto"/>
        </w:rPr>
        <w:t>Safe Harbor Amount</w:t>
      </w:r>
      <w:r>
        <w:rPr>
          <w:rFonts w:ascii="Arial" w:cs="Arial" w:eastAsia="Arial" w:hAnsi="Arial"/>
          <w:sz w:val="19"/>
          <w:szCs w:val="19"/>
          <w:color w:val="auto"/>
        </w:rPr>
        <w:t>”). If a reduction in the Payments is necessary so that the Payments equal the Safe Harbor Amount and none of the Payments constitutes nonqualified deferred compensation (within the meaning of Section 409A of the Code), then the reduction shall occur in the manner Executive elects in writing prior to the date of payment. If any Payment constitutes nonqualified deferred compensation or if Executive fails to elect an order, then the Payments to be reduced will be determined in a manner which has the least economic cost to Executive and, to the extent the economic cost is equivalent, will be reduced in the inverse order of when payment would have been made to Executive, until the reduction is achieved. All determinations required to be made under this Section 14, including whether and when the Safe Harbor Amount is required and the amount of the reduction of the Payments and the assumptions to be utilized in arriving at such determination, shall be made by an independent certified public accounting firm selected by or acceptable to the Company and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All fees and expenses of the Accounting Firm shall be borne solely by the Company.</w:t>
      </w:r>
    </w:p>
    <w:p>
      <w:pPr>
        <w:sectPr>
          <w:pgSz w:w="11900" w:h="16838" w:orient="portrait"/>
          <w:cols w:equalWidth="0" w:num="1">
            <w:col w:w="11400"/>
          </w:cols>
          <w:pgMar w:left="240" w:top="591" w:right="259" w:bottom="1440" w:gutter="0" w:footer="0" w:header="0"/>
        </w:sectPr>
      </w:pPr>
    </w:p>
    <w:bookmarkStart w:id="145" w:name="page146"/>
    <w:bookmarkEnd w:id="145"/>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Successors and Assigns; No Third-Party Beneficiaries.</w:t>
      </w:r>
    </w:p>
    <w:p>
      <w:pPr>
        <w:spacing w:after="0" w:line="266" w:lineRule="exact"/>
        <w:rPr>
          <w:sz w:val="20"/>
          <w:szCs w:val="20"/>
          <w:color w:val="auto"/>
        </w:rPr>
      </w:pPr>
    </w:p>
    <w:p>
      <w:pPr>
        <w:ind w:firstLine="1305"/>
        <w:spacing w:after="0" w:line="292" w:lineRule="auto"/>
        <w:tabs>
          <w:tab w:leader="none" w:pos="218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The Company</w:t>
      </w:r>
      <w:r>
        <w:rPr>
          <w:rFonts w:ascii="Arial" w:cs="Arial" w:eastAsia="Arial" w:hAnsi="Arial"/>
          <w:sz w:val="19"/>
          <w:szCs w:val="19"/>
          <w:color w:val="auto"/>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of a sale of all or substantially all of the assets of the Company or any direct or indirect division or subsidiary thereof to which Executive’s employment primarily relates, the Company may provide that this Agreement will be assigned to, and assumed by, the acquiror of such assets, it being agreed that in such circumstances, Executive’s consent will not be required in connection therewith.</w:t>
      </w:r>
    </w:p>
    <w:p>
      <w:pPr>
        <w:spacing w:after="0" w:line="192" w:lineRule="exact"/>
        <w:rPr>
          <w:rFonts w:ascii="Arial" w:cs="Arial" w:eastAsia="Arial" w:hAnsi="Arial"/>
          <w:sz w:val="19"/>
          <w:szCs w:val="19"/>
          <w:color w:val="auto"/>
        </w:rPr>
      </w:pPr>
    </w:p>
    <w:p>
      <w:pPr>
        <w:ind w:right="60" w:firstLine="1305"/>
        <w:spacing w:after="0" w:line="265" w:lineRule="auto"/>
        <w:tabs>
          <w:tab w:leader="none" w:pos="2197"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Executive</w:t>
      </w:r>
      <w:r>
        <w:rPr>
          <w:rFonts w:ascii="Arial" w:cs="Arial" w:eastAsia="Arial" w:hAnsi="Arial"/>
          <w:sz w:val="21"/>
          <w:szCs w:val="21"/>
          <w:color w:val="auto"/>
        </w:rPr>
        <w:t xml:space="preserve">. Executive’s rights and obligations under this Agreement shall not be transferable by Executive by assignment or otherwise, without the prior written consent of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Executive shall die, all amounts then payable to Executive hereunder shall be paid in accordance with the terms of this Agreement to Executive’s devisee, legatee, or other designee, or if there be no such designee, to Executive’s estate.</w:t>
      </w:r>
    </w:p>
    <w:p>
      <w:pPr>
        <w:spacing w:after="0" w:line="216" w:lineRule="exact"/>
        <w:rPr>
          <w:rFonts w:ascii="Arial" w:cs="Arial" w:eastAsia="Arial" w:hAnsi="Arial"/>
          <w:sz w:val="21"/>
          <w:szCs w:val="21"/>
          <w:color w:val="auto"/>
        </w:rPr>
      </w:pPr>
    </w:p>
    <w:p>
      <w:pPr>
        <w:ind w:right="20" w:firstLine="1305"/>
        <w:spacing w:after="0" w:line="250" w:lineRule="auto"/>
        <w:tabs>
          <w:tab w:leader="none" w:pos="218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otherwise set forth in Section 8(b) or Section 15(b)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223"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Waiver and Amendments.</w:t>
      </w:r>
    </w:p>
    <w:p>
      <w:pPr>
        <w:spacing w:after="0" w:line="266"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 xml:space="preserve">Any waiver, alteration, amendment, or modification of any of the terms of this Agreement shall be valid only if made in writing and signed by each of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waiver, alteration, amendment, or modification must be consented to on the Company’s behalf by the Board.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1"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color w:val="auto"/>
        </w:rPr>
        <w:t>Severability.</w:t>
      </w:r>
    </w:p>
    <w:p>
      <w:pPr>
        <w:spacing w:after="0" w:line="266"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7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b w:val="1"/>
          <w:bCs w:val="1"/>
          <w:color w:val="auto"/>
        </w:rPr>
        <w:t>Governing Law and Jurisdiction.</w:t>
      </w:r>
    </w:p>
    <w:p>
      <w:pPr>
        <w:spacing w:after="0" w:line="2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EXCEPT WHERE PREEMPTED BY FEDERAL LAW, THE VALIDITY, INTERPRETATION, CONSTRUCTION, AND PERFORMANCE OF THIS AGREEMENT IS GOVERNED BY AND IS TO BE CONSTRUED UNDER THE LAWS OF THE STATE OF DELAWARE APPLICABLE TO AGREEMENTS MADE AND TO BE PERFORMED IN THAT STATE, WITHOUT REGARD TO CONFLICT OF LAWS RULES. ANY DISPUTE OR CLAIM ARISING OUT OF OR RELATING TO THIS AGREEMENT OR CLAIM OF BREACH HEREOF SHALL BE BROUGHT EXCLUSIVELY IN</w:t>
      </w:r>
    </w:p>
    <w:p>
      <w:pPr>
        <w:sectPr>
          <w:pgSz w:w="11900" w:h="16838" w:orient="portrait"/>
          <w:cols w:equalWidth="0" w:num="1">
            <w:col w:w="11420"/>
          </w:cols>
          <w:pgMar w:left="240" w:top="585" w:right="239" w:bottom="1440" w:gutter="0" w:footer="0" w:header="0"/>
        </w:sectPr>
      </w:pPr>
    </w:p>
    <w:bookmarkStart w:id="146" w:name="page147"/>
    <w:bookmarkEnd w:id="146"/>
    <w:p>
      <w:pPr>
        <w:ind w:right="100"/>
        <w:spacing w:after="0" w:line="290" w:lineRule="auto"/>
        <w:rPr>
          <w:sz w:val="20"/>
          <w:szCs w:val="20"/>
          <w:color w:val="auto"/>
        </w:rPr>
      </w:pPr>
      <w:r>
        <w:rPr>
          <w:rFonts w:ascii="Arial" w:cs="Arial" w:eastAsia="Arial" w:hAnsi="Arial"/>
          <w:sz w:val="19"/>
          <w:szCs w:val="19"/>
          <w:color w:val="auto"/>
        </w:rPr>
        <w:t>THE UNITED STATES DISTRICT COURT FOR THE DISTRICT OF DELAWARE, TO THE EXTENT FEDERAL JURISDICTION EXISTS, AND IN ANY COURT SITTING IN DELAWARE, BUT ONLY IN THE EVENT FEDERAL JURISDICTION DOES NOT EXIST, AND ANY APPLICABLE APPELLATE COURTS. BY EXECUTION OF THIS AGREEMENT, THE PARTIES HERETO, AND THEIR RESPECTIVE AFFILIATES, CONSENT TO THE EXCLUSIVE JURISDICTION OF SUCH COURTS, AND WAIVE ANY RIGHT TO CHALLENGE JURISDICTION OR VENUE IN SUCH COURT WITH REGARD TO ANY SUIT, ACTION, OR PROCEEDING UNDER OR IN CONNECTION WITH THIS AGREEMENT. EACH PARTY TO THIS AGREEMENT ALSO HEREBY WAIVES ANY RIGHT TO TRIAL BY JURY IN CONNECTION WITH ANY SUIT, ACTION, OR PROCEEDING UNDER OR IN CONNECTION WITH THIS AGREEMENT.</w:t>
      </w:r>
    </w:p>
    <w:p>
      <w:pPr>
        <w:spacing w:after="0" w:line="151"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b w:val="1"/>
          <w:bCs w:val="1"/>
          <w:color w:val="auto"/>
        </w:rPr>
        <w:t>Notices.</w:t>
      </w:r>
    </w:p>
    <w:p>
      <w:pPr>
        <w:spacing w:after="0" w:line="266" w:lineRule="exact"/>
        <w:rPr>
          <w:sz w:val="20"/>
          <w:szCs w:val="20"/>
          <w:color w:val="auto"/>
        </w:rPr>
      </w:pPr>
    </w:p>
    <w:p>
      <w:pPr>
        <w:ind w:firstLine="1305"/>
        <w:spacing w:after="0" w:line="294" w:lineRule="auto"/>
        <w:tabs>
          <w:tab w:leader="none" w:pos="218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Place of Delivery</w:t>
      </w:r>
      <w:r>
        <w:rPr>
          <w:rFonts w:ascii="Arial" w:cs="Arial" w:eastAsia="Arial" w:hAnsi="Arial"/>
          <w:sz w:val="19"/>
          <w:szCs w:val="19"/>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Arial" w:cs="Arial" w:eastAsia="Arial" w:hAnsi="Arial"/>
          <w:sz w:val="19"/>
          <w:szCs w:val="19"/>
          <w:i w:val="1"/>
          <w:iCs w:val="1"/>
          <w:color w:val="auto"/>
        </w:rPr>
        <w:t>provided</w:t>
      </w:r>
      <w:r>
        <w:rPr>
          <w:rFonts w:ascii="Arial" w:cs="Arial" w:eastAsia="Arial" w:hAnsi="Arial"/>
          <w:sz w:val="19"/>
          <w:szCs w:val="19"/>
          <w:color w:val="auto"/>
        </w:rPr>
        <w:t>,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spacing w:after="0" w:line="190" w:lineRule="exact"/>
        <w:rPr>
          <w:rFonts w:ascii="Arial" w:cs="Arial" w:eastAsia="Arial" w:hAnsi="Arial"/>
          <w:sz w:val="19"/>
          <w:szCs w:val="19"/>
          <w:color w:val="auto"/>
        </w:rPr>
      </w:pPr>
    </w:p>
    <w:p>
      <w:pPr>
        <w:ind w:right="20" w:firstLine="1305"/>
        <w:spacing w:after="0" w:line="312" w:lineRule="auto"/>
        <w:tabs>
          <w:tab w:leader="none" w:pos="219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Date of Delivery</w:t>
      </w:r>
      <w:r>
        <w:rPr>
          <w:rFonts w:ascii="Arial" w:cs="Arial" w:eastAsia="Arial" w:hAnsi="Arial"/>
          <w:sz w:val="19"/>
          <w:szCs w:val="19"/>
          <w:color w:val="auto"/>
        </w:rPr>
        <w:t>. Any notice so addressed shall be deemed to be given or received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68"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20.</w:t>
      </w:r>
      <w:r>
        <w:rPr>
          <w:sz w:val="20"/>
          <w:szCs w:val="20"/>
          <w:color w:val="auto"/>
        </w:rPr>
        <w:tab/>
      </w:r>
      <w:r>
        <w:rPr>
          <w:rFonts w:ascii="Arial" w:cs="Arial" w:eastAsia="Arial" w:hAnsi="Arial"/>
          <w:sz w:val="19"/>
          <w:szCs w:val="19"/>
          <w:b w:val="1"/>
          <w:bCs w:val="1"/>
          <w:color w:val="auto"/>
        </w:rPr>
        <w:t>Section Headings.</w:t>
      </w:r>
    </w:p>
    <w:p>
      <w:pPr>
        <w:spacing w:after="0" w:line="266"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99"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Entire Agreement.</w:t>
      </w:r>
    </w:p>
    <w:p>
      <w:pPr>
        <w:spacing w:after="0" w:line="266"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the parties relating to the subject matter of this Agreement, including, without limitation, the Prior Agreement.</w:t>
      </w:r>
    </w:p>
    <w:p>
      <w:pPr>
        <w:spacing w:after="0" w:line="182"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Indemnification.</w:t>
      </w:r>
    </w:p>
    <w:p>
      <w:pPr>
        <w:spacing w:after="0" w:line="26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Company shall extend to Executive (i) the same indemnification arrangements that are generally provided to other similarly situated executive officers of the Company, including after termination of employment, and (ii) the maximum indemnification rights that are allowable under applicable law as well as under the Company’s memorandum of association or bye-laws.</w:t>
      </w:r>
    </w:p>
    <w:p>
      <w:pPr>
        <w:sectPr>
          <w:pgSz w:w="11900" w:h="16838" w:orient="portrait"/>
          <w:cols w:equalWidth="0" w:num="1">
            <w:col w:w="11400"/>
          </w:cols>
          <w:pgMar w:left="240" w:top="591" w:right="259" w:bottom="1440" w:gutter="0" w:footer="0" w:header="0"/>
        </w:sectPr>
      </w:pPr>
    </w:p>
    <w:bookmarkStart w:id="147" w:name="page148"/>
    <w:bookmarkEnd w:id="147"/>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Clawback.</w:t>
      </w:r>
    </w:p>
    <w:p>
      <w:pPr>
        <w:spacing w:after="0" w:line="26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All payments made pursuant to this Agreement are subject to the “clawback” obligations of Section 954 of the Dodd-Frank Wall Street Reform and Consumer Act, as may be amended from time to time, and any other “clawback” obligations pursuant to applicable law, rules, and regulations.</w:t>
      </w:r>
    </w:p>
    <w:p>
      <w:pPr>
        <w:spacing w:after="0" w:line="18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8"/>
          <w:szCs w:val="18"/>
          <w:b w:val="1"/>
          <w:bCs w:val="1"/>
          <w:color w:val="auto"/>
        </w:rPr>
        <w:t>Legal Fees</w:t>
      </w:r>
    </w:p>
    <w:p>
      <w:pPr>
        <w:spacing w:after="0" w:line="266"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The Company shall pay or reimburse Executive for reasonable and documented legal fees incurred by Executive in connection with the preparation and negotiation of this Agreement.</w:t>
      </w:r>
    </w:p>
    <w:p>
      <w:pPr>
        <w:spacing w:after="0" w:line="169"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Survival of Operative Sections.</w:t>
      </w:r>
    </w:p>
    <w:p>
      <w:pPr>
        <w:spacing w:after="0" w:line="266" w:lineRule="exact"/>
        <w:rPr>
          <w:sz w:val="20"/>
          <w:szCs w:val="20"/>
          <w:color w:val="auto"/>
        </w:rPr>
      </w:pPr>
    </w:p>
    <w:p>
      <w:pPr>
        <w:jc w:val="both"/>
        <w:ind w:right="600" w:firstLine="648"/>
        <w:spacing w:after="0" w:line="253" w:lineRule="auto"/>
        <w:rPr>
          <w:sz w:val="20"/>
          <w:szCs w:val="20"/>
          <w:color w:val="auto"/>
        </w:rPr>
      </w:pPr>
      <w:r>
        <w:rPr>
          <w:rFonts w:ascii="Arial" w:cs="Arial" w:eastAsia="Arial" w:hAnsi="Arial"/>
          <w:sz w:val="22"/>
          <w:szCs w:val="22"/>
          <w:color w:val="auto"/>
        </w:rPr>
        <w:t>Upon any termination of Executive’s employment, the provisions of Section 8 through Section 24 of this Agreement (together with any related definitions set forth in Section 1 hereof) shall survive to the extent necessary to give effect to the provisions thereof.</w:t>
      </w:r>
    </w:p>
    <w:p>
      <w:pPr>
        <w:spacing w:after="0" w:line="18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color w:val="auto"/>
        </w:rPr>
        <w:t>Counterparts.</w:t>
      </w:r>
    </w:p>
    <w:p>
      <w:pPr>
        <w:spacing w:after="0" w:line="2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9"/>
          <w:szCs w:val="19"/>
          <w:color w:val="auto"/>
        </w:rPr>
        <w:t>This Agreement may be executed in two or more counterparts, each of which shall be deemed to be an original but all of which together shall constitute one and the same instrument. The execution of this Agreement may be by actual signature or by signature delivered by facsimile or by e-mail as a portable data format (.pdf) file or image file attachment.</w:t>
      </w:r>
    </w:p>
    <w:p>
      <w:pPr>
        <w:spacing w:after="0" w:line="134" w:lineRule="exact"/>
        <w:rPr>
          <w:sz w:val="20"/>
          <w:szCs w:val="20"/>
          <w:color w:val="auto"/>
        </w:rPr>
      </w:pPr>
    </w:p>
    <w:p>
      <w:pPr>
        <w:ind w:left="7320"/>
        <w:spacing w:after="0"/>
        <w:tabs>
          <w:tab w:leader="none" w:pos="7580" w:val="left"/>
          <w:tab w:leader="none" w:pos="7880" w:val="left"/>
        </w:tabs>
        <w:rPr>
          <w:sz w:val="20"/>
          <w:szCs w:val="20"/>
          <w:color w:val="auto"/>
        </w:rPr>
      </w:pPr>
      <w:r>
        <w:rPr>
          <w:rFonts w:ascii="Arial" w:cs="Arial" w:eastAsia="Arial" w:hAnsi="Arial"/>
          <w:sz w:val="22"/>
          <w:szCs w:val="22"/>
          <w:color w:val="auto"/>
        </w:rPr>
        <w:t>*</w:t>
        <w:tab/>
        <w:t>*</w:t>
        <w:tab/>
        <w:t>*</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[Signatures to appear on the following page.]</w:t>
      </w:r>
    </w:p>
    <w:p>
      <w:pPr>
        <w:sectPr>
          <w:pgSz w:w="11900" w:h="16838" w:orient="portrait"/>
          <w:cols w:equalWidth="0" w:num="1">
            <w:col w:w="11320"/>
          </w:cols>
          <w:pgMar w:left="240" w:top="585"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color w:val="auto"/>
        </w:rPr>
        <w:t>IN WITNESS WHEREOF, the undersigned have executed this Agreement as of the date first above written.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ESSENT US HOLDINGS, INC.</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Mark A. Casale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Mark A. Casale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CEO</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Christopher G. Curran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Christopher G. Curran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Section 3(a) and 4(c) (and any related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provisions of this Agreement relating to LTIP Awards):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ESSENT GROUP LTD.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Mark A. Casale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Mark A. Casale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ectPr>
          <w:pgSz w:w="11900" w:h="16838" w:orient="portrait"/>
          <w:cols w:equalWidth="0" w:num="1">
            <w:col w:w="10640"/>
          </w:cols>
          <w:pgMar w:left="240" w:top="591" w:right="10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8"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Essent Group Ltd.</w:t>
            </w:r>
          </w:p>
        </w:tc>
      </w:tr>
      <w:tr>
        <w:trPr>
          <w:trHeight w:val="4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List of Subsidiaries</w:t>
            </w:r>
          </w:p>
        </w:tc>
        <w:tc>
          <w:tcPr>
            <w:tcW w:w="4520" w:type="dxa"/>
            <w:vAlign w:val="bottom"/>
            <w:gridSpan w:val="3"/>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52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1"/>
              </w:rPr>
              <w:t>Jurisdiction of Incorporation/Formation</w:t>
            </w: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 w:type="dxa"/>
            <w:vAlign w:val="bottom"/>
          </w:tcPr>
          <w:p>
            <w:pPr>
              <w:spacing w:after="0"/>
              <w:rPr>
                <w:sz w:val="4"/>
                <w:szCs w:val="4"/>
                <w:color w:val="auto"/>
              </w:rPr>
            </w:pPr>
          </w:p>
        </w:tc>
        <w:tc>
          <w:tcPr>
            <w:tcW w:w="310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Essent Reinsurance Ltd. (1)</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0"/>
              </w:rPr>
              <w:t>Bermuda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Agency (Bermuda) Ltd. (2)</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Bermuda</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Essent Irish Intermediate Holdings Ltd. (1)</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1"/>
              </w:rPr>
              <w:t>Republic of Ireland</w:t>
            </w:r>
          </w:p>
        </w:tc>
      </w:tr>
      <w:tr>
        <w:trPr>
          <w:trHeight w:val="243"/>
        </w:trPr>
        <w:tc>
          <w:tcPr>
            <w:tcW w:w="2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Essent US Holdings, Inc. (3)</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of PA, Inc. (4)</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60"/>
              <w:spacing w:after="0"/>
              <w:rPr>
                <w:sz w:val="20"/>
                <w:szCs w:val="20"/>
                <w:color w:val="auto"/>
              </w:rPr>
            </w:pPr>
            <w:r>
              <w:rPr>
                <w:rFonts w:ascii="Arial" w:cs="Arial" w:eastAsia="Arial" w:hAnsi="Arial"/>
                <w:sz w:val="18"/>
                <w:szCs w:val="18"/>
                <w:color w:val="auto"/>
                <w:w w:val="89"/>
              </w:rPr>
              <w:t>Pennsylvania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CUW Solutions, LLC (4)</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Inc. (4)</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60"/>
              <w:spacing w:after="0"/>
              <w:rPr>
                <w:sz w:val="20"/>
                <w:szCs w:val="20"/>
                <w:color w:val="auto"/>
              </w:rPr>
            </w:pPr>
            <w:r>
              <w:rPr>
                <w:rFonts w:ascii="Arial" w:cs="Arial" w:eastAsia="Arial" w:hAnsi="Arial"/>
                <w:sz w:val="18"/>
                <w:szCs w:val="18"/>
                <w:color w:val="auto"/>
                <w:w w:val="89"/>
              </w:rPr>
              <w:t>Pennsylvania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260"/>
              <w:spacing w:after="0"/>
              <w:rPr>
                <w:sz w:val="20"/>
                <w:szCs w:val="20"/>
                <w:color w:val="auto"/>
              </w:rPr>
            </w:pPr>
            <w:r>
              <w:rPr>
                <w:rFonts w:ascii="Arial" w:cs="Arial" w:eastAsia="Arial" w:hAnsi="Arial"/>
                <w:sz w:val="18"/>
                <w:szCs w:val="18"/>
                <w:color w:val="auto"/>
              </w:rPr>
              <w:t>Essent Solutions, LLC (5)</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128905</wp:posOffset>
            </wp:positionV>
            <wp:extent cx="571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left="246" w:hanging="246"/>
        <w:spacing w:after="0"/>
        <w:tabs>
          <w:tab w:leader="none" w:pos="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3" w:lineRule="exact"/>
        <w:rPr>
          <w:rFonts w:ascii="Arial" w:cs="Arial" w:eastAsia="Arial" w:hAnsi="Arial"/>
          <w:sz w:val="18"/>
          <w:szCs w:val="18"/>
          <w:color w:val="auto"/>
        </w:rPr>
      </w:pPr>
    </w:p>
    <w:p>
      <w:pPr>
        <w:ind w:left="246" w:hanging="246"/>
        <w:spacing w:after="0"/>
        <w:tabs>
          <w:tab w:leader="none" w:pos="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of common shares held by Essent Reinsurance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of common shares held by Essent Irish Intermediate Holdings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ectPr>
          <w:pgSz w:w="11900" w:h="16838" w:orient="portrait"/>
          <w:cols w:equalWidth="0" w:num="1">
            <w:col w:w="10926"/>
          </w:cols>
          <w:pgMar w:left="734" w:top="5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ind w:right="320"/>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S-3 (333-223110) and Form S-8 (No. 333-192092) of Essent Group Ltd. of our report dated February 15, 2019 relating to the financial statements and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ectPr>
          <w:pgSz w:w="11900" w:h="16838" w:orient="portrait"/>
          <w:cols w:equalWidth="0" w:num="1">
            <w:col w:w="11380"/>
          </w:cols>
          <w:pgMar w:left="240" w:top="580" w:right="27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53" w:name="page154"/>
    <w:bookmarkEnd w:id="153"/>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340" w:firstLine="8"/>
        <w:spacing w:after="0" w:line="324" w:lineRule="auto"/>
        <w:tabs>
          <w:tab w:leader="none" w:pos="6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2018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15, 2019</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o"/>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lowerLetter"/>
      <w:start w:val="1"/>
    </w:lvl>
  </w:abstractNum>
  <w:abstractNum w:abstractNumId="47">
    <w:nsid w:val="1F48EAA1"/>
    <w:multiLevelType w:val="hybridMultilevel"/>
    <w:lvl w:ilvl="0">
      <w:lvlJc w:val="left"/>
      <w:lvlText w:val="%1"/>
      <w:numFmt w:val="decimal"/>
      <w:start w:val="10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7"/>
    </w:lvl>
    <w:lvl w:ilvl="1">
      <w:lvlJc w:val="left"/>
      <w:lvlText w:val="(%2)"/>
      <w:numFmt w:val="lowerRoman"/>
      <w:start w:val="1"/>
    </w:lvl>
  </w:abstractNum>
  <w:abstractNum w:abstractNumId="52">
    <w:nsid w:val="15014ACB"/>
    <w:multiLevelType w:val="hybridMultilevel"/>
    <w:lvl w:ilvl="0">
      <w:lvlJc w:val="left"/>
      <w:lvlText w:val="(%1)"/>
      <w:numFmt w:val="lowerRoman"/>
      <w:start w:val="4"/>
    </w:lvl>
  </w:abstractNum>
  <w:abstractNum w:abstractNumId="53">
    <w:nsid w:val="5F5E7FD0"/>
    <w:multiLevelType w:val="hybridMultilevel"/>
    <w:lvl w:ilvl="0">
      <w:lvlJc w:val="left"/>
      <w:lvlText w:val="(%1)"/>
      <w:numFmt w:val="lowerLetter"/>
      <w:start w:val="8"/>
    </w:lvl>
  </w:abstractNum>
  <w:abstractNum w:abstractNumId="54">
    <w:nsid w:val="98A3148"/>
    <w:multiLevelType w:val="hybridMultilevel"/>
    <w:lvl w:ilvl="0">
      <w:lvlJc w:val="left"/>
      <w:lvlText w:val="%1"/>
      <w:numFmt w:val="lowerLetter"/>
      <w:start w:val="1"/>
    </w:lvl>
    <w:lvl w:ilvl="1">
      <w:lvlJc w:val="left"/>
      <w:lvlText w:val="(%2)"/>
      <w:numFmt w:val="lowerLetter"/>
      <w:start w:val="16"/>
    </w:lvl>
  </w:abstractNum>
  <w:abstractNum w:abstractNumId="55">
    <w:nsid w:val="799D0247"/>
    <w:multiLevelType w:val="hybridMultilevel"/>
    <w:lvl w:ilvl="0">
      <w:lvlJc w:val="left"/>
      <w:lvlText w:val="(%1)"/>
      <w:numFmt w:val="lowerLetter"/>
      <w:start w:val="9"/>
    </w:lvl>
    <w:lvl w:ilvl="1">
      <w:lvlJc w:val="left"/>
      <w:lvlText w:val="(%2)"/>
      <w:numFmt w:val="lowerLetter"/>
      <w:start w:val="24"/>
    </w:lvl>
  </w:abstractNum>
  <w:abstractNum w:abstractNumId="56">
    <w:nsid w:val="6B94764"/>
    <w:multiLevelType w:val="hybridMultilevel"/>
    <w:lvl w:ilvl="0">
      <w:lvlJc w:val="left"/>
      <w:lvlText w:val="(%1)"/>
      <w:numFmt w:val="lowerLetter"/>
      <w:start w:val="27"/>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lowerLetter"/>
      <w:start w:val="3"/>
    </w:lvl>
  </w:abstractNum>
  <w:abstractNum w:abstractNumId="60">
    <w:nsid w:val="661E3F1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1">
    <w:nsid w:val="5DC79EA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2">
    <w:nsid w:val="540A471C"/>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63">
    <w:nsid w:val="7BD3EE7B"/>
    <w:multiLevelType w:val="hybridMultilevel"/>
    <w:lvl w:ilvl="0">
      <w:lvlJc w:val="left"/>
      <w:lvlText w:val="(%1)"/>
      <w:numFmt w:val="lowerLetter"/>
      <w:start w:val="3"/>
    </w:lvl>
    <w:lvl w:ilvl="1">
      <w:lvlJc w:val="left"/>
      <w:lvlText w:val="(%2)"/>
      <w:numFmt w:val="lowerRoman"/>
      <w:start w:val="1"/>
    </w:lvl>
  </w:abstractNum>
  <w:abstractNum w:abstractNumId="64">
    <w:nsid w:val="51D9C564"/>
    <w:multiLevelType w:val="hybridMultilevel"/>
    <w:lvl w:ilvl="0">
      <w:lvlJc w:val="left"/>
      <w:lvlText w:val="(%1)"/>
      <w:numFmt w:val="lowerRoman"/>
      <w:start w:val="4"/>
    </w:lvl>
    <w:lvl w:ilvl="1">
      <w:lvlJc w:val="left"/>
      <w:lvlText w:val="(%2)"/>
      <w:numFmt w:val="lowerRoman"/>
      <w:start w:val="6"/>
    </w:lvl>
  </w:abstractNum>
  <w:abstractNum w:abstractNumId="65">
    <w:nsid w:val="613EFDC5"/>
    <w:multiLevelType w:val="hybridMultilevel"/>
    <w:lvl w:ilvl="0">
      <w:lvlJc w:val="left"/>
      <w:lvlText w:val="(%1)"/>
      <w:numFmt w:val="lowerLetter"/>
      <w:start w:val="5"/>
    </w:lvl>
  </w:abstractNum>
  <w:abstractNum w:abstractNumId="66">
    <w:nsid w:val="BF72B14"/>
    <w:multiLevelType w:val="hybridMultilevel"/>
    <w:lvl w:ilvl="0">
      <w:lvlJc w:val="left"/>
      <w:lvlText w:val="(%1)"/>
      <w:numFmt w:val="lowerLetter"/>
      <w:start w:val="6"/>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2"/>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3"/>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Letter"/>
      <w:start w:val="2"/>
    </w:lvl>
  </w:abstractNum>
  <w:abstractNum w:abstractNumId="77">
    <w:nsid w:val="14330624"/>
    <w:multiLevelType w:val="hybridMultilevel"/>
    <w:lvl w:ilvl="0">
      <w:lvlJc w:val="left"/>
      <w:lvlText w:val="(%1)"/>
      <w:numFmt w:val="lowerLetter"/>
      <w:start w:val="3"/>
    </w:lvl>
  </w:abstractNum>
  <w:abstractNum w:abstractNumId="78">
    <w:nsid w:val="7FFFCA11"/>
    <w:multiLevelType w:val="hybridMultilevel"/>
    <w:lvl w:ilvl="0">
      <w:lvlJc w:val="left"/>
      <w:lvlText w:val="%1."/>
      <w:numFmt w:val="decimal"/>
      <w:start w:val="5"/>
    </w:lvl>
    <w:lvl w:ilvl="1">
      <w:lvlJc w:val="left"/>
      <w:lvlText w:val="(%2)"/>
      <w:numFmt w:val="lowerLetter"/>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3"/>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lowerLetter"/>
      <w:start w:val="2"/>
    </w:lvl>
  </w:abstractNum>
  <w:abstractNum w:abstractNumId="83">
    <w:nsid w:val="6EB5BD4"/>
    <w:multiLevelType w:val="hybridMultilevel"/>
    <w:lvl w:ilvl="0">
      <w:lvlJc w:val="left"/>
      <w:lvlText w:val="(%1)"/>
      <w:numFmt w:val="lowerLetter"/>
      <w:start w:val="3"/>
    </w:lvl>
  </w:abstractNum>
  <w:abstractNum w:abstractNumId="84">
    <w:nsid w:val="6F6DD9AC"/>
    <w:multiLevelType w:val="hybridMultilevel"/>
    <w:lvl w:ilvl="0">
      <w:lvlJc w:val="left"/>
      <w:lvlText w:val="%1."/>
      <w:numFmt w:val="decimal"/>
      <w:start w:val="5"/>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33" Type="http://schemas.openxmlformats.org/officeDocument/2006/relationships/hyperlink" Target="http://www.sec.gov/Archives/edgar/data/1448893/000104746913009103/a2216665zex-3_1.htm" TargetMode="External"/><Relationship Id="rId34" Type="http://schemas.openxmlformats.org/officeDocument/2006/relationships/hyperlink" Target="http://www.sec.gov/Archives/edgar/data/1448893/000104746913009103/a2216665zex-3_2.htm" TargetMode="External"/><Relationship Id="rId35" Type="http://schemas.openxmlformats.org/officeDocument/2006/relationships/hyperlink" Target="http://www.sec.gov/Archives/edgar/data/1448893/000104746913009786/a2216918zex-3_21.htm" TargetMode="External"/><Relationship Id="rId36" Type="http://schemas.openxmlformats.org/officeDocument/2006/relationships/hyperlink" Target="http://www.sec.gov/Archives/edgar/data/1448893/000104746914002063/a2218772zex-3_3.htm" TargetMode="External"/><Relationship Id="rId37" Type="http://schemas.openxmlformats.org/officeDocument/2006/relationships/hyperlink" Target="http://www.sec.gov/Archives/edgar/data/1448893/000104746913009786/a2216918zex-4_1.htm" TargetMode="External"/><Relationship Id="rId38" Type="http://schemas.openxmlformats.org/officeDocument/2006/relationships/hyperlink" Target="http://www.sec.gov/Archives/edgar/data/1448893/000110465914080985/a14-19645_1ex4d1.htm" TargetMode="External"/><Relationship Id="rId39" Type="http://schemas.openxmlformats.org/officeDocument/2006/relationships/hyperlink" Target="http://www.sec.gov/Archives/edgar/data/1448893/000104746913009103/a2216665zex-10_4.htm" TargetMode="External"/><Relationship Id="rId40" Type="http://schemas.openxmlformats.org/officeDocument/2006/relationships/hyperlink" Target="http://www.sec.gov/Archives/edgar/data/1448893/000162828016011882/a12311510kex108.htm" TargetMode="External"/><Relationship Id="rId41" Type="http://schemas.openxmlformats.org/officeDocument/2006/relationships/hyperlink" Target="http://www.sec.gov/Archives/edgar/data/1448893/000162828017003281/a2017def14aproxystatement.htm" TargetMode="External"/><Relationship Id="rId42" Type="http://schemas.openxmlformats.org/officeDocument/2006/relationships/hyperlink" Target="http://www.sec.gov/Archives/edgar/data/1448893/000104746913009304/a2216729zex-10_11.htm" TargetMode="External"/><Relationship Id="rId43" Type="http://schemas.openxmlformats.org/officeDocument/2006/relationships/hyperlink" Target="http://www.sec.gov/Archives/edgar/data/1448893/000104746915001414/a2223199zex-10_11.htm" TargetMode="External"/><Relationship Id="rId44" Type="http://schemas.openxmlformats.org/officeDocument/2006/relationships/hyperlink" Target="http://www.sec.gov/Archives/edgar/data/1448893/000104746913009304/a2216729zex-10_13.htm" TargetMode="External"/><Relationship Id="rId45" Type="http://schemas.openxmlformats.org/officeDocument/2006/relationships/hyperlink" Target="http://www.sec.gov/Archives/edgar/data/1448893/000104746913009496/a2216887zex-10_14.htm" TargetMode="External"/><Relationship Id="rId46" Type="http://schemas.openxmlformats.org/officeDocument/2006/relationships/hyperlink" Target="http://www.sec.gov/Archives/edgar/data/1448893/000104746913009496/a2216887zex-10_16.htm" TargetMode="External"/><Relationship Id="rId47" Type="http://schemas.openxmlformats.org/officeDocument/2006/relationships/hyperlink" Target="http://www.sec.gov/Archives/edgar/data/1448893/000104746915001414/a2223199zex-10_16.htm" TargetMode="External"/><Relationship Id="rId48" Type="http://schemas.openxmlformats.org/officeDocument/2006/relationships/hyperlink" Target="http://www.sec.gov/Archives/edgar/data/1448893/000104746915001414/a2223199zex-10_17.htm" TargetMode="External"/><Relationship Id="rId49" Type="http://schemas.openxmlformats.org/officeDocument/2006/relationships/hyperlink" Target="http://www.sec.gov/Archives/edgar/data/1448893/000162828016011882/a12311510kex1018.htm" TargetMode="External"/><Relationship Id="rId50" Type="http://schemas.openxmlformats.org/officeDocument/2006/relationships/hyperlink" Target="http://www.sec.gov/Archives/edgar/data/1448893/000162828017001400/a123116ex1019.htm" TargetMode="External"/><Relationship Id="rId51" Type="http://schemas.openxmlformats.org/officeDocument/2006/relationships/hyperlink" Target="http://www.sec.gov/Archives/edgar/data/1448893/000104746913009103/a2216665zex-10_17.htm" TargetMode="External"/><Relationship Id="rId52" Type="http://schemas.openxmlformats.org/officeDocument/2006/relationships/hyperlink" Target="http://www.sec.gov/Archives/edgar/data/1448893/000104746913009496/a2216887zex-10_18.htm" TargetMode="External"/><Relationship Id="rId53" Type="http://schemas.openxmlformats.org/officeDocument/2006/relationships/hyperlink" Target="http://www.sec.gov/Archives/edgar/data/1448893/000144889318000052/conformed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2020-01-09T21:57:29Z</dcterms:created>
  <dcterms:modified xsi:type="dcterms:W3CDTF">2020-01-09T21:57:29Z</dcterms:modified>
</cp:coreProperties>
</file>