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167640</wp:posOffset>
            </wp:positionV>
            <wp:extent cx="31470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186690</wp:posOffset>
            </wp:positionV>
            <wp:extent cx="3147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0" w:lineRule="exact"/>
        <w:rPr>
          <w:sz w:val="24"/>
          <w:szCs w:val="24"/>
          <w:color w:val="auto"/>
        </w:rPr>
      </w:pPr>
    </w:p>
    <w:p>
      <w:pPr>
        <w:ind w:left="640" w:hanging="308"/>
        <w:spacing w:after="0"/>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81" w:lineRule="exact"/>
        <w:rPr>
          <w:sz w:val="24"/>
          <w:szCs w:val="24"/>
          <w:color w:val="auto"/>
        </w:rPr>
      </w:pPr>
    </w:p>
    <w:p>
      <w:pPr>
        <w:ind w:left="600" w:hanging="268"/>
        <w:spacing w:after="0"/>
        <w:tabs>
          <w:tab w:leader="none" w:pos="600" w:val="left"/>
        </w:tabs>
        <w:numPr>
          <w:ilvl w:val="0"/>
          <w:numId w:val="2"/>
        </w:numPr>
        <w:rPr>
          <w:rFonts w:ascii="Arial" w:cs="Arial" w:eastAsia="Arial" w:hAnsi="Arial"/>
          <w:sz w:val="22"/>
          <w:szCs w:val="22"/>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6" w:lineRule="exact"/>
        <w:rPr>
          <w:sz w:val="24"/>
          <w:szCs w:val="24"/>
          <w:color w:val="auto"/>
        </w:rPr>
      </w:pPr>
    </w:p>
    <w:p>
      <w:pPr>
        <w:jc w:val="center"/>
        <w:ind w:right="-119"/>
        <w:spacing w:after="0"/>
        <w:tabs>
          <w:tab w:leader="none" w:pos="5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001-36157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168910</wp:posOffset>
            </wp:positionV>
            <wp:extent cx="31470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tbl>
      <w:tblPr>
        <w:tblLayout w:type="fixed"/>
        <w:tblInd w:w="500" w:type="dxa"/>
        <w:tblCellMar>
          <w:top w:w="0" w:type="dxa"/>
          <w:left w:w="0" w:type="dxa"/>
          <w:bottom w:w="0" w:type="dxa"/>
          <w:right w:w="0" w:type="dxa"/>
        </w:tblCellMar>
      </w:tblPr>
      <w:tr>
        <w:trPr>
          <w:trHeight w:val="391"/>
        </w:trPr>
        <w:tc>
          <w:tcPr>
            <w:tcW w:w="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360" w:type="dxa"/>
            <w:vAlign w:val="bottom"/>
            <w:gridSpan w:val="5"/>
          </w:tcPr>
          <w:p>
            <w:pPr>
              <w:jc w:val="center"/>
              <w:ind w:right="1420"/>
              <w:spacing w:after="0"/>
              <w:rPr>
                <w:sz w:val="20"/>
                <w:szCs w:val="20"/>
                <w:color w:val="auto"/>
              </w:rPr>
            </w:pPr>
            <w:r>
              <w:rPr>
                <w:rFonts w:ascii="Arial" w:cs="Arial" w:eastAsia="Arial" w:hAnsi="Arial"/>
                <w:sz w:val="32"/>
                <w:szCs w:val="32"/>
                <w:b w:val="1"/>
                <w:bCs w:val="1"/>
                <w:color w:val="auto"/>
                <w:w w:val="98"/>
              </w:rPr>
              <w:t>ESSENT GROUP LTD.</w:t>
            </w: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360" w:type="dxa"/>
            <w:vAlign w:val="bottom"/>
            <w:gridSpan w:val="5"/>
          </w:tcPr>
          <w:p>
            <w:pPr>
              <w:jc w:val="center"/>
              <w:ind w:right="1400"/>
              <w:spacing w:after="0"/>
              <w:rPr>
                <w:sz w:val="20"/>
                <w:szCs w:val="20"/>
                <w:color w:val="auto"/>
              </w:rPr>
            </w:pPr>
            <w:r>
              <w:rPr>
                <w:rFonts w:ascii="Arial" w:cs="Arial" w:eastAsia="Arial" w:hAnsi="Arial"/>
                <w:sz w:val="18"/>
                <w:szCs w:val="18"/>
                <w:color w:val="auto"/>
                <w:w w:val="90"/>
              </w:rPr>
              <w:t>(Exact name of registrant as specified in its charter)</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57"/>
        </w:trPr>
        <w:tc>
          <w:tcPr>
            <w:tcW w:w="4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21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588"/>
        </w:trPr>
        <w:tc>
          <w:tcPr>
            <w:tcW w:w="40" w:type="dxa"/>
            <w:vAlign w:val="bottom"/>
          </w:tcPr>
          <w:p>
            <w:pPr>
              <w:spacing w:after="0"/>
              <w:rPr>
                <w:sz w:val="24"/>
                <w:szCs w:val="24"/>
                <w:color w:val="auto"/>
              </w:rPr>
            </w:pPr>
          </w:p>
        </w:tc>
        <w:tc>
          <w:tcPr>
            <w:tcW w:w="6360" w:type="dxa"/>
            <w:vAlign w:val="bottom"/>
            <w:gridSpan w:val="4"/>
          </w:tcPr>
          <w:p>
            <w:pPr>
              <w:jc w:val="center"/>
              <w:ind w:right="1960"/>
              <w:spacing w:after="0"/>
              <w:rPr>
                <w:sz w:val="20"/>
                <w:szCs w:val="20"/>
                <w:color w:val="auto"/>
              </w:rPr>
            </w:pPr>
            <w:r>
              <w:rPr>
                <w:rFonts w:ascii="Arial" w:cs="Arial" w:eastAsia="Arial" w:hAnsi="Arial"/>
                <w:sz w:val="18"/>
                <w:szCs w:val="18"/>
                <w:b w:val="1"/>
                <w:bCs w:val="1"/>
                <w:color w:val="auto"/>
                <w:w w:val="92"/>
              </w:rPr>
              <w:t>Bermuda</w:t>
            </w:r>
          </w:p>
        </w:tc>
        <w:tc>
          <w:tcPr>
            <w:tcW w:w="2700" w:type="dxa"/>
            <w:vAlign w:val="bottom"/>
            <w:gridSpan w:val="2"/>
          </w:tcPr>
          <w:p>
            <w:pPr>
              <w:jc w:val="center"/>
              <w:ind w:left="774"/>
              <w:spacing w:after="0"/>
              <w:rPr>
                <w:sz w:val="20"/>
                <w:szCs w:val="20"/>
                <w:color w:val="auto"/>
              </w:rPr>
            </w:pPr>
            <w:r>
              <w:rPr>
                <w:rFonts w:ascii="Arial" w:cs="Arial" w:eastAsia="Arial" w:hAnsi="Arial"/>
                <w:sz w:val="18"/>
                <w:szCs w:val="18"/>
                <w:b w:val="1"/>
                <w:bCs w:val="1"/>
                <w:color w:val="auto"/>
                <w:w w:val="92"/>
              </w:rPr>
              <w:t>Not Applicable</w:t>
            </w: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56"/>
        </w:trPr>
        <w:tc>
          <w:tcPr>
            <w:tcW w:w="40" w:type="dxa"/>
            <w:vAlign w:val="bottom"/>
          </w:tcPr>
          <w:p>
            <w:pPr>
              <w:spacing w:after="0"/>
              <w:rPr>
                <w:sz w:val="22"/>
                <w:szCs w:val="22"/>
                <w:color w:val="auto"/>
              </w:rPr>
            </w:pPr>
          </w:p>
        </w:tc>
        <w:tc>
          <w:tcPr>
            <w:tcW w:w="6360" w:type="dxa"/>
            <w:vAlign w:val="bottom"/>
            <w:gridSpan w:val="4"/>
          </w:tcPr>
          <w:p>
            <w:pPr>
              <w:jc w:val="center"/>
              <w:ind w:right="1940"/>
              <w:spacing w:after="0"/>
              <w:rPr>
                <w:sz w:val="20"/>
                <w:szCs w:val="20"/>
                <w:color w:val="auto"/>
              </w:rPr>
            </w:pPr>
            <w:r>
              <w:rPr>
                <w:rFonts w:ascii="Arial" w:cs="Arial" w:eastAsia="Arial" w:hAnsi="Arial"/>
                <w:sz w:val="18"/>
                <w:szCs w:val="18"/>
                <w:color w:val="auto"/>
                <w:w w:val="93"/>
              </w:rPr>
              <w:t>(State or other jurisdiction of</w:t>
            </w:r>
          </w:p>
        </w:tc>
        <w:tc>
          <w:tcPr>
            <w:tcW w:w="2700" w:type="dxa"/>
            <w:vAlign w:val="bottom"/>
            <w:gridSpan w:val="2"/>
          </w:tcPr>
          <w:p>
            <w:pPr>
              <w:jc w:val="center"/>
              <w:ind w:left="794"/>
              <w:spacing w:after="0"/>
              <w:rPr>
                <w:sz w:val="20"/>
                <w:szCs w:val="20"/>
                <w:color w:val="auto"/>
              </w:rPr>
            </w:pPr>
            <w:r>
              <w:rPr>
                <w:rFonts w:ascii="Arial" w:cs="Arial" w:eastAsia="Arial" w:hAnsi="Arial"/>
                <w:sz w:val="18"/>
                <w:szCs w:val="18"/>
                <w:color w:val="auto"/>
                <w:w w:val="92"/>
              </w:rPr>
              <w:t>(I.R.S. Employer</w:t>
            </w:r>
          </w:p>
        </w:tc>
        <w:tc>
          <w:tcPr>
            <w:tcW w:w="128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30"/>
        </w:trPr>
        <w:tc>
          <w:tcPr>
            <w:tcW w:w="40" w:type="dxa"/>
            <w:vAlign w:val="bottom"/>
          </w:tcPr>
          <w:p>
            <w:pPr>
              <w:spacing w:after="0"/>
              <w:rPr>
                <w:sz w:val="20"/>
                <w:szCs w:val="20"/>
                <w:color w:val="auto"/>
              </w:rPr>
            </w:pPr>
          </w:p>
        </w:tc>
        <w:tc>
          <w:tcPr>
            <w:tcW w:w="6360" w:type="dxa"/>
            <w:vAlign w:val="bottom"/>
            <w:gridSpan w:val="4"/>
          </w:tcPr>
          <w:p>
            <w:pPr>
              <w:jc w:val="center"/>
              <w:ind w:right="1940"/>
              <w:spacing w:after="0"/>
              <w:rPr>
                <w:sz w:val="20"/>
                <w:szCs w:val="20"/>
                <w:color w:val="auto"/>
              </w:rPr>
            </w:pPr>
            <w:r>
              <w:rPr>
                <w:rFonts w:ascii="Arial" w:cs="Arial" w:eastAsia="Arial" w:hAnsi="Arial"/>
                <w:sz w:val="18"/>
                <w:szCs w:val="18"/>
                <w:color w:val="auto"/>
                <w:w w:val="93"/>
              </w:rPr>
              <w:t>incorporation or organization)</w:t>
            </w:r>
          </w:p>
        </w:tc>
        <w:tc>
          <w:tcPr>
            <w:tcW w:w="2700" w:type="dxa"/>
            <w:vAlign w:val="bottom"/>
            <w:gridSpan w:val="2"/>
          </w:tcPr>
          <w:p>
            <w:pPr>
              <w:jc w:val="center"/>
              <w:ind w:left="794"/>
              <w:spacing w:after="0"/>
              <w:rPr>
                <w:sz w:val="20"/>
                <w:szCs w:val="20"/>
                <w:color w:val="auto"/>
              </w:rPr>
            </w:pPr>
            <w:r>
              <w:rPr>
                <w:rFonts w:ascii="Arial" w:cs="Arial" w:eastAsia="Arial" w:hAnsi="Arial"/>
                <w:sz w:val="18"/>
                <w:szCs w:val="18"/>
                <w:color w:val="auto"/>
                <w:w w:val="94"/>
              </w:rPr>
              <w:t>Identification Number)</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52"/>
        </w:trPr>
        <w:tc>
          <w:tcPr>
            <w:tcW w:w="4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3660" w:type="dxa"/>
            <w:vAlign w:val="bottom"/>
            <w:gridSpan w:val="3"/>
          </w:tcPr>
          <w:p>
            <w:pPr>
              <w:jc w:val="center"/>
              <w:ind w:left="1180"/>
              <w:spacing w:after="0"/>
              <w:rPr>
                <w:sz w:val="20"/>
                <w:szCs w:val="20"/>
                <w:color w:val="auto"/>
              </w:rPr>
            </w:pPr>
            <w:r>
              <w:rPr>
                <w:rFonts w:ascii="Arial" w:cs="Arial" w:eastAsia="Arial" w:hAnsi="Arial"/>
                <w:sz w:val="18"/>
                <w:szCs w:val="18"/>
                <w:b w:val="1"/>
                <w:bCs w:val="1"/>
                <w:color w:val="auto"/>
                <w:w w:val="89"/>
              </w:rPr>
              <w:t>Clarendon House</w:t>
            </w:r>
          </w:p>
        </w:tc>
        <w:tc>
          <w:tcPr>
            <w:tcW w:w="1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16"/>
        </w:trPr>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660" w:type="dxa"/>
            <w:vAlign w:val="bottom"/>
            <w:gridSpan w:val="3"/>
          </w:tcPr>
          <w:p>
            <w:pPr>
              <w:jc w:val="center"/>
              <w:ind w:left="1180"/>
              <w:spacing w:after="0"/>
              <w:rPr>
                <w:sz w:val="20"/>
                <w:szCs w:val="20"/>
                <w:color w:val="auto"/>
              </w:rPr>
            </w:pPr>
            <w:r>
              <w:rPr>
                <w:rFonts w:ascii="Arial" w:cs="Arial" w:eastAsia="Arial" w:hAnsi="Arial"/>
                <w:sz w:val="18"/>
                <w:szCs w:val="18"/>
                <w:b w:val="1"/>
                <w:bCs w:val="1"/>
                <w:color w:val="auto"/>
                <w:w w:val="90"/>
              </w:rPr>
              <w:t>2 Church Street</w:t>
            </w:r>
          </w:p>
        </w:tc>
        <w:tc>
          <w:tcPr>
            <w:tcW w:w="1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0"/>
        </w:trPr>
        <w:tc>
          <w:tcPr>
            <w:tcW w:w="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660" w:type="dxa"/>
            <w:vAlign w:val="bottom"/>
            <w:gridSpan w:val="3"/>
          </w:tcPr>
          <w:p>
            <w:pPr>
              <w:jc w:val="center"/>
              <w:ind w:left="1180"/>
              <w:spacing w:after="0"/>
              <w:rPr>
                <w:sz w:val="20"/>
                <w:szCs w:val="20"/>
                <w:color w:val="auto"/>
              </w:rPr>
            </w:pPr>
            <w:r>
              <w:rPr>
                <w:rFonts w:ascii="Arial" w:cs="Arial" w:eastAsia="Arial" w:hAnsi="Arial"/>
                <w:sz w:val="18"/>
                <w:szCs w:val="18"/>
                <w:b w:val="1"/>
                <w:bCs w:val="1"/>
                <w:color w:val="auto"/>
                <w:w w:val="94"/>
              </w:rPr>
              <w:t>Hamilton HM11, Bermuda</w:t>
            </w:r>
          </w:p>
        </w:tc>
        <w:tc>
          <w:tcPr>
            <w:tcW w:w="1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360" w:type="dxa"/>
            <w:vAlign w:val="bottom"/>
            <w:gridSpan w:val="5"/>
          </w:tcPr>
          <w:p>
            <w:pPr>
              <w:jc w:val="center"/>
              <w:ind w:right="1420"/>
              <w:spacing w:after="0"/>
              <w:rPr>
                <w:sz w:val="20"/>
                <w:szCs w:val="20"/>
                <w:color w:val="auto"/>
              </w:rPr>
            </w:pPr>
            <w:r>
              <w:rPr>
                <w:rFonts w:ascii="Arial" w:cs="Arial" w:eastAsia="Arial" w:hAnsi="Arial"/>
                <w:sz w:val="18"/>
                <w:szCs w:val="18"/>
                <w:color w:val="auto"/>
                <w:w w:val="91"/>
              </w:rPr>
              <w:t>(Address of principal executive offices and zip code)</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8"/>
        </w:trPr>
        <w:tc>
          <w:tcPr>
            <w:tcW w:w="6400" w:type="dxa"/>
            <w:vAlign w:val="bottom"/>
            <w:gridSpan w:val="5"/>
          </w:tcPr>
          <w:p>
            <w:pPr>
              <w:jc w:val="center"/>
              <w:ind w:left="3950"/>
              <w:spacing w:after="0"/>
              <w:rPr>
                <w:sz w:val="20"/>
                <w:szCs w:val="20"/>
                <w:color w:val="auto"/>
              </w:rPr>
            </w:pPr>
            <w:r>
              <w:rPr>
                <w:rFonts w:ascii="Arial" w:cs="Arial" w:eastAsia="Arial" w:hAnsi="Arial"/>
                <w:sz w:val="18"/>
                <w:szCs w:val="18"/>
                <w:b w:val="1"/>
                <w:bCs w:val="1"/>
                <w:color w:val="auto"/>
                <w:w w:val="90"/>
              </w:rPr>
              <w:t>(441) 297-9901</w:t>
            </w: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360" w:type="dxa"/>
            <w:vAlign w:val="bottom"/>
            <w:gridSpan w:val="5"/>
          </w:tcPr>
          <w:p>
            <w:pPr>
              <w:jc w:val="center"/>
              <w:ind w:right="1420"/>
              <w:spacing w:after="0"/>
              <w:rPr>
                <w:sz w:val="20"/>
                <w:szCs w:val="20"/>
                <w:color w:val="auto"/>
              </w:rPr>
            </w:pPr>
            <w:r>
              <w:rPr>
                <w:rFonts w:ascii="Arial" w:cs="Arial" w:eastAsia="Arial" w:hAnsi="Arial"/>
                <w:sz w:val="18"/>
                <w:szCs w:val="18"/>
                <w:color w:val="auto"/>
                <w:w w:val="90"/>
              </w:rPr>
              <w:t>(Registrant’s telephone number, including area code)</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84"/>
        </w:trPr>
        <w:tc>
          <w:tcPr>
            <w:tcW w:w="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26"/>
        </w:trPr>
        <w:tc>
          <w:tcPr>
            <w:tcW w:w="6400" w:type="dxa"/>
            <w:vAlign w:val="bottom"/>
            <w:gridSpan w:val="5"/>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32"/>
        </w:trPr>
        <w:tc>
          <w:tcPr>
            <w:tcW w:w="40" w:type="dxa"/>
            <w:vAlign w:val="bottom"/>
          </w:tcPr>
          <w:p>
            <w:pPr>
              <w:spacing w:after="0"/>
              <w:rPr>
                <w:sz w:val="24"/>
                <w:szCs w:val="24"/>
                <w:color w:val="auto"/>
              </w:rPr>
            </w:pPr>
          </w:p>
        </w:tc>
        <w:tc>
          <w:tcPr>
            <w:tcW w:w="4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5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3"/>
          </w:tcPr>
          <w:p>
            <w:pPr>
              <w:jc w:val="center"/>
              <w:ind w:right="890"/>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160" w:type="dxa"/>
            <w:vAlign w:val="bottom"/>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6360" w:type="dxa"/>
            <w:vAlign w:val="bottom"/>
            <w:gridSpan w:val="4"/>
          </w:tcPr>
          <w:p>
            <w:pPr>
              <w:jc w:val="center"/>
              <w:ind w:right="1480"/>
              <w:spacing w:after="0"/>
              <w:rPr>
                <w:sz w:val="20"/>
                <w:szCs w:val="20"/>
                <w:color w:val="auto"/>
              </w:rPr>
            </w:pPr>
            <w:r>
              <w:rPr>
                <w:rFonts w:ascii="Arial" w:cs="Arial" w:eastAsia="Arial" w:hAnsi="Arial"/>
                <w:sz w:val="18"/>
                <w:szCs w:val="18"/>
                <w:color w:val="auto"/>
                <w:w w:val="88"/>
              </w:rPr>
              <w:t>Common Shares, $0.015 par value</w:t>
            </w:r>
          </w:p>
        </w:tc>
        <w:tc>
          <w:tcPr>
            <w:tcW w:w="2700" w:type="dxa"/>
            <w:vAlign w:val="bottom"/>
            <w:gridSpan w:val="2"/>
          </w:tcPr>
          <w:p>
            <w:pPr>
              <w:jc w:val="center"/>
              <w:ind w:left="214"/>
              <w:spacing w:after="0"/>
              <w:rPr>
                <w:sz w:val="20"/>
                <w:szCs w:val="20"/>
                <w:color w:val="auto"/>
              </w:rPr>
            </w:pPr>
            <w:r>
              <w:rPr>
                <w:rFonts w:ascii="Arial" w:cs="Arial" w:eastAsia="Arial" w:hAnsi="Arial"/>
                <w:sz w:val="18"/>
                <w:szCs w:val="18"/>
                <w:color w:val="auto"/>
                <w:w w:val="91"/>
              </w:rPr>
              <w:t>New York Stock Exchange</w:t>
            </w: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6400" w:type="dxa"/>
            <w:vAlign w:val="bottom"/>
            <w:gridSpan w:val="5"/>
          </w:tcPr>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1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57"/>
        </w:trPr>
        <w:tc>
          <w:tcPr>
            <w:tcW w:w="2740" w:type="dxa"/>
            <w:vAlign w:val="bottom"/>
            <w:gridSpan w:val="2"/>
          </w:tcPr>
          <w:p>
            <w:pPr>
              <w:spacing w:after="0"/>
              <w:rPr>
                <w:sz w:val="22"/>
                <w:szCs w:val="22"/>
                <w:color w:val="auto"/>
              </w:rPr>
            </w:pPr>
          </w:p>
        </w:tc>
        <w:tc>
          <w:tcPr>
            <w:tcW w:w="4960" w:type="dxa"/>
            <w:vAlign w:val="bottom"/>
            <w:tcBorders>
              <w:bottom w:val="single" w:sz="8" w:color="auto"/>
            </w:tcBorders>
            <w:gridSpan w:val="4"/>
          </w:tcPr>
          <w:p>
            <w:pPr>
              <w:spacing w:after="0"/>
              <w:rPr>
                <w:sz w:val="22"/>
                <w:szCs w:val="22"/>
                <w:color w:val="auto"/>
              </w:rPr>
            </w:pPr>
          </w:p>
        </w:tc>
        <w:tc>
          <w:tcPr>
            <w:tcW w:w="1400" w:type="dxa"/>
            <w:vAlign w:val="bottom"/>
          </w:tcPr>
          <w:p>
            <w:pPr>
              <w:spacing w:after="0"/>
              <w:rPr>
                <w:sz w:val="22"/>
                <w:szCs w:val="22"/>
                <w:color w:val="auto"/>
              </w:rPr>
            </w:pPr>
          </w:p>
        </w:tc>
        <w:tc>
          <w:tcPr>
            <w:tcW w:w="1440" w:type="dxa"/>
            <w:vAlign w:val="bottom"/>
            <w:gridSpan w:val="2"/>
          </w:tcPr>
          <w:p>
            <w:pPr>
              <w:spacing w:after="0"/>
              <w:rPr>
                <w:sz w:val="22"/>
                <w:szCs w:val="22"/>
                <w:color w:val="auto"/>
              </w:rPr>
            </w:pPr>
          </w:p>
        </w:tc>
      </w:tr>
      <w:tr>
        <w:trPr>
          <w:trHeight w:val="379"/>
        </w:trPr>
        <w:tc>
          <w:tcPr>
            <w:tcW w:w="9100" w:type="dxa"/>
            <w:vAlign w:val="bottom"/>
            <w:gridSpan w:val="7"/>
          </w:tcPr>
          <w:p>
            <w:pPr>
              <w:spacing w:after="0" w:line="207" w:lineRule="exact"/>
              <w:rPr>
                <w:sz w:val="20"/>
                <w:szCs w:val="20"/>
                <w:color w:val="auto"/>
              </w:rPr>
            </w:pPr>
            <w:r>
              <w:rPr>
                <w:rFonts w:ascii="Arial" w:cs="Arial" w:eastAsia="Arial" w:hAnsi="Arial"/>
                <w:sz w:val="18"/>
                <w:szCs w:val="18"/>
                <w:color w:val="auto"/>
                <w:w w:val="91"/>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1"/>
              </w:rPr>
              <w:t>☒</w:t>
            </w: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No o</w:t>
            </w:r>
          </w:p>
        </w:tc>
      </w:tr>
      <w:tr>
        <w:trPr>
          <w:trHeight w:val="249"/>
        </w:trPr>
        <w:tc>
          <w:tcPr>
            <w:tcW w:w="9100" w:type="dxa"/>
            <w:vAlign w:val="bottom"/>
            <w:gridSpan w:val="7"/>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 Yes o</w:t>
            </w:r>
          </w:p>
        </w:tc>
        <w:tc>
          <w:tcPr>
            <w:tcW w:w="1440" w:type="dxa"/>
            <w:vAlign w:val="bottom"/>
            <w:gridSpan w:val="2"/>
          </w:tcPr>
          <w:p>
            <w:pPr>
              <w:ind w:left="1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30"/>
        </w:trPr>
        <w:tc>
          <w:tcPr>
            <w:tcW w:w="10540" w:type="dxa"/>
            <w:vAlign w:val="bottom"/>
            <w:gridSpan w:val="9"/>
          </w:tcPr>
          <w:p>
            <w:pPr>
              <w:spacing w:after="0"/>
              <w:rPr>
                <w:sz w:val="20"/>
                <w:szCs w:val="20"/>
                <w:color w:val="auto"/>
              </w:rPr>
            </w:pPr>
            <w:r>
              <w:rPr>
                <w:rFonts w:ascii="Arial" w:cs="Arial" w:eastAsia="Arial" w:hAnsi="Arial"/>
                <w:sz w:val="18"/>
                <w:szCs w:val="18"/>
                <w:color w:val="auto"/>
                <w:w w:val="91"/>
              </w:rPr>
              <w:t>Indicate by check mark whether the registrant (1) has filed all reports required to be filed by Section 13 or 15(d) of the Securities Exchange Act of</w:t>
            </w:r>
          </w:p>
        </w:tc>
      </w:tr>
    </w:tbl>
    <w:p>
      <w:pPr>
        <w:ind w:right="120"/>
        <w:spacing w:after="0" w:line="217"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 w:lineRule="exact"/>
        <w:rPr>
          <w:sz w:val="24"/>
          <w:szCs w:val="24"/>
          <w:color w:val="auto"/>
        </w:rPr>
      </w:pPr>
    </w:p>
    <w:p>
      <w:pPr>
        <w:ind w:right="120" w:firstLine="486"/>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 w:lineRule="exact"/>
        <w:rPr>
          <w:sz w:val="24"/>
          <w:szCs w:val="24"/>
          <w:color w:val="auto"/>
        </w:rPr>
      </w:pPr>
    </w:p>
    <w:p>
      <w:pPr>
        <w:jc w:val="both"/>
        <w:ind w:firstLine="486"/>
        <w:spacing w:after="0" w:line="24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2" w:lineRule="exact"/>
        <w:rPr>
          <w:sz w:val="24"/>
          <w:szCs w:val="24"/>
          <w:color w:val="auto"/>
        </w:rPr>
      </w:pPr>
    </w:p>
    <w:p>
      <w:pPr>
        <w:ind w:left="50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00"/>
          </w:cols>
          <w:pgMar w:left="240" w:top="684" w:right="359" w:bottom="1440" w:gutter="0" w:footer="0" w:header="0"/>
        </w:sectPr>
      </w:pPr>
    </w:p>
    <w:bookmarkStart w:id="1" w:name="page2"/>
    <w:bookmarkEnd w:id="1"/>
    <w:p>
      <w:pPr>
        <w:ind w:left="4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center"/>
        <w:ind w:right="620"/>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68" w:lineRule="exact"/>
        <w:rPr>
          <w:sz w:val="20"/>
          <w:szCs w:val="20"/>
          <w:color w:val="auto"/>
        </w:rPr>
      </w:pPr>
    </w:p>
    <w:p>
      <w:pPr>
        <w:sectPr>
          <w:pgSz w:w="11900" w:h="16838" w:orient="portrait"/>
          <w:cols w:equalWidth="0" w:num="4">
            <w:col w:w="2860" w:space="720"/>
            <w:col w:w="1960" w:space="720"/>
            <w:col w:w="1960" w:space="720"/>
            <w:col w:w="2440"/>
          </w:cols>
          <w:pgMar w:left="240" w:top="714" w:right="279" w:bottom="1440" w:gutter="0" w:footer="0" w:header="0"/>
        </w:sectPr>
      </w:pPr>
    </w:p>
    <w:p>
      <w:pPr>
        <w:ind w:left="6600"/>
        <w:spacing w:after="0"/>
        <w:rPr>
          <w:sz w:val="20"/>
          <w:szCs w:val="20"/>
          <w:color w:val="auto"/>
        </w:rPr>
      </w:pPr>
      <w:r>
        <w:rPr>
          <w:rFonts w:ascii="Arial" w:cs="Arial" w:eastAsia="Arial" w:hAnsi="Arial"/>
          <w:sz w:val="14"/>
          <w:szCs w:val="14"/>
          <w:color w:val="auto"/>
        </w:rPr>
        <w:t>(Do not check if a</w:t>
      </w:r>
    </w:p>
    <w:p>
      <w:pPr>
        <w:spacing w:after="0" w:line="21" w:lineRule="exact"/>
        <w:rPr>
          <w:sz w:val="20"/>
          <w:szCs w:val="20"/>
          <w:color w:val="auto"/>
        </w:rPr>
      </w:pPr>
    </w:p>
    <w:p>
      <w:pPr>
        <w:ind w:left="6300"/>
        <w:spacing w:after="0"/>
        <w:rPr>
          <w:sz w:val="20"/>
          <w:szCs w:val="20"/>
          <w:color w:val="auto"/>
        </w:rPr>
      </w:pPr>
      <w:r>
        <w:rPr>
          <w:rFonts w:ascii="Arial" w:cs="Arial" w:eastAsia="Arial" w:hAnsi="Arial"/>
          <w:sz w:val="13"/>
          <w:szCs w:val="13"/>
          <w:color w:val="auto"/>
        </w:rPr>
        <w:t>smaller reporting company)</w:t>
      </w:r>
    </w:p>
    <w:p>
      <w:pPr>
        <w:sectPr>
          <w:pgSz w:w="11900" w:h="16838" w:orient="portrait"/>
          <w:cols w:equalWidth="0" w:num="1">
            <w:col w:w="11380"/>
          </w:cols>
          <w:pgMar w:left="240" w:top="714" w:right="279" w:bottom="1440" w:gutter="0" w:footer="0" w:header="0"/>
          <w:type w:val="continuous"/>
        </w:sectPr>
      </w:pPr>
    </w:p>
    <w:p>
      <w:pPr>
        <w:spacing w:after="0" w:line="207" w:lineRule="exact"/>
        <w:rPr>
          <w:sz w:val="20"/>
          <w:szCs w:val="20"/>
          <w:color w:val="auto"/>
        </w:rPr>
      </w:pPr>
    </w:p>
    <w:p>
      <w:pPr>
        <w:ind w:left="500"/>
        <w:spacing w:after="0" w:line="196" w:lineRule="exact"/>
        <w:tabs>
          <w:tab w:leader="none" w:pos="92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69" w:lineRule="exact"/>
        <w:rPr>
          <w:sz w:val="20"/>
          <w:szCs w:val="20"/>
          <w:color w:val="auto"/>
        </w:rPr>
      </w:pPr>
    </w:p>
    <w:p>
      <w:pPr>
        <w:ind w:firstLine="486"/>
        <w:spacing w:after="0" w:line="280" w:lineRule="auto"/>
        <w:rPr>
          <w:sz w:val="20"/>
          <w:szCs w:val="20"/>
          <w:color w:val="auto"/>
        </w:rPr>
      </w:pPr>
      <w:r>
        <w:rPr>
          <w:rFonts w:ascii="Arial" w:cs="Arial" w:eastAsia="Arial" w:hAnsi="Arial"/>
          <w:sz w:val="16"/>
          <w:szCs w:val="16"/>
          <w:color w:val="auto"/>
        </w:rPr>
        <w:t>As of June 30, 2016, the last business day of the registrant's most recently completed second fiscal quarter, the aggregate market value of common shares held by non-affiliates of the registrant was approximately $1,605,101,519 (based upon the last reported sales price on The New York Stock Exchange).</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number of the registrant's common shares outstanding as of February 10, 2017 was 93,390,034.</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0"/>
          <w:szCs w:val="20"/>
          <w:color w:val="auto"/>
        </w:rPr>
      </w:pPr>
    </w:p>
    <w:p>
      <w:pPr>
        <w:jc w:val="both"/>
        <w:ind w:right="320" w:firstLine="486"/>
        <w:spacing w:after="0" w:line="255" w:lineRule="auto"/>
        <w:rPr>
          <w:sz w:val="20"/>
          <w:szCs w:val="20"/>
          <w:color w:val="auto"/>
        </w:rPr>
      </w:pPr>
      <w:r>
        <w:rPr>
          <w:rFonts w:ascii="Arial" w:cs="Arial" w:eastAsia="Arial" w:hAnsi="Arial"/>
          <w:sz w:val="18"/>
          <w:szCs w:val="18"/>
          <w:color w:val="auto"/>
        </w:rPr>
        <w:t>Portions of the registrant's proxy statement for the 2017 Annual General Meeting of Shareholders are incorporated by reference into Part III of this Annual Report on Form 10-K where indicated. Such Proxy Statement will be filed with the Securities and Exchange Commission within 120 days of the registrant's fiscal year ended December 31, 2016.</w:t>
      </w:r>
    </w:p>
    <w:p>
      <w:pPr>
        <w:sectPr>
          <w:pgSz w:w="11900" w:h="16838" w:orient="portrait"/>
          <w:cols w:equalWidth="0" w:num="1">
            <w:col w:w="11380"/>
          </w:cols>
          <w:pgMar w:left="240" w:top="714" w:right="2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40" w:type="dxa"/>
            <w:vAlign w:val="bottom"/>
            <w:gridSpan w:val="19"/>
          </w:tcPr>
          <w:p>
            <w:pPr>
              <w:ind w:left="16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0"/>
              </w:rPr>
              <w:t>Page</w:t>
            </w:r>
          </w:p>
        </w:tc>
      </w:tr>
      <w:tr>
        <w:trPr>
          <w:trHeight w:val="250"/>
        </w:trPr>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80" w:type="dxa"/>
            <w:vAlign w:val="bottom"/>
            <w:gridSpan w:val="14"/>
          </w:tcPr>
          <w:p>
            <w:pPr>
              <w:jc w:val="center"/>
              <w:ind w:right="3840"/>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PART I</w:t>
              </w:r>
            </w:hyperlink>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880" w:type="dxa"/>
            <w:vAlign w:val="bottom"/>
            <w:gridSpan w:val="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356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540" w:type="dxa"/>
            <w:vAlign w:val="bottom"/>
            <w:tcBorders>
              <w:top w:val="single" w:sz="8" w:color="0000EE"/>
            </w:tcBorders>
            <w:gridSpan w:val="3"/>
          </w:tcPr>
          <w:p>
            <w:pPr>
              <w:spacing w:after="0"/>
              <w:rPr>
                <w:sz w:val="21"/>
                <w:szCs w:val="21"/>
                <w:color w:val="auto"/>
              </w:rPr>
            </w:pPr>
          </w:p>
        </w:tc>
        <w:tc>
          <w:tcPr>
            <w:tcW w:w="3840" w:type="dxa"/>
            <w:vAlign w:val="bottom"/>
            <w:gridSpan w:val="11"/>
          </w:tcPr>
          <w:p>
            <w:pPr>
              <w:spacing w:after="0"/>
              <w:rPr>
                <w:sz w:val="21"/>
                <w:szCs w:val="21"/>
                <w:color w:val="auto"/>
              </w:rPr>
            </w:pPr>
          </w:p>
        </w:tc>
        <w:tc>
          <w:tcPr>
            <w:tcW w:w="360" w:type="dxa"/>
            <w:vAlign w:val="bottom"/>
            <w:gridSpan w:val="4"/>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1</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740" w:type="dxa"/>
            <w:vAlign w:val="bottom"/>
            <w:gridSpan w:val="2"/>
          </w:tcPr>
          <w:p>
            <w:pPr>
              <w:spacing w:after="0"/>
              <w:rPr>
                <w:rFonts w:ascii="Arial" w:cs="Arial" w:eastAsia="Arial" w:hAnsi="Arial"/>
                <w:sz w:val="18"/>
                <w:szCs w:val="18"/>
                <w:color w:val="0000EE"/>
                <w:w w:val="93"/>
              </w:rPr>
            </w:pPr>
            <w:hyperlink w:anchor="page34">
              <w:r>
                <w:rPr>
                  <w:rFonts w:ascii="Arial" w:cs="Arial" w:eastAsia="Arial" w:hAnsi="Arial"/>
                  <w:sz w:val="18"/>
                  <w:szCs w:val="18"/>
                  <w:color w:val="0000EE"/>
                  <w:w w:val="93"/>
                </w:rPr>
                <w:t>ITEM 1A.</w:t>
              </w:r>
            </w:hyperlink>
          </w:p>
        </w:tc>
        <w:tc>
          <w:tcPr>
            <w:tcW w:w="140" w:type="dxa"/>
            <w:vAlign w:val="bottom"/>
          </w:tcPr>
          <w:p>
            <w:pPr>
              <w:spacing w:after="0"/>
              <w:rPr>
                <w:sz w:val="21"/>
                <w:szCs w:val="21"/>
                <w:color w:val="auto"/>
              </w:rPr>
            </w:pPr>
          </w:p>
        </w:tc>
        <w:tc>
          <w:tcPr>
            <w:tcW w:w="7940" w:type="dxa"/>
            <w:vAlign w:val="bottom"/>
            <w:gridSpan w:val="3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360" w:type="dxa"/>
            <w:vAlign w:val="bottom"/>
            <w:gridSpan w:val="4"/>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29</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40" w:type="dxa"/>
            <w:vAlign w:val="bottom"/>
            <w:gridSpan w:val="2"/>
          </w:tcPr>
          <w:p>
            <w:pPr>
              <w:spacing w:after="0"/>
              <w:rPr>
                <w:rFonts w:ascii="Arial" w:cs="Arial" w:eastAsia="Arial" w:hAnsi="Arial"/>
                <w:sz w:val="18"/>
                <w:szCs w:val="18"/>
                <w:color w:val="0000EE"/>
                <w:w w:val="93"/>
              </w:rPr>
            </w:pPr>
            <w:hyperlink w:anchor="page55">
              <w:r>
                <w:rPr>
                  <w:rFonts w:ascii="Arial" w:cs="Arial" w:eastAsia="Arial" w:hAnsi="Arial"/>
                  <w:sz w:val="18"/>
                  <w:szCs w:val="18"/>
                  <w:color w:val="0000EE"/>
                  <w:w w:val="93"/>
                </w:rPr>
                <w:t>ITEM 1B.</w:t>
              </w:r>
            </w:hyperlink>
          </w:p>
        </w:tc>
        <w:tc>
          <w:tcPr>
            <w:tcW w:w="140" w:type="dxa"/>
            <w:vAlign w:val="bottom"/>
          </w:tcPr>
          <w:p>
            <w:pPr>
              <w:spacing w:after="0"/>
              <w:rPr>
                <w:sz w:val="21"/>
                <w:szCs w:val="21"/>
                <w:color w:val="auto"/>
              </w:rPr>
            </w:pPr>
          </w:p>
        </w:tc>
        <w:tc>
          <w:tcPr>
            <w:tcW w:w="2820" w:type="dxa"/>
            <w:vAlign w:val="bottom"/>
            <w:gridSpan w:val="12"/>
          </w:tcPr>
          <w:p>
            <w:pPr>
              <w:spacing w:after="0"/>
              <w:rPr>
                <w:rFonts w:ascii="Arial" w:cs="Arial" w:eastAsia="Arial" w:hAnsi="Arial"/>
                <w:sz w:val="18"/>
                <w:szCs w:val="18"/>
                <w:color w:val="0000EE"/>
                <w:w w:val="94"/>
              </w:rPr>
            </w:pPr>
            <w:hyperlink w:anchor="page55">
              <w:r>
                <w:rPr>
                  <w:rFonts w:ascii="Arial" w:cs="Arial" w:eastAsia="Arial" w:hAnsi="Arial"/>
                  <w:sz w:val="18"/>
                  <w:szCs w:val="18"/>
                  <w:color w:val="0000EE"/>
                  <w:w w:val="94"/>
                </w:rPr>
                <w:t>UNRESOLVED STAFF COMMENTS</w:t>
              </w:r>
            </w:hyperlink>
          </w:p>
        </w:tc>
        <w:tc>
          <w:tcPr>
            <w:tcW w:w="5120" w:type="dxa"/>
            <w:vAlign w:val="bottom"/>
            <w:gridSpan w:val="18"/>
          </w:tcPr>
          <w:p>
            <w:pPr>
              <w:spacing w:after="0"/>
              <w:rPr>
                <w:sz w:val="21"/>
                <w:szCs w:val="21"/>
                <w:color w:val="auto"/>
              </w:rPr>
            </w:pPr>
          </w:p>
        </w:tc>
        <w:tc>
          <w:tcPr>
            <w:tcW w:w="360" w:type="dxa"/>
            <w:vAlign w:val="bottom"/>
            <w:gridSpan w:val="4"/>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50</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40" w:type="dxa"/>
            <w:vAlign w:val="bottom"/>
            <w:gridSpan w:val="2"/>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ITEM 2.</w:t>
              </w:r>
            </w:hyperlink>
          </w:p>
        </w:tc>
        <w:tc>
          <w:tcPr>
            <w:tcW w:w="140" w:type="dxa"/>
            <w:vAlign w:val="bottom"/>
          </w:tcPr>
          <w:p>
            <w:pPr>
              <w:spacing w:after="0"/>
              <w:rPr>
                <w:sz w:val="21"/>
                <w:szCs w:val="21"/>
                <w:color w:val="auto"/>
              </w:rPr>
            </w:pPr>
          </w:p>
        </w:tc>
        <w:tc>
          <w:tcPr>
            <w:tcW w:w="2820" w:type="dxa"/>
            <w:vAlign w:val="bottom"/>
            <w:gridSpan w:val="12"/>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PROPERTIES</w:t>
              </w:r>
            </w:hyperlink>
          </w:p>
        </w:tc>
        <w:tc>
          <w:tcPr>
            <w:tcW w:w="5120" w:type="dxa"/>
            <w:vAlign w:val="bottom"/>
            <w:gridSpan w:val="18"/>
          </w:tcPr>
          <w:p>
            <w:pPr>
              <w:spacing w:after="0"/>
              <w:rPr>
                <w:sz w:val="21"/>
                <w:szCs w:val="21"/>
                <w:color w:val="auto"/>
              </w:rPr>
            </w:pPr>
          </w:p>
        </w:tc>
        <w:tc>
          <w:tcPr>
            <w:tcW w:w="360" w:type="dxa"/>
            <w:vAlign w:val="bottom"/>
            <w:gridSpan w:val="4"/>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50</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80" w:type="dxa"/>
            <w:vAlign w:val="bottom"/>
            <w:gridSpan w:val="3"/>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ITEM 3.</w:t>
              </w:r>
            </w:hyperlink>
          </w:p>
        </w:tc>
        <w:tc>
          <w:tcPr>
            <w:tcW w:w="7940" w:type="dxa"/>
            <w:vAlign w:val="bottom"/>
            <w:gridSpan w:val="30"/>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LEGAL PROCEEDINGS</w:t>
              </w:r>
            </w:hyperlink>
          </w:p>
        </w:tc>
        <w:tc>
          <w:tcPr>
            <w:tcW w:w="360" w:type="dxa"/>
            <w:vAlign w:val="bottom"/>
            <w:gridSpan w:val="4"/>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50</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80" w:type="dxa"/>
            <w:vAlign w:val="bottom"/>
            <w:gridSpan w:val="3"/>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ITEM 4.</w:t>
              </w:r>
            </w:hyperlink>
          </w:p>
        </w:tc>
        <w:tc>
          <w:tcPr>
            <w:tcW w:w="7940" w:type="dxa"/>
            <w:vAlign w:val="bottom"/>
            <w:gridSpan w:val="30"/>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MINE SAFETY DISCLOSURES</w:t>
              </w:r>
            </w:hyperlink>
          </w:p>
        </w:tc>
        <w:tc>
          <w:tcPr>
            <w:tcW w:w="360" w:type="dxa"/>
            <w:vAlign w:val="bottom"/>
            <w:gridSpan w:val="4"/>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50</w:t>
              </w:r>
            </w:hyperlink>
          </w:p>
        </w:tc>
      </w:tr>
      <w:tr>
        <w:trPr>
          <w:trHeight w:val="250"/>
        </w:trPr>
        <w:tc>
          <w:tcPr>
            <w:tcW w:w="620" w:type="dxa"/>
            <w:vAlign w:val="bottom"/>
            <w:tcBorders>
              <w:top w:val="single" w:sz="8" w:color="0000EE"/>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Borders>
              <w:bottom w:val="single" w:sz="8" w:color="0000EE"/>
            </w:tcBorders>
            <w:gridSpan w:val="5"/>
          </w:tcPr>
          <w:p>
            <w:pPr>
              <w:jc w:val="center"/>
              <w:spacing w:after="0"/>
              <w:rPr>
                <w:rFonts w:ascii="Arial" w:cs="Arial" w:eastAsia="Arial" w:hAnsi="Arial"/>
                <w:sz w:val="18"/>
                <w:szCs w:val="18"/>
                <w:color w:val="0000EE"/>
                <w:w w:val="95"/>
              </w:rPr>
            </w:pPr>
            <w:hyperlink w:anchor="page56">
              <w:r>
                <w:rPr>
                  <w:rFonts w:ascii="Arial" w:cs="Arial" w:eastAsia="Arial" w:hAnsi="Arial"/>
                  <w:sz w:val="18"/>
                  <w:szCs w:val="18"/>
                  <w:color w:val="0000EE"/>
                  <w:w w:val="95"/>
                </w:rPr>
                <w:t>PART II</w:t>
              </w:r>
            </w:hyperlink>
          </w:p>
        </w:tc>
        <w:tc>
          <w:tcPr>
            <w:tcW w:w="3800" w:type="dxa"/>
            <w:vAlign w:val="bottom"/>
            <w:gridSpan w:val="10"/>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50"/>
        </w:trPr>
        <w:tc>
          <w:tcPr>
            <w:tcW w:w="880" w:type="dxa"/>
            <w:vAlign w:val="bottom"/>
            <w:gridSpan w:val="3"/>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ITEM 5.</w:t>
              </w:r>
            </w:hyperlink>
          </w:p>
        </w:tc>
        <w:tc>
          <w:tcPr>
            <w:tcW w:w="7940" w:type="dxa"/>
            <w:vAlign w:val="bottom"/>
            <w:gridSpan w:val="30"/>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MARKET FOR THE COMPANY'S COMMON EQUITY, RELATED STOCKHOLDER MATTERS</w:t>
              </w:r>
            </w:hyperlink>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6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AND ISSUER PURCHASES OF EQUITY SECURITIES</w:t>
              </w:r>
            </w:hyperlink>
          </w:p>
        </w:tc>
        <w:tc>
          <w:tcPr>
            <w:tcW w:w="660" w:type="dxa"/>
            <w:vAlign w:val="bottom"/>
            <w:gridSpan w:val="2"/>
          </w:tcPr>
          <w:p>
            <w:pPr>
              <w:spacing w:after="0"/>
              <w:rPr>
                <w:sz w:val="17"/>
                <w:szCs w:val="17"/>
                <w:color w:val="auto"/>
              </w:rPr>
            </w:pPr>
          </w:p>
        </w:tc>
        <w:tc>
          <w:tcPr>
            <w:tcW w:w="360" w:type="dxa"/>
            <w:vAlign w:val="bottom"/>
            <w:gridSpan w:val="4"/>
          </w:tcPr>
          <w:p>
            <w:pPr>
              <w:jc w:val="right"/>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51</w:t>
              </w:r>
            </w:hyperlink>
          </w:p>
        </w:tc>
      </w:tr>
      <w:tr>
        <w:trPr>
          <w:trHeight w:val="20"/>
        </w:trPr>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80" w:type="dxa"/>
            <w:vAlign w:val="bottom"/>
            <w:gridSpan w:val="3"/>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ITEM 6.</w:t>
              </w:r>
            </w:hyperlink>
          </w:p>
        </w:tc>
        <w:tc>
          <w:tcPr>
            <w:tcW w:w="4160" w:type="dxa"/>
            <w:vAlign w:val="bottom"/>
            <w:gridSpan w:val="21"/>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SELECTED FINANCIAL DATA</w:t>
              </w:r>
            </w:hyperlink>
          </w:p>
        </w:tc>
        <w:tc>
          <w:tcPr>
            <w:tcW w:w="3780" w:type="dxa"/>
            <w:vAlign w:val="bottom"/>
            <w:gridSpan w:val="9"/>
          </w:tcPr>
          <w:p>
            <w:pPr>
              <w:spacing w:after="0"/>
              <w:rPr>
                <w:sz w:val="21"/>
                <w:szCs w:val="21"/>
                <w:color w:val="auto"/>
              </w:rPr>
            </w:pPr>
          </w:p>
        </w:tc>
        <w:tc>
          <w:tcPr>
            <w:tcW w:w="360" w:type="dxa"/>
            <w:vAlign w:val="bottom"/>
            <w:gridSpan w:val="4"/>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54</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880" w:type="dxa"/>
            <w:vAlign w:val="bottom"/>
            <w:gridSpan w:val="3"/>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ITEM 7.</w:t>
              </w:r>
            </w:hyperlink>
          </w:p>
        </w:tc>
        <w:tc>
          <w:tcPr>
            <w:tcW w:w="7940" w:type="dxa"/>
            <w:vAlign w:val="bottom"/>
            <w:gridSpan w:val="30"/>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MANAGEMENT'S DISCUSSION AND ANALYSIS OF FINANCIAL CONDITION AND RESULTS</w:t>
              </w:r>
            </w:hyperlink>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6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Borders>
              <w:top w:val="single" w:sz="8" w:color="0000EE"/>
            </w:tcBorders>
            <w:gridSpan w:val="5"/>
          </w:tcPr>
          <w:p>
            <w:pPr>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OF OPERATIONS</w:t>
              </w:r>
            </w:hyperlink>
          </w:p>
        </w:tc>
        <w:tc>
          <w:tcPr>
            <w:tcW w:w="6100" w:type="dxa"/>
            <w:vAlign w:val="bottom"/>
            <w:tcBorders>
              <w:top w:val="single" w:sz="8" w:color="0000EE"/>
            </w:tcBorders>
            <w:gridSpan w:val="24"/>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gridSpan w:val="4"/>
          </w:tcPr>
          <w:p>
            <w:pPr>
              <w:jc w:val="right"/>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57</w:t>
              </w:r>
            </w:hyperlink>
          </w:p>
        </w:tc>
      </w:tr>
      <w:tr>
        <w:trPr>
          <w:trHeight w:val="20"/>
        </w:trPr>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40" w:type="dxa"/>
            <w:vAlign w:val="bottom"/>
            <w:gridSpan w:val="2"/>
          </w:tcPr>
          <w:p>
            <w:pPr>
              <w:spacing w:after="0"/>
              <w:rPr>
                <w:rFonts w:ascii="Arial" w:cs="Arial" w:eastAsia="Arial" w:hAnsi="Arial"/>
                <w:sz w:val="18"/>
                <w:szCs w:val="18"/>
                <w:color w:val="0000EE"/>
                <w:w w:val="93"/>
              </w:rPr>
            </w:pPr>
            <w:hyperlink w:anchor="page87">
              <w:r>
                <w:rPr>
                  <w:rFonts w:ascii="Arial" w:cs="Arial" w:eastAsia="Arial" w:hAnsi="Arial"/>
                  <w:sz w:val="18"/>
                  <w:szCs w:val="18"/>
                  <w:color w:val="0000EE"/>
                  <w:w w:val="93"/>
                </w:rPr>
                <w:t>ITEM 7A.</w:t>
              </w:r>
            </w:hyperlink>
          </w:p>
        </w:tc>
        <w:tc>
          <w:tcPr>
            <w:tcW w:w="140" w:type="dxa"/>
            <w:vAlign w:val="bottom"/>
          </w:tcPr>
          <w:p>
            <w:pPr>
              <w:spacing w:after="0"/>
              <w:rPr>
                <w:sz w:val="21"/>
                <w:szCs w:val="21"/>
                <w:color w:val="auto"/>
              </w:rPr>
            </w:pPr>
          </w:p>
        </w:tc>
        <w:tc>
          <w:tcPr>
            <w:tcW w:w="6140" w:type="dxa"/>
            <w:vAlign w:val="bottom"/>
            <w:gridSpan w:val="24"/>
          </w:tcPr>
          <w:p>
            <w:pPr>
              <w:spacing w:after="0"/>
              <w:rPr>
                <w:rFonts w:ascii="Arial" w:cs="Arial" w:eastAsia="Arial" w:hAnsi="Arial"/>
                <w:sz w:val="18"/>
                <w:szCs w:val="18"/>
                <w:color w:val="0000EE"/>
                <w:w w:val="98"/>
              </w:rPr>
            </w:pPr>
            <w:hyperlink w:anchor="page87">
              <w:r>
                <w:rPr>
                  <w:rFonts w:ascii="Arial" w:cs="Arial" w:eastAsia="Arial" w:hAnsi="Arial"/>
                  <w:sz w:val="18"/>
                  <w:szCs w:val="18"/>
                  <w:color w:val="0000EE"/>
                  <w:w w:val="98"/>
                </w:rPr>
                <w:t>QUANTITATIVE AND QUALITATIVE DISCLOSURES ABOUT MARKET RISK</w:t>
              </w:r>
            </w:hyperlink>
          </w:p>
        </w:tc>
        <w:tc>
          <w:tcPr>
            <w:tcW w:w="1800" w:type="dxa"/>
            <w:vAlign w:val="bottom"/>
            <w:gridSpan w:val="6"/>
          </w:tcPr>
          <w:p>
            <w:pPr>
              <w:spacing w:after="0"/>
              <w:rPr>
                <w:sz w:val="21"/>
                <w:szCs w:val="21"/>
                <w:color w:val="auto"/>
              </w:rPr>
            </w:pPr>
          </w:p>
        </w:tc>
        <w:tc>
          <w:tcPr>
            <w:tcW w:w="360" w:type="dxa"/>
            <w:vAlign w:val="bottom"/>
            <w:gridSpan w:val="4"/>
          </w:tcPr>
          <w:p>
            <w:pPr>
              <w:jc w:val="right"/>
              <w:spacing w:after="0"/>
              <w:rPr>
                <w:rFonts w:ascii="Arial" w:cs="Arial" w:eastAsia="Arial" w:hAnsi="Arial"/>
                <w:sz w:val="18"/>
                <w:szCs w:val="18"/>
                <w:color w:val="0000EE"/>
              </w:rPr>
            </w:pPr>
            <w:hyperlink w:anchor="page87">
              <w:r>
                <w:rPr>
                  <w:rFonts w:ascii="Arial" w:cs="Arial" w:eastAsia="Arial" w:hAnsi="Arial"/>
                  <w:sz w:val="18"/>
                  <w:szCs w:val="18"/>
                  <w:color w:val="0000EE"/>
                </w:rPr>
                <w:t>82</w:t>
              </w:r>
            </w:hyperlink>
          </w:p>
        </w:tc>
      </w:tr>
      <w:tr>
        <w:trPr>
          <w:trHeight w:val="20"/>
        </w:trPr>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40" w:type="dxa"/>
            <w:vAlign w:val="bottom"/>
            <w:gridSpan w:val="2"/>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ITEM 8.</w:t>
              </w:r>
            </w:hyperlink>
          </w:p>
        </w:tc>
        <w:tc>
          <w:tcPr>
            <w:tcW w:w="140" w:type="dxa"/>
            <w:vAlign w:val="bottom"/>
          </w:tcPr>
          <w:p>
            <w:pPr>
              <w:spacing w:after="0"/>
              <w:rPr>
                <w:sz w:val="21"/>
                <w:szCs w:val="21"/>
                <w:color w:val="auto"/>
              </w:rPr>
            </w:pPr>
          </w:p>
        </w:tc>
        <w:tc>
          <w:tcPr>
            <w:tcW w:w="6140" w:type="dxa"/>
            <w:vAlign w:val="bottom"/>
            <w:gridSpan w:val="24"/>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FINANCIAL STATEMENTS AND SUPPLEMENTARY DATA</w:t>
              </w:r>
            </w:hyperlink>
          </w:p>
        </w:tc>
        <w:tc>
          <w:tcPr>
            <w:tcW w:w="1800" w:type="dxa"/>
            <w:vAlign w:val="bottom"/>
            <w:gridSpan w:val="6"/>
          </w:tcPr>
          <w:p>
            <w:pPr>
              <w:spacing w:after="0"/>
              <w:rPr>
                <w:sz w:val="21"/>
                <w:szCs w:val="21"/>
                <w:color w:val="auto"/>
              </w:rPr>
            </w:pPr>
          </w:p>
        </w:tc>
        <w:tc>
          <w:tcPr>
            <w:tcW w:w="360" w:type="dxa"/>
            <w:vAlign w:val="bottom"/>
            <w:gridSpan w:val="4"/>
          </w:tcPr>
          <w:p>
            <w:pPr>
              <w:jc w:val="right"/>
              <w:spacing w:after="0"/>
              <w:rPr>
                <w:rFonts w:ascii="Arial" w:cs="Arial" w:eastAsia="Arial" w:hAnsi="Arial"/>
                <w:sz w:val="18"/>
                <w:szCs w:val="18"/>
                <w:color w:val="0000EE"/>
              </w:rPr>
            </w:pPr>
            <w:hyperlink w:anchor="page88">
              <w:r>
                <w:rPr>
                  <w:rFonts w:ascii="Arial" w:cs="Arial" w:eastAsia="Arial" w:hAnsi="Arial"/>
                  <w:sz w:val="18"/>
                  <w:szCs w:val="18"/>
                  <w:color w:val="0000EE"/>
                </w:rPr>
                <w:t>83</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880" w:type="dxa"/>
            <w:vAlign w:val="bottom"/>
            <w:gridSpan w:val="3"/>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ITEM 9.</w:t>
              </w:r>
            </w:hyperlink>
          </w:p>
        </w:tc>
        <w:tc>
          <w:tcPr>
            <w:tcW w:w="7940" w:type="dxa"/>
            <w:vAlign w:val="bottom"/>
            <w:gridSpan w:val="30"/>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CHANGES IN AND DISAGREEMENTS WITH ACCOUNTANTS ON ACCOUNTING AND</w:t>
              </w:r>
            </w:hyperlink>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6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tcBorders>
              <w:top w:val="single" w:sz="8" w:color="0000EE"/>
            </w:tcBorders>
            <w:gridSpan w:val="8"/>
          </w:tcPr>
          <w:p>
            <w:pPr>
              <w:spacing w:after="0" w:line="196" w:lineRule="exact"/>
              <w:rPr>
                <w:rFonts w:ascii="Arial" w:cs="Arial" w:eastAsia="Arial" w:hAnsi="Arial"/>
                <w:sz w:val="18"/>
                <w:szCs w:val="18"/>
                <w:color w:val="0000EE"/>
                <w:w w:val="97"/>
              </w:rPr>
            </w:pPr>
            <w:hyperlink w:anchor="page124">
              <w:r>
                <w:rPr>
                  <w:rFonts w:ascii="Arial" w:cs="Arial" w:eastAsia="Arial" w:hAnsi="Arial"/>
                  <w:sz w:val="18"/>
                  <w:szCs w:val="18"/>
                  <w:color w:val="0000EE"/>
                  <w:w w:val="97"/>
                </w:rPr>
                <w:t>FINANCIAL DISCLOSURE</w:t>
              </w:r>
            </w:hyperlink>
          </w:p>
        </w:tc>
        <w:tc>
          <w:tcPr>
            <w:tcW w:w="4800" w:type="dxa"/>
            <w:vAlign w:val="bottom"/>
            <w:tcBorders>
              <w:top w:val="single" w:sz="8" w:color="0000EE"/>
            </w:tcBorders>
            <w:gridSpan w:val="18"/>
          </w:tcPr>
          <w:p>
            <w:pPr>
              <w:spacing w:after="0"/>
              <w:rPr>
                <w:sz w:val="17"/>
                <w:szCs w:val="17"/>
                <w:color w:val="auto"/>
              </w:rPr>
            </w:pPr>
          </w:p>
        </w:tc>
        <w:tc>
          <w:tcPr>
            <w:tcW w:w="1020" w:type="dxa"/>
            <w:vAlign w:val="bottom"/>
            <w:gridSpan w:val="4"/>
          </w:tcPr>
          <w:p>
            <w:pPr>
              <w:spacing w:after="0"/>
              <w:rPr>
                <w:sz w:val="17"/>
                <w:szCs w:val="17"/>
                <w:color w:val="auto"/>
              </w:rPr>
            </w:pPr>
          </w:p>
        </w:tc>
        <w:tc>
          <w:tcPr>
            <w:tcW w:w="360" w:type="dxa"/>
            <w:vAlign w:val="bottom"/>
            <w:gridSpan w:val="4"/>
          </w:tcPr>
          <w:p>
            <w:pPr>
              <w:jc w:val="right"/>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119</w:t>
              </w:r>
            </w:hyperlink>
          </w:p>
        </w:tc>
      </w:tr>
      <w:tr>
        <w:trPr>
          <w:trHeight w:val="20"/>
        </w:trPr>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250"/>
        </w:trPr>
        <w:tc>
          <w:tcPr>
            <w:tcW w:w="740" w:type="dxa"/>
            <w:vAlign w:val="bottom"/>
            <w:gridSpan w:val="2"/>
          </w:tcPr>
          <w:p>
            <w:pPr>
              <w:spacing w:after="0"/>
              <w:rPr>
                <w:rFonts w:ascii="Arial" w:cs="Arial" w:eastAsia="Arial" w:hAnsi="Arial"/>
                <w:sz w:val="18"/>
                <w:szCs w:val="18"/>
                <w:color w:val="0000EE"/>
                <w:w w:val="93"/>
              </w:rPr>
            </w:pPr>
            <w:hyperlink w:anchor="page124">
              <w:r>
                <w:rPr>
                  <w:rFonts w:ascii="Arial" w:cs="Arial" w:eastAsia="Arial" w:hAnsi="Arial"/>
                  <w:sz w:val="18"/>
                  <w:szCs w:val="18"/>
                  <w:color w:val="0000EE"/>
                  <w:w w:val="93"/>
                </w:rPr>
                <w:t>ITEM 9A.</w:t>
              </w:r>
            </w:hyperlink>
          </w:p>
        </w:tc>
        <w:tc>
          <w:tcPr>
            <w:tcW w:w="140" w:type="dxa"/>
            <w:vAlign w:val="bottom"/>
          </w:tcPr>
          <w:p>
            <w:pPr>
              <w:spacing w:after="0"/>
              <w:rPr>
                <w:sz w:val="21"/>
                <w:szCs w:val="21"/>
                <w:color w:val="auto"/>
              </w:rPr>
            </w:pPr>
          </w:p>
        </w:tc>
        <w:tc>
          <w:tcPr>
            <w:tcW w:w="2600" w:type="dxa"/>
            <w:vAlign w:val="bottom"/>
            <w:gridSpan w:val="11"/>
          </w:tcPr>
          <w:p>
            <w:pPr>
              <w:spacing w:after="0"/>
              <w:rPr>
                <w:rFonts w:ascii="Arial" w:cs="Arial" w:eastAsia="Arial" w:hAnsi="Arial"/>
                <w:sz w:val="18"/>
                <w:szCs w:val="18"/>
                <w:color w:val="0000EE"/>
                <w:w w:val="93"/>
              </w:rPr>
            </w:pPr>
            <w:hyperlink w:anchor="page124">
              <w:r>
                <w:rPr>
                  <w:rFonts w:ascii="Arial" w:cs="Arial" w:eastAsia="Arial" w:hAnsi="Arial"/>
                  <w:sz w:val="18"/>
                  <w:szCs w:val="18"/>
                  <w:color w:val="0000EE"/>
                  <w:w w:val="93"/>
                </w:rPr>
                <w:t>CONTROLS AND PROCEDURES</w:t>
              </w:r>
            </w:hyperlink>
          </w:p>
        </w:tc>
        <w:tc>
          <w:tcPr>
            <w:tcW w:w="5340" w:type="dxa"/>
            <w:vAlign w:val="bottom"/>
            <w:gridSpan w:val="19"/>
          </w:tcPr>
          <w:p>
            <w:pPr>
              <w:spacing w:after="0"/>
              <w:rPr>
                <w:sz w:val="21"/>
                <w:szCs w:val="21"/>
                <w:color w:val="auto"/>
              </w:rPr>
            </w:pPr>
          </w:p>
        </w:tc>
        <w:tc>
          <w:tcPr>
            <w:tcW w:w="360" w:type="dxa"/>
            <w:vAlign w:val="bottom"/>
            <w:gridSpan w:val="4"/>
          </w:tcPr>
          <w:p>
            <w:pPr>
              <w:jc w:val="right"/>
              <w:spacing w:after="0"/>
              <w:rPr>
                <w:rFonts w:ascii="Arial" w:cs="Arial" w:eastAsia="Arial" w:hAnsi="Arial"/>
                <w:sz w:val="18"/>
                <w:szCs w:val="18"/>
                <w:color w:val="0000EE"/>
              </w:rPr>
            </w:pPr>
            <w:hyperlink w:anchor="page124">
              <w:r>
                <w:rPr>
                  <w:rFonts w:ascii="Arial" w:cs="Arial" w:eastAsia="Arial" w:hAnsi="Arial"/>
                  <w:sz w:val="18"/>
                  <w:szCs w:val="18"/>
                  <w:color w:val="0000EE"/>
                </w:rPr>
                <w:t>119</w:t>
              </w:r>
            </w:hyperlink>
          </w:p>
        </w:tc>
      </w:tr>
      <w:tr>
        <w:trPr>
          <w:trHeight w:val="20"/>
        </w:trPr>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250"/>
        </w:trPr>
        <w:tc>
          <w:tcPr>
            <w:tcW w:w="740" w:type="dxa"/>
            <w:vAlign w:val="bottom"/>
            <w:gridSpan w:val="2"/>
          </w:tcPr>
          <w:p>
            <w:pPr>
              <w:spacing w:after="0"/>
              <w:rPr>
                <w:rFonts w:ascii="Arial" w:cs="Arial" w:eastAsia="Arial" w:hAnsi="Arial"/>
                <w:sz w:val="18"/>
                <w:szCs w:val="18"/>
                <w:color w:val="0000EE"/>
                <w:w w:val="93"/>
              </w:rPr>
            </w:pPr>
            <w:hyperlink w:anchor="page124">
              <w:r>
                <w:rPr>
                  <w:rFonts w:ascii="Arial" w:cs="Arial" w:eastAsia="Arial" w:hAnsi="Arial"/>
                  <w:sz w:val="18"/>
                  <w:szCs w:val="18"/>
                  <w:color w:val="0000EE"/>
                  <w:w w:val="93"/>
                </w:rPr>
                <w:t>ITEM 9B.</w:t>
              </w:r>
            </w:hyperlink>
          </w:p>
        </w:tc>
        <w:tc>
          <w:tcPr>
            <w:tcW w:w="140" w:type="dxa"/>
            <w:vAlign w:val="bottom"/>
          </w:tcPr>
          <w:p>
            <w:pPr>
              <w:spacing w:after="0"/>
              <w:rPr>
                <w:sz w:val="21"/>
                <w:szCs w:val="21"/>
                <w:color w:val="auto"/>
              </w:rPr>
            </w:pPr>
          </w:p>
        </w:tc>
        <w:tc>
          <w:tcPr>
            <w:tcW w:w="2600" w:type="dxa"/>
            <w:vAlign w:val="bottom"/>
            <w:gridSpan w:val="11"/>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OTHER INFORMATION</w:t>
              </w:r>
            </w:hyperlink>
          </w:p>
        </w:tc>
        <w:tc>
          <w:tcPr>
            <w:tcW w:w="5340" w:type="dxa"/>
            <w:vAlign w:val="bottom"/>
            <w:gridSpan w:val="19"/>
          </w:tcPr>
          <w:p>
            <w:pPr>
              <w:spacing w:after="0"/>
              <w:rPr>
                <w:sz w:val="21"/>
                <w:szCs w:val="21"/>
                <w:color w:val="auto"/>
              </w:rPr>
            </w:pPr>
          </w:p>
        </w:tc>
        <w:tc>
          <w:tcPr>
            <w:tcW w:w="360" w:type="dxa"/>
            <w:vAlign w:val="bottom"/>
            <w:gridSpan w:val="4"/>
          </w:tcPr>
          <w:p>
            <w:pPr>
              <w:jc w:val="right"/>
              <w:spacing w:after="0"/>
              <w:rPr>
                <w:rFonts w:ascii="Arial" w:cs="Arial" w:eastAsia="Arial" w:hAnsi="Arial"/>
                <w:sz w:val="18"/>
                <w:szCs w:val="18"/>
                <w:color w:val="0000EE"/>
              </w:rPr>
            </w:pPr>
            <w:hyperlink w:anchor="page124">
              <w:r>
                <w:rPr>
                  <w:rFonts w:ascii="Arial" w:cs="Arial" w:eastAsia="Arial" w:hAnsi="Arial"/>
                  <w:sz w:val="18"/>
                  <w:szCs w:val="18"/>
                  <w:color w:val="0000EE"/>
                </w:rPr>
                <w:t>119</w:t>
              </w:r>
            </w:hyperlink>
          </w:p>
        </w:tc>
      </w:tr>
      <w:tr>
        <w:trPr>
          <w:trHeight w:val="250"/>
        </w:trPr>
        <w:tc>
          <w:tcPr>
            <w:tcW w:w="6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40" w:type="dxa"/>
            <w:vAlign w:val="bottom"/>
            <w:gridSpan w:val="16"/>
          </w:tcPr>
          <w:p>
            <w:pPr>
              <w:jc w:val="center"/>
              <w:ind w:right="3780"/>
              <w:spacing w:after="0"/>
              <w:rPr>
                <w:rFonts w:ascii="Arial" w:cs="Arial" w:eastAsia="Arial" w:hAnsi="Arial"/>
                <w:sz w:val="18"/>
                <w:szCs w:val="18"/>
                <w:color w:val="0000EE"/>
                <w:w w:val="96"/>
              </w:rPr>
            </w:pPr>
            <w:hyperlink w:anchor="page125">
              <w:r>
                <w:rPr>
                  <w:rFonts w:ascii="Arial" w:cs="Arial" w:eastAsia="Arial" w:hAnsi="Arial"/>
                  <w:sz w:val="18"/>
                  <w:szCs w:val="18"/>
                  <w:color w:val="0000EE"/>
                  <w:w w:val="96"/>
                </w:rPr>
                <w:t>PART III</w:t>
              </w:r>
            </w:hyperlink>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0"/>
        </w:trPr>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250"/>
        </w:trPr>
        <w:tc>
          <w:tcPr>
            <w:tcW w:w="74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125">
              <w:r>
                <w:rPr>
                  <w:rFonts w:ascii="Arial" w:cs="Arial" w:eastAsia="Arial" w:hAnsi="Arial"/>
                  <w:sz w:val="18"/>
                  <w:szCs w:val="18"/>
                  <w:color w:val="0000EE"/>
                  <w:w w:val="95"/>
                </w:rPr>
                <w:t>ITEM 10.</w:t>
              </w:r>
            </w:hyperlink>
          </w:p>
        </w:tc>
        <w:tc>
          <w:tcPr>
            <w:tcW w:w="140" w:type="dxa"/>
            <w:vAlign w:val="bottom"/>
          </w:tcPr>
          <w:p>
            <w:pPr>
              <w:spacing w:after="0"/>
              <w:rPr>
                <w:sz w:val="21"/>
                <w:szCs w:val="21"/>
                <w:color w:val="auto"/>
              </w:rPr>
            </w:pPr>
          </w:p>
        </w:tc>
        <w:tc>
          <w:tcPr>
            <w:tcW w:w="5800" w:type="dxa"/>
            <w:vAlign w:val="bottom"/>
            <w:tcBorders>
              <w:bottom w:val="single" w:sz="8" w:color="0000EE"/>
            </w:tcBorders>
            <w:gridSpan w:val="23"/>
          </w:tcPr>
          <w:p>
            <w:pPr>
              <w:spacing w:after="0"/>
              <w:rPr>
                <w:rFonts w:ascii="Arial" w:cs="Arial" w:eastAsia="Arial" w:hAnsi="Arial"/>
                <w:sz w:val="18"/>
                <w:szCs w:val="18"/>
                <w:color w:val="0000EE"/>
                <w:w w:val="94"/>
              </w:rPr>
            </w:pPr>
            <w:hyperlink w:anchor="page125">
              <w:r>
                <w:rPr>
                  <w:rFonts w:ascii="Arial" w:cs="Arial" w:eastAsia="Arial" w:hAnsi="Arial"/>
                  <w:sz w:val="18"/>
                  <w:szCs w:val="18"/>
                  <w:color w:val="0000EE"/>
                  <w:w w:val="94"/>
                </w:rPr>
                <w:t>DIRECTORS, EXECUTIVE OFFICERS AND CORPORATE GOVERNANCE</w:t>
              </w:r>
            </w:hyperlink>
          </w:p>
        </w:tc>
        <w:tc>
          <w:tcPr>
            <w:tcW w:w="2140" w:type="dxa"/>
            <w:vAlign w:val="bottom"/>
            <w:gridSpan w:val="7"/>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125">
              <w:r>
                <w:rPr>
                  <w:rFonts w:ascii="Arial" w:cs="Arial" w:eastAsia="Arial" w:hAnsi="Arial"/>
                  <w:sz w:val="18"/>
                  <w:szCs w:val="18"/>
                  <w:color w:val="0000EE"/>
                  <w:w w:val="79"/>
                </w:rPr>
                <w:t>120</w:t>
              </w:r>
            </w:hyperlink>
          </w:p>
        </w:tc>
      </w:tr>
      <w:tr>
        <w:trPr>
          <w:trHeight w:val="250"/>
        </w:trPr>
        <w:tc>
          <w:tcPr>
            <w:tcW w:w="74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125">
              <w:r>
                <w:rPr>
                  <w:rFonts w:ascii="Arial" w:cs="Arial" w:eastAsia="Arial" w:hAnsi="Arial"/>
                  <w:sz w:val="18"/>
                  <w:szCs w:val="18"/>
                  <w:color w:val="0000EE"/>
                  <w:w w:val="95"/>
                </w:rPr>
                <w:t>ITEM 11.</w:t>
              </w:r>
            </w:hyperlink>
          </w:p>
        </w:tc>
        <w:tc>
          <w:tcPr>
            <w:tcW w:w="140" w:type="dxa"/>
            <w:vAlign w:val="bottom"/>
          </w:tcPr>
          <w:p>
            <w:pPr>
              <w:spacing w:after="0"/>
              <w:rPr>
                <w:sz w:val="21"/>
                <w:szCs w:val="21"/>
                <w:color w:val="auto"/>
              </w:rPr>
            </w:pPr>
          </w:p>
        </w:tc>
        <w:tc>
          <w:tcPr>
            <w:tcW w:w="244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125">
              <w:r>
                <w:rPr>
                  <w:rFonts w:ascii="Arial" w:cs="Arial" w:eastAsia="Arial" w:hAnsi="Arial"/>
                  <w:sz w:val="18"/>
                  <w:szCs w:val="18"/>
                  <w:color w:val="0000EE"/>
                  <w:w w:val="95"/>
                </w:rPr>
                <w:t>EXECUTIVE COMPENSATION</w:t>
              </w:r>
            </w:hyperlink>
          </w:p>
        </w:tc>
        <w:tc>
          <w:tcPr>
            <w:tcW w:w="5500" w:type="dxa"/>
            <w:vAlign w:val="bottom"/>
            <w:gridSpan w:val="20"/>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125">
              <w:r>
                <w:rPr>
                  <w:rFonts w:ascii="Arial" w:cs="Arial" w:eastAsia="Arial" w:hAnsi="Arial"/>
                  <w:sz w:val="18"/>
                  <w:szCs w:val="18"/>
                  <w:color w:val="0000EE"/>
                  <w:w w:val="79"/>
                </w:rPr>
                <w:t>120</w:t>
              </w:r>
            </w:hyperlink>
          </w:p>
        </w:tc>
      </w:tr>
      <w:tr>
        <w:trPr>
          <w:trHeight w:val="250"/>
        </w:trPr>
        <w:tc>
          <w:tcPr>
            <w:tcW w:w="74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125">
              <w:r>
                <w:rPr>
                  <w:rFonts w:ascii="Arial" w:cs="Arial" w:eastAsia="Arial" w:hAnsi="Arial"/>
                  <w:sz w:val="18"/>
                  <w:szCs w:val="18"/>
                  <w:color w:val="0000EE"/>
                  <w:w w:val="95"/>
                </w:rPr>
                <w:t>ITEM 12.</w:t>
              </w:r>
            </w:hyperlink>
          </w:p>
        </w:tc>
        <w:tc>
          <w:tcPr>
            <w:tcW w:w="140" w:type="dxa"/>
            <w:vAlign w:val="bottom"/>
          </w:tcPr>
          <w:p>
            <w:pPr>
              <w:spacing w:after="0"/>
              <w:rPr>
                <w:sz w:val="21"/>
                <w:szCs w:val="21"/>
                <w:color w:val="auto"/>
              </w:rPr>
            </w:pPr>
          </w:p>
        </w:tc>
        <w:tc>
          <w:tcPr>
            <w:tcW w:w="7160" w:type="dxa"/>
            <w:vAlign w:val="bottom"/>
            <w:tcBorders>
              <w:bottom w:val="single" w:sz="8" w:color="0000EE"/>
            </w:tcBorders>
            <w:gridSpan w:val="27"/>
          </w:tcPr>
          <w:p>
            <w:pPr>
              <w:spacing w:after="0"/>
              <w:rPr>
                <w:rFonts w:ascii="Arial" w:cs="Arial" w:eastAsia="Arial" w:hAnsi="Arial"/>
                <w:sz w:val="18"/>
                <w:szCs w:val="18"/>
                <w:color w:val="0000EE"/>
                <w:w w:val="96"/>
              </w:rPr>
            </w:pPr>
            <w:hyperlink w:anchor="page125">
              <w:r>
                <w:rPr>
                  <w:rFonts w:ascii="Arial" w:cs="Arial" w:eastAsia="Arial" w:hAnsi="Arial"/>
                  <w:sz w:val="18"/>
                  <w:szCs w:val="18"/>
                  <w:color w:val="0000EE"/>
                  <w:w w:val="96"/>
                </w:rPr>
                <w:t>SECURITY OWNERSHIP OF CERTAIN BENEFICIAL OWNERS AND MANAGEMENT AND</w:t>
              </w:r>
            </w:hyperlink>
          </w:p>
        </w:tc>
        <w:tc>
          <w:tcPr>
            <w:tcW w:w="780" w:type="dxa"/>
            <w:vAlign w:val="bottom"/>
            <w:gridSpan w:val="3"/>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2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125">
              <w:r>
                <w:rPr>
                  <w:rFonts w:ascii="Arial" w:cs="Arial" w:eastAsia="Arial" w:hAnsi="Arial"/>
                  <w:sz w:val="18"/>
                  <w:szCs w:val="18"/>
                  <w:color w:val="0000EE"/>
                  <w:w w:val="94"/>
                </w:rPr>
                <w:t>RELATED STOCKHOLDER MATTERS</w:t>
              </w:r>
            </w:hyperlink>
          </w:p>
        </w:tc>
        <w:tc>
          <w:tcPr>
            <w:tcW w:w="4920" w:type="dxa"/>
            <w:vAlign w:val="bottom"/>
            <w:gridSpan w:val="17"/>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25">
              <w:r>
                <w:rPr>
                  <w:rFonts w:ascii="Arial" w:cs="Arial" w:eastAsia="Arial" w:hAnsi="Arial"/>
                  <w:sz w:val="18"/>
                  <w:szCs w:val="18"/>
                  <w:color w:val="0000EE"/>
                  <w:w w:val="79"/>
                </w:rPr>
                <w:t>120</w:t>
              </w:r>
            </w:hyperlink>
          </w:p>
        </w:tc>
      </w:tr>
      <w:tr>
        <w:trPr>
          <w:trHeight w:val="250"/>
        </w:trPr>
        <w:tc>
          <w:tcPr>
            <w:tcW w:w="74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125">
              <w:r>
                <w:rPr>
                  <w:rFonts w:ascii="Arial" w:cs="Arial" w:eastAsia="Arial" w:hAnsi="Arial"/>
                  <w:sz w:val="18"/>
                  <w:szCs w:val="18"/>
                  <w:color w:val="0000EE"/>
                  <w:w w:val="95"/>
                </w:rPr>
                <w:t>ITEM 13.</w:t>
              </w:r>
            </w:hyperlink>
          </w:p>
        </w:tc>
        <w:tc>
          <w:tcPr>
            <w:tcW w:w="140" w:type="dxa"/>
            <w:vAlign w:val="bottom"/>
          </w:tcPr>
          <w:p>
            <w:pPr>
              <w:spacing w:after="0"/>
              <w:rPr>
                <w:sz w:val="21"/>
                <w:szCs w:val="21"/>
                <w:color w:val="auto"/>
              </w:rPr>
            </w:pPr>
          </w:p>
        </w:tc>
        <w:tc>
          <w:tcPr>
            <w:tcW w:w="6280" w:type="dxa"/>
            <w:vAlign w:val="bottom"/>
            <w:tcBorders>
              <w:bottom w:val="single" w:sz="8" w:color="0000EE"/>
            </w:tcBorders>
            <w:gridSpan w:val="25"/>
          </w:tcPr>
          <w:p>
            <w:pPr>
              <w:spacing w:after="0"/>
              <w:rPr>
                <w:rFonts w:ascii="Arial" w:cs="Arial" w:eastAsia="Arial" w:hAnsi="Arial"/>
                <w:sz w:val="18"/>
                <w:szCs w:val="18"/>
                <w:color w:val="0000EE"/>
                <w:w w:val="95"/>
              </w:rPr>
            </w:pPr>
            <w:hyperlink w:anchor="page125">
              <w:r>
                <w:rPr>
                  <w:rFonts w:ascii="Arial" w:cs="Arial" w:eastAsia="Arial" w:hAnsi="Arial"/>
                  <w:sz w:val="18"/>
                  <w:szCs w:val="18"/>
                  <w:color w:val="0000EE"/>
                  <w:w w:val="95"/>
                </w:rPr>
                <w:t>CERTAIN RELATIONSHIPS AND RELATED TRANSACTIONS, AND DIRECTOR</w:t>
              </w:r>
            </w:hyperlink>
          </w:p>
        </w:tc>
        <w:tc>
          <w:tcPr>
            <w:tcW w:w="1660" w:type="dxa"/>
            <w:vAlign w:val="bottom"/>
            <w:gridSpan w:val="5"/>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40" w:type="dxa"/>
            <w:vAlign w:val="bottom"/>
            <w:gridSpan w:val="30"/>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INDEPENDENCE</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120</w:t>
              </w:r>
            </w:hyperlink>
          </w:p>
        </w:tc>
      </w:tr>
      <w:tr>
        <w:trPr>
          <w:trHeight w:val="20"/>
        </w:trPr>
        <w:tc>
          <w:tcPr>
            <w:tcW w:w="880" w:type="dxa"/>
            <w:vAlign w:val="bottom"/>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780" w:type="dxa"/>
            <w:vAlign w:val="bottom"/>
            <w:gridSpan w:val="9"/>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250"/>
        </w:trPr>
        <w:tc>
          <w:tcPr>
            <w:tcW w:w="740" w:type="dxa"/>
            <w:vAlign w:val="bottom"/>
            <w:gridSpan w:val="2"/>
          </w:tcPr>
          <w:p>
            <w:pPr>
              <w:spacing w:after="0"/>
              <w:rPr>
                <w:rFonts w:ascii="Arial" w:cs="Arial" w:eastAsia="Arial" w:hAnsi="Arial"/>
                <w:sz w:val="18"/>
                <w:szCs w:val="18"/>
                <w:color w:val="0000EE"/>
                <w:w w:val="95"/>
              </w:rPr>
            </w:pPr>
            <w:hyperlink w:anchor="page125">
              <w:r>
                <w:rPr>
                  <w:rFonts w:ascii="Arial" w:cs="Arial" w:eastAsia="Arial" w:hAnsi="Arial"/>
                  <w:sz w:val="18"/>
                  <w:szCs w:val="18"/>
                  <w:color w:val="0000EE"/>
                  <w:w w:val="95"/>
                </w:rPr>
                <w:t>ITEM 14.</w:t>
              </w:r>
            </w:hyperlink>
          </w:p>
        </w:tc>
        <w:tc>
          <w:tcPr>
            <w:tcW w:w="140" w:type="dxa"/>
            <w:vAlign w:val="bottom"/>
          </w:tcPr>
          <w:p>
            <w:pPr>
              <w:spacing w:after="0"/>
              <w:rPr>
                <w:sz w:val="21"/>
                <w:szCs w:val="21"/>
                <w:color w:val="auto"/>
              </w:rPr>
            </w:pPr>
          </w:p>
        </w:tc>
        <w:tc>
          <w:tcPr>
            <w:tcW w:w="7940" w:type="dxa"/>
            <w:vAlign w:val="bottom"/>
            <w:gridSpan w:val="30"/>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PRINCIPAL ACCOUNTING FEES AND SERVICES</w:t>
              </w:r>
            </w:hyperlink>
          </w:p>
        </w:tc>
        <w:tc>
          <w:tcPr>
            <w:tcW w:w="360" w:type="dxa"/>
            <w:vAlign w:val="bottom"/>
            <w:gridSpan w:val="4"/>
          </w:tcPr>
          <w:p>
            <w:pPr>
              <w:jc w:val="right"/>
              <w:spacing w:after="0"/>
              <w:rPr>
                <w:rFonts w:ascii="Arial" w:cs="Arial" w:eastAsia="Arial" w:hAnsi="Arial"/>
                <w:sz w:val="18"/>
                <w:szCs w:val="18"/>
                <w:color w:val="0000EE"/>
              </w:rPr>
            </w:pPr>
            <w:hyperlink w:anchor="page125">
              <w:r>
                <w:rPr>
                  <w:rFonts w:ascii="Arial" w:cs="Arial" w:eastAsia="Arial" w:hAnsi="Arial"/>
                  <w:sz w:val="18"/>
                  <w:szCs w:val="18"/>
                  <w:color w:val="0000EE"/>
                </w:rPr>
                <w:t>120</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780" w:type="dxa"/>
            <w:vAlign w:val="bottom"/>
            <w:gridSpan w:val="9"/>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40" w:type="dxa"/>
            <w:vAlign w:val="bottom"/>
            <w:gridSpan w:val="16"/>
          </w:tcPr>
          <w:p>
            <w:pPr>
              <w:jc w:val="center"/>
              <w:ind w:right="3780"/>
              <w:spacing w:after="0"/>
              <w:rPr>
                <w:rFonts w:ascii="Arial" w:cs="Arial" w:eastAsia="Arial" w:hAnsi="Arial"/>
                <w:sz w:val="18"/>
                <w:szCs w:val="18"/>
                <w:color w:val="0000EE"/>
                <w:w w:val="94"/>
              </w:rPr>
            </w:pPr>
            <w:hyperlink w:anchor="page126">
              <w:r>
                <w:rPr>
                  <w:rFonts w:ascii="Arial" w:cs="Arial" w:eastAsia="Arial" w:hAnsi="Arial"/>
                  <w:sz w:val="18"/>
                  <w:szCs w:val="18"/>
                  <w:color w:val="0000EE"/>
                  <w:w w:val="94"/>
                </w:rPr>
                <w:t>PART IV</w:t>
              </w:r>
            </w:hyperlink>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8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80" w:type="dxa"/>
            <w:vAlign w:val="bottom"/>
            <w:gridSpan w:val="13"/>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3780" w:type="dxa"/>
            <w:vAlign w:val="bottom"/>
            <w:gridSpan w:val="9"/>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r>
      <w:tr>
        <w:trPr>
          <w:trHeight w:val="250"/>
        </w:trPr>
        <w:tc>
          <w:tcPr>
            <w:tcW w:w="74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126">
              <w:r>
                <w:rPr>
                  <w:rFonts w:ascii="Arial" w:cs="Arial" w:eastAsia="Arial" w:hAnsi="Arial"/>
                  <w:sz w:val="18"/>
                  <w:szCs w:val="18"/>
                  <w:color w:val="0000EE"/>
                  <w:w w:val="95"/>
                </w:rPr>
                <w:t>ITEM 15.</w:t>
              </w:r>
            </w:hyperlink>
          </w:p>
        </w:tc>
        <w:tc>
          <w:tcPr>
            <w:tcW w:w="140" w:type="dxa"/>
            <w:vAlign w:val="bottom"/>
          </w:tcPr>
          <w:p>
            <w:pPr>
              <w:spacing w:after="0"/>
              <w:rPr>
                <w:sz w:val="21"/>
                <w:szCs w:val="21"/>
                <w:color w:val="auto"/>
              </w:rPr>
            </w:pPr>
          </w:p>
        </w:tc>
        <w:tc>
          <w:tcPr>
            <w:tcW w:w="4040" w:type="dxa"/>
            <w:vAlign w:val="bottom"/>
            <w:tcBorders>
              <w:bottom w:val="single" w:sz="8" w:color="0000EE"/>
            </w:tcBorders>
            <w:gridSpan w:val="18"/>
          </w:tcPr>
          <w:p>
            <w:pPr>
              <w:spacing w:after="0"/>
              <w:rPr>
                <w:rFonts w:ascii="Arial" w:cs="Arial" w:eastAsia="Arial" w:hAnsi="Arial"/>
                <w:sz w:val="18"/>
                <w:szCs w:val="18"/>
                <w:color w:val="0000EE"/>
                <w:w w:val="96"/>
              </w:rPr>
            </w:pPr>
            <w:hyperlink w:anchor="page126">
              <w:r>
                <w:rPr>
                  <w:rFonts w:ascii="Arial" w:cs="Arial" w:eastAsia="Arial" w:hAnsi="Arial"/>
                  <w:sz w:val="18"/>
                  <w:szCs w:val="18"/>
                  <w:color w:val="0000EE"/>
                  <w:w w:val="96"/>
                </w:rPr>
                <w:t>EXHIBITS, FINANCIAL STATEMENT SCHEDULES</w:t>
              </w:r>
            </w:hyperlink>
          </w:p>
        </w:tc>
        <w:tc>
          <w:tcPr>
            <w:tcW w:w="3900" w:type="dxa"/>
            <w:vAlign w:val="bottom"/>
            <w:gridSpan w:val="12"/>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126">
              <w:r>
                <w:rPr>
                  <w:rFonts w:ascii="Arial" w:cs="Arial" w:eastAsia="Arial" w:hAnsi="Arial"/>
                  <w:sz w:val="18"/>
                  <w:szCs w:val="18"/>
                  <w:color w:val="0000EE"/>
                  <w:w w:val="79"/>
                </w:rPr>
                <w:t>121</w:t>
              </w:r>
            </w:hyperlink>
          </w:p>
        </w:tc>
      </w:tr>
      <w:tr>
        <w:trPr>
          <w:trHeight w:val="250"/>
        </w:trPr>
        <w:tc>
          <w:tcPr>
            <w:tcW w:w="8820" w:type="dxa"/>
            <w:vAlign w:val="bottom"/>
            <w:gridSpan w:val="33"/>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SIGNATURES</w:t>
              </w:r>
            </w:hyperlink>
          </w:p>
        </w:tc>
        <w:tc>
          <w:tcPr>
            <w:tcW w:w="360" w:type="dxa"/>
            <w:vAlign w:val="bottom"/>
            <w:gridSpan w:val="4"/>
          </w:tcPr>
          <w:p>
            <w:pPr>
              <w:jc w:val="right"/>
              <w:spacing w:after="0"/>
              <w:rPr>
                <w:rFonts w:ascii="Arial" w:cs="Arial" w:eastAsia="Arial" w:hAnsi="Arial"/>
                <w:sz w:val="18"/>
                <w:szCs w:val="18"/>
                <w:color w:val="0000EE"/>
              </w:rPr>
            </w:pPr>
            <w:hyperlink w:anchor="page127">
              <w:r>
                <w:rPr>
                  <w:rFonts w:ascii="Arial" w:cs="Arial" w:eastAsia="Arial" w:hAnsi="Arial"/>
                  <w:sz w:val="18"/>
                  <w:szCs w:val="18"/>
                  <w:color w:val="0000EE"/>
                </w:rPr>
                <w:t>122</w:t>
              </w:r>
            </w:hyperlink>
          </w:p>
        </w:tc>
      </w:tr>
      <w:tr>
        <w:trPr>
          <w:trHeight w:val="20"/>
        </w:trPr>
        <w:tc>
          <w:tcPr>
            <w:tcW w:w="6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9180"/>
          </w:cols>
          <w:pgMar w:left="1360" w:top="580" w:right="135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This Annual Report on Form 10-K, or Annual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products and services,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6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forward-looking statements contained in this Annual Report reflect our views as of the date of this Annual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in Part I, Item 1A "Risk Factors," and in Part II, Item 7 "Management's Discussion and Analysis of Financial Condition and Results of Operations." These factors include, without limitation, the following:</w:t>
      </w:r>
    </w:p>
    <w:p>
      <w:pPr>
        <w:spacing w:after="0" w:line="189" w:lineRule="exact"/>
        <w:rPr>
          <w:sz w:val="20"/>
          <w:szCs w:val="20"/>
          <w:color w:val="auto"/>
        </w:rPr>
      </w:pPr>
    </w:p>
    <w:p>
      <w:pPr>
        <w:ind w:left="660" w:right="160" w:hanging="247"/>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or to Fannie Mae and Freddie Mac, which we refer to collectively as the GSEs, whether through Federal legislation, restructurings or a shift in business practices;</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continue to meet the mortgage insurer eligibility requirements of the GSEs;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for our customers or the loss of a significant customer;</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lenders or investors seeking alternatives to private mortgage insurance;</w:t>
      </w:r>
    </w:p>
    <w:p>
      <w:pPr>
        <w:spacing w:after="0" w:line="225" w:lineRule="exact"/>
        <w:rPr>
          <w:rFonts w:ascii="Arial" w:cs="Arial" w:eastAsia="Arial" w:hAnsi="Arial"/>
          <w:sz w:val="18"/>
          <w:szCs w:val="18"/>
          <w:color w:val="auto"/>
        </w:rPr>
      </w:pPr>
    </w:p>
    <w:p>
      <w:pPr>
        <w:ind w:left="660" w:right="80" w:hanging="247"/>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in the number of loans insured through Federal government mortgage insurance programs, including those offered by the Federal Housing Administration;</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 in the volume of low down payment mortgage originations;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of loss reserve estimates;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 in the length of time our insurance policies are in force;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deteriorating economic conditions;</w:t>
      </w:r>
    </w:p>
    <w:p>
      <w:pPr>
        <w:spacing w:after="0" w:line="225" w:lineRule="exact"/>
        <w:rPr>
          <w:rFonts w:ascii="Arial" w:cs="Arial" w:eastAsia="Arial" w:hAnsi="Arial"/>
          <w:sz w:val="18"/>
          <w:szCs w:val="18"/>
          <w:color w:val="auto"/>
        </w:rPr>
      </w:pPr>
    </w:p>
    <w:p>
      <w:pPr>
        <w:ind w:left="660" w:right="380" w:hanging="247"/>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of "Qualified Mortgage" reducing the size of the mortgage origination market or creating incentives to use government mortgage insurance programs;</w:t>
      </w:r>
    </w:p>
    <w:p>
      <w:pPr>
        <w:spacing w:after="0" w:line="170" w:lineRule="exact"/>
        <w:rPr>
          <w:rFonts w:ascii="Arial" w:cs="Arial" w:eastAsia="Arial" w:hAnsi="Arial"/>
          <w:sz w:val="18"/>
          <w:szCs w:val="18"/>
          <w:color w:val="auto"/>
        </w:rPr>
      </w:pPr>
    </w:p>
    <w:p>
      <w:pPr>
        <w:ind w:left="660" w:right="60" w:hanging="247"/>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of "Qualified Residential Mortgage" reducing the number of low down payment loans or lenders and investors seeking alternatives to private mortgage insurance;</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the Basel III Capital Accord, which may discourage the use of private mortgage insurance;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of risk in our investment portfolio;</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inadequacy of the premiums we charge to compensate for our losses incurred;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management team and qualified personnel;</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disturbance to our information technology systems;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 in our customers' capital requirements discouraging the use of mortgage insurance;</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40"/>
          </w:cols>
          <w:pgMar w:left="240" w:top="580" w:right="319" w:bottom="1440" w:gutter="0" w:footer="0" w:header="0"/>
        </w:sectPr>
      </w:pPr>
    </w:p>
    <w:bookmarkStart w:id="4" w:name="page5"/>
    <w:bookmarkEnd w:id="4"/>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declines in the value of borrowers' homes;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limited availability of capital;</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claims arise under and risks associated with our contract underwriting program;</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practice that loss reserves are established only upon a loan default;</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 in mortgage loan servicing;</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future legal proceedings;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customers' technological demands;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non-U.S. operations becoming subject to U.S. Federal income taxation;</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becoming considered a passive foreign investment company for U.S. Federal income tax purposes;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inability of our insurance subsidiaries to pay dividends.</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Readers are urged to consider these factors carefully in evaluating the forward-looking statements and are cautioned not to place undue reliance on these forward-looking statements. All of the forward-looking statements we have included in this Annual Report are based on information available to us on the date of this Annual Report. We undertake no obligation to publicly update or revise any forward-looking statement, whether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80"/>
          </w:cols>
          <w:pgMar w:left="240" w:top="800" w:right="379" w:bottom="1440" w:gutter="0" w:footer="0" w:header="0"/>
        </w:sectPr>
      </w:pPr>
    </w:p>
    <w:bookmarkStart w:id="5" w:name="page6"/>
    <w:bookmarkEnd w:id="5"/>
    <w:p>
      <w:pPr>
        <w:ind w:right="120"/>
        <w:spacing w:after="0" w:line="255" w:lineRule="auto"/>
        <w:rPr>
          <w:sz w:val="20"/>
          <w:szCs w:val="20"/>
          <w:color w:val="auto"/>
        </w:rPr>
      </w:pPr>
      <w:r>
        <w:rPr>
          <w:rFonts w:ascii="Arial" w:cs="Arial" w:eastAsia="Arial" w:hAnsi="Arial"/>
          <w:sz w:val="18"/>
          <w:szCs w:val="18"/>
          <w:i w:val="1"/>
          <w:iCs w:val="1"/>
          <w:color w:val="auto"/>
        </w:rPr>
        <w:t>Unless the context otherwise indicates or requires, the terms "we," "our," "us," "Essent," and the "Company," as used in this Annual Report, refer to Essent Group Ltd. and its directly and indirectly owned subsidiaries, including our primary operating subsidiaries, Essent Guaranty, Inc. and Essent Reinsurance Ltd., as a combined entity, except where otherwise stated or where it is clear that the terms mean only Essent Group Ltd. exclusive of its subsidiaries. Except as otherwise indicated, "Market Share" as used in this Annual Report means our market share as measured by our share of total new insurance written ("NIW") on a flow basis (in which loans are insured in individual, loan-by-loan transactions) in the U.S. private mortgage insurance industry, and excludes NIW under the Home Affordable Refinance Program ("HARP" and such NIW, the "HARP NIW") and bulk insurance that we write (in which each loan in a portfolio of loans is insured in a single transaction).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We are an established and growing private mortgage insurance company. We were formed to serve the U.S. housing finance industry at a time when the demands of the financial crisis and a rapidly changing business environment created the need for a new, privately funded mortgage insurance company. We had an estimated 12.9% Market Share for the year ended December 31, 2016. We believe that our success in acquiring customers and growing our insurance in force has been driven by the unique opportunity we offer lenders to partner with a well-capitalized mortgage insurer, unencumbered by business originated prior to the financial crisis, that provides fair and transparent claims payment practices, and consistency and speed of service.</w:t>
      </w:r>
    </w:p>
    <w:p>
      <w:pPr>
        <w:spacing w:after="0" w:line="15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Private mortgage insurance plays a critical role in the U.S. housing finance system. Essent and other private mortgage insurers provide credit protection to lenders and mortgage investors by covering a portion of the unpaid principal balance of a mortgage and certain related expenses in the event of a default. In doing so, we provide private capital to mitigate mortgage credit risk, allowing lenders to make additional mortgage financing available to prospective homeowners.</w:t>
      </w:r>
    </w:p>
    <w:p>
      <w:pPr>
        <w:spacing w:after="0" w:line="18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Private mortgage insurance helps extend affordable home ownership by facilitating the sale of low down payment loans into the secondary market. Two U.S. Federal government-sponsored enterprises, Fannie Mae and Freddie Mac, which we refer to collectively as the GSEs, purchase residential mortgages from banks and other lenders and guaranty mortgage-backed securities that are offered to investors in the secondary mortgage market. The GSEs are restricted by their charters from purchasing or guaranteeing low down payment loans, defined as loans with less than a 20% down payment, that are not covered by certain credit protections. Private mortgage insurance satisfies the GSEs' credit protection requirements for low down payment loans, supporting a robust secondary mortgage market in the United States.</w:t>
      </w:r>
    </w:p>
    <w:p>
      <w:pPr>
        <w:spacing w:after="0" w:line="193"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Our primary U.S. mortgage insurance subsidiary, Essent Guaranty, Inc., received its certificate of authority from the Pennsylvania Insurance Department in July 2009. We subsequently acquired our mortgage insurance platform from a former private mortgage insurance industry participant and in 2010, became the first private mortgage insurer to be approved by the GSEs since 1995. We are licensed to write coverage in all 50 states and the District of Columbia.</w:t>
      </w:r>
    </w:p>
    <w:p>
      <w:pPr>
        <w:spacing w:after="0" w:line="187"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We had master policy relationships with approximately 1,360 customers as of December 31, 2016. Our top ten customers represented approximately 35.1%, 36.6% and 42.6% of our NIW on a flow basis for the years ended December 31, 2016, 2015 and 2014, respectively. We have a highly experienced, talented team of 376 employees as of December 31, 2016. Our holding company is domiciled in Bermuda and our U.S. insurance business is headquartered in Radnor, Pennsylvania. We operate additional underwriting and service centers in Winston-Salem, North Carolina and Irvine, California.</w:t>
      </w:r>
    </w:p>
    <w:p>
      <w:pPr>
        <w:spacing w:after="0" w:line="154"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For the years ended December 31, 2016, 2015 and 2014, we generated NIW of approximately $34.9 billion (including approximately $0.1 billion in NIW written on a bulk basis), $26.2 billion (including approximately $0.3 billion in NIW written on a bulk basis) and $24.8 billion (including approximately $1.8 billion in NIW written on a bulk basis), respectively. As of December 31, 2016, we had approximately $83.3 billion of insurance in force. The financial strength rating of Essent Guaranty, Inc. is Baa2 with a stable outlook by Moody's Investors Service and BBB+ with a stable outlook by S&amp;P Global Ratings.</w:t>
      </w:r>
    </w:p>
    <w:p>
      <w:pPr>
        <w:spacing w:after="0" w:line="154"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We also offer mortgage-related insurance and reinsurance through our wholly-owned Bermuda-based subsidiary, Essent Reinsurance Ltd., which we refer to as "Essent Re." As of December 31, 2016, Essent Re provided insurance or reinsurance relating to the risk in force on loans in reference pools acquired by Freddie Mac and Fannie Mae covering approximately $384.1 million of risk, including in connection with Freddie Mac's Agency Credit Insurance Structure (ACIS) and Fannie Mae's Credit Insurance Risk Transfer (CIRT) programs. Essent Re has also reinsured 25% of Essent Guaranty, Inc.'s GSE-eligible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584" w:right="259" w:bottom="1440" w:gutter="0" w:footer="0" w:header="0"/>
        </w:sectPr>
      </w:pPr>
    </w:p>
    <w:bookmarkStart w:id="6" w:name="page7"/>
    <w:bookmarkEnd w:id="6"/>
    <w:p>
      <w:pPr>
        <w:ind w:right="60"/>
        <w:spacing w:after="0" w:line="277" w:lineRule="auto"/>
        <w:rPr>
          <w:sz w:val="20"/>
          <w:szCs w:val="20"/>
          <w:color w:val="auto"/>
        </w:rPr>
      </w:pPr>
      <w:r>
        <w:rPr>
          <w:rFonts w:ascii="Arial" w:cs="Arial" w:eastAsia="Arial" w:hAnsi="Arial"/>
          <w:sz w:val="18"/>
          <w:szCs w:val="18"/>
          <w:color w:val="auto"/>
        </w:rPr>
        <w:t>mortgage insurance NIW originated since July 1, 2014 under a quota share reinsurance agreement. In 2016, S&amp;P Global Ratings assigned a financial strength rating of BBB+ with a stable outlook to Essent 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U.S. Mortgage Market</w:t>
      </w:r>
    </w:p>
    <w:p>
      <w:pPr>
        <w:spacing w:after="0" w:line="225"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U.S. residential mortgage market is one of the largest in the world, with over $10.2 trillion of debt outstanding as of September 30, 2016, and includes a range of private and government-sponsored participants. Private industry participants include mortgage banks, mortgage brokers, commercial, regional and investment banks, savings institutions, credit unions, REITs, mortgage insurers and other financial institutions. Public participants include government agencies such as the Federal Housing Administration, or FHA, the Veterans Administration, or VA, the U.S. Department of Agriculture Rural Development program and the Government National Mortgage Association, or Ginnie Mae, as well as government-sponsored enterprises such as Fannie Mae and Freddie Mac. The overall U.S. residential mortgage market encompasses both primary and secondary markets. The primary market consists of lenders originating home loans to borrowers, and includes loans made to support home purchases, which are referred to as purchase originations, and loans made to refinance existing mortgages, which are referred to as refinancing originations. The secondary market includes institutions buying and selling mortgages in the form of whole loans or securitized assets, such as mortgage-backed securities.</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GSEs</w:t>
      </w:r>
    </w:p>
    <w:p>
      <w:pPr>
        <w:spacing w:after="0" w:line="22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GSEs are the largest participants in the secondary mortgage market, buying residential mortgages from banks and other primary lenders as part of their government mandate to provide liquidity and stability in the U.S. housing finance system. According to the Federal Reserve, the GSEs held or guaranteed approximately $4.5 trillion, or 44.3%, of total U.S. residential mortgage debt as of September 30, 2016. Their charters generally prohibit the GSEs from purchasing a low down payment loan unless that loan is insured by a GSE-approved mortgage insurer, the mortgage seller retains at least a 10% participation in the loan or the seller agrees to repurchase or replace the loan in the event of a default. Historically, private mortgage insurance has been the preferred method utilized to meet this GSE charter requirement. As a result, the private mortgage insurance industry in the United States is driven in large part by the business practices and mortgage insurance requirements of the GSEs.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Mortgage Insurance</w:t>
      </w:r>
    </w:p>
    <w:p>
      <w:pPr>
        <w:spacing w:after="0" w:line="225"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Mortgage insurance plays a critical role in the U.S. residential mortgage market by facilitating secondary market sales and by providing lenders and investors a means to diversify their exposures and mitigate mortgage credit risk. Mortgage insurance is provided by both private companies, such as Essent, and government agencies, such as the FHA and the VA. From 1997 through 2016, an average of 23.0% of total annual mortgage origination volume utilized mortgage insurance.</w:t>
      </w:r>
    </w:p>
    <w:p>
      <w:pPr>
        <w:spacing w:after="0" w:line="187" w:lineRule="exact"/>
        <w:rPr>
          <w:sz w:val="20"/>
          <w:szCs w:val="20"/>
          <w:color w:val="auto"/>
        </w:rPr>
      </w:pPr>
    </w:p>
    <w:p>
      <w:pPr>
        <w:ind w:right="220" w:firstLine="432"/>
        <w:spacing w:after="0" w:line="255" w:lineRule="auto"/>
        <w:rPr>
          <w:sz w:val="20"/>
          <w:szCs w:val="20"/>
          <w:color w:val="auto"/>
        </w:rPr>
      </w:pPr>
      <w:r>
        <w:rPr>
          <w:rFonts w:ascii="Arial" w:cs="Arial" w:eastAsia="Arial" w:hAnsi="Arial"/>
          <w:sz w:val="18"/>
          <w:szCs w:val="18"/>
          <w:color w:val="auto"/>
        </w:rPr>
        <w:t>Mortgage insurance industry volumes are influenced by total mortgage originations, and the mix between purchase and refinancing originations. Historically, mortgage insurance utilization has been meaningfully higher in purchase originations compared to refinancing originations. In 2016, total U.S. residential mortgage origination volume was estimated at $1.89 trillion, comprised of $990 billion of purchase originations and $901 billion of refinancing originations. In recent years, historically low interest rates and special refinance programs, such as HARP, have caused refinancing volume to significantly outpace purchase originations. Purchase originations are expected to account for an increasing percentage of the overall mortgage market as the economic recovery and favorable housing market fundamentals stimulate growth in home buying activity, and a rising interest rate environment slows refinancing volume.</w:t>
      </w:r>
    </w:p>
    <w:p>
      <w:pPr>
        <w:spacing w:after="0" w:line="189"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The following graph provides detail on trends in total residential mortgage originations and the breakdown of the market between purchase and refinancing volume.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Residential Purchase vs. Refinancing Mortgage Originations ($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189230</wp:posOffset>
            </wp:positionV>
            <wp:extent cx="5848985" cy="24872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8985" cy="248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Source:</w:t>
      </w:r>
      <w:r>
        <w:rPr>
          <w:sz w:val="20"/>
          <w:szCs w:val="20"/>
          <w:color w:val="auto"/>
        </w:rPr>
        <w:tab/>
      </w:r>
      <w:r>
        <w:rPr>
          <w:rFonts w:ascii="Arial" w:cs="Arial" w:eastAsia="Arial" w:hAnsi="Arial"/>
          <w:sz w:val="16"/>
          <w:szCs w:val="16"/>
          <w:color w:val="auto"/>
        </w:rPr>
        <w:t>Mortgage Bankers Association</w:t>
      </w:r>
    </w:p>
    <w:p>
      <w:pPr>
        <w:spacing w:after="0" w:line="34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Financial Crisis and Recovery</w:t>
      </w:r>
    </w:p>
    <w:p>
      <w:pPr>
        <w:spacing w:after="0" w:line="279"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The severe economic and housing market dislocation experienced during the recent financial crisis had a profound impact on our industry. Incumbent insurers experienced record high claims activity and sustained significant financial losses, resulting in depleted capital positions. Three private mortgage insurers who wrote more than $125 billion of NIW in 2007, accounting for approximately 36% of total private mortgage insurance market NIW that year, have since exited the market, and several other insurers were forced to raise capital to repair their balance sheets and remain in operation. Although certain remaining incumbent insurers continue to deal with legacy challenges, the ongoing improvement of housing market fundamentals and the high credit quality of post-crisis new business are expected to support improved growth and profitability in the private mortgage insurance sector post-crisis.</w:t>
      </w:r>
    </w:p>
    <w:p>
      <w:pPr>
        <w:spacing w:after="0" w:line="219"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Prior to the financial crisis, private mortgage insurers accounted for the majority of the insured mortgage origination market. In 2007, private mortgage insurance represented 77.3% of insured mortgages and covered 15.5% of the total residential mortgage origination volume. During the financial crisis, government agencies began to insure an increasing percentage of the market as incumbent private insurers came under significant financial stress. By 2009, private mortgage insurance represented only 15.4% of the insured mortgage market and covered 4.1% of the total residential mortgage origination volume.</w:t>
      </w:r>
    </w:p>
    <w:p>
      <w:pPr>
        <w:spacing w:after="0" w:line="208"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The private mortgage insurance industry, however, continues to recover, more than doubling its share of the total insured market since 2009 and thereby leading to higher private mortgage insurance penetration of the total mortgage origination market. In 2016, private mortgage insurance increased to an estimated 36% of the total insured market and covered 14% of the total mortgage origination volume. These gains have been driven in part by the improved financial position of incumbent insurers, the influx of private capital into the sector to support post-crisis entrants such as Essent, and aggregate increase since 2010 in the mortgage insurance premium rates and upfront fees charged for FHA insurance.</w:t>
      </w:r>
    </w:p>
    <w:p>
      <w:pPr>
        <w:spacing w:after="0" w:line="227"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charts below detail the relative share of the insured mortgage market covered by public and private participants, and historical NIW trends in the mortgage insurance market and private mortgage insurance penetration rates, which represents private mortgage insurance NIW to total U.S. residential mortgage origination volume.</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715" w:right="279" w:bottom="1440" w:gutter="0" w:footer="0" w:header="0"/>
        </w:sectPr>
      </w:pPr>
    </w:p>
    <w:bookmarkStart w:id="8" w:name="page9"/>
    <w:bookmarkEnd w:id="8"/>
    <w:p>
      <w:pPr>
        <w:jc w:val="center"/>
        <w:ind w:right="-199"/>
        <w:spacing w:after="0"/>
        <w:rPr>
          <w:sz w:val="20"/>
          <w:szCs w:val="20"/>
          <w:color w:val="auto"/>
        </w:rPr>
      </w:pPr>
      <w:r>
        <w:rPr>
          <w:rFonts w:ascii="Arial" w:cs="Arial" w:eastAsia="Arial" w:hAnsi="Arial"/>
          <w:sz w:val="18"/>
          <w:szCs w:val="18"/>
          <w:b w:val="1"/>
          <w:bCs w:val="1"/>
          <w:color w:val="auto"/>
        </w:rPr>
        <w:t>Relative Share of Private and Public Mortgage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189230</wp:posOffset>
            </wp:positionV>
            <wp:extent cx="5848985" cy="2238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8985"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4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Source:</w:t>
      </w:r>
      <w:r>
        <w:rPr>
          <w:sz w:val="20"/>
          <w:szCs w:val="20"/>
          <w:color w:val="auto"/>
        </w:rPr>
        <w:tab/>
      </w:r>
      <w:r>
        <w:rPr>
          <w:rFonts w:ascii="Arial" w:cs="Arial" w:eastAsia="Arial" w:hAnsi="Arial"/>
          <w:sz w:val="16"/>
          <w:szCs w:val="16"/>
          <w:color w:val="auto"/>
        </w:rPr>
        <w:t>Inside Mortgage Finance</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Private mortgage insurance NIW ($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189230</wp:posOffset>
            </wp:positionV>
            <wp:extent cx="5848985" cy="21183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211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auto"/>
        </w:rPr>
        <w:t>Source: Inside Mortgage Finance, except for total originations for the purpose of calculating private mortgage insurance penetration, which is based on Mortgage Bankers Association. For 2011 through 2016, private mortgage insurance penetration includes private mortgage insurance HARP NIW.</w:t>
      </w:r>
    </w:p>
    <w:p>
      <w:pPr>
        <w:spacing w:after="0" w:line="59"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view HARP as a modification of the coverage on existing insurance in force, and therefore when estimating our Market Share based on NIW, we exclude HARP NIW from total industry NIW. However, HARP is included as part of total industry NIW when showing private mortgage insurance penetration for the industry.</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Competition</w:t>
      </w:r>
    </w:p>
    <w:p>
      <w:pPr>
        <w:spacing w:after="0" w:line="27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private mortgage insurance industry is highly competitive. Private mortgage insurers generally compete on the basis of underwriting guidelines, pricing, terms and conditions, financial strength, reputation, customer relationships, the strength of management and field organizations, the effective use of technology, and innovation in the delivery and servicing of insurance products. The private mortgage insurance industry currently consists of six active private mortgage insurers, including Essent and each of Arch Mortgage Insurance Company (which also completed its acquisition of United Guaranty Corporation in late 2016), Genworth Financial Inc., Mortgage Guaranty Insurance Corporation, National Mortgage Insurance Corporation and Radian Guaranty Inc.</w:t>
      </w:r>
    </w:p>
    <w:p>
      <w:pPr>
        <w:sectPr>
          <w:pgSz w:w="11900" w:h="16838" w:orient="portrait"/>
          <w:cols w:equalWidth="0" w:num="1">
            <w:col w:w="11240"/>
          </w:cols>
          <w:pgMar w:left="240" w:top="715" w:right="419" w:bottom="1440" w:gutter="0" w:footer="0" w:header="0"/>
        </w:sectPr>
      </w:pPr>
    </w:p>
    <w:p>
      <w:pPr>
        <w:spacing w:after="0" w:line="355"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240" w:top="715" w:right="419" w:bottom="1440" w:gutter="0" w:footer="0" w:header="0"/>
          <w:type w:val="continuous"/>
        </w:sectPr>
      </w:pPr>
    </w:p>
    <w:bookmarkStart w:id="9" w:name="page10"/>
    <w:bookmarkEnd w:id="9"/>
    <w:p>
      <w:pPr>
        <w:ind w:firstLine="432"/>
        <w:spacing w:after="0" w:line="273" w:lineRule="auto"/>
        <w:rPr>
          <w:sz w:val="20"/>
          <w:szCs w:val="20"/>
          <w:color w:val="auto"/>
        </w:rPr>
      </w:pPr>
      <w:r>
        <w:rPr>
          <w:rFonts w:ascii="Arial" w:cs="Arial" w:eastAsia="Arial" w:hAnsi="Arial"/>
          <w:sz w:val="17"/>
          <w:szCs w:val="17"/>
          <w:color w:val="auto"/>
        </w:rPr>
        <w:t>We and other private mortgage insurers compete directly with Federal and state governmental and quasi-governmental agencies that provide mortgage insurance, principally, the FHA and, to a lesser degree, the VA. As discussed above, the FHA's share of the mortgage insurance market increased as a result of the financial crisis and since 2009 has decreased as the private mortgage insurance industry has recovered and FHA premiums have increased in the aggregate. In addition to competition from the FHA and the VA, we and other private mortgage insurers currently face limited competition from state-sponsored mortgage insurance funds in several states, including California and New York. From time to time, other state legislatures and agencies consider expanding the authority of their state governments to insure residential mortgages.</w:t>
      </w:r>
    </w:p>
    <w:p>
      <w:pPr>
        <w:spacing w:after="0" w:line="23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industry also competes with products designed to eliminate the need for private mortgage insurance, such as "piggyback loans," which combine a first lien loan with a second lien in order to meet the 80% loan-to-value threshold required for sale to the GSEs without certain credit protections. In addition, we compete with investors willing to hold credit risk on their own balance sheets without credit enhancement and, in some markets, with alternative forms of credit enhancement such as structured finance products and derivatives.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Mortgage Insurance</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general, there are two principal types of private mortgage insurance, primary and pool.</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Primary Mortgage Insurance</w:t>
      </w:r>
    </w:p>
    <w:p>
      <w:pPr>
        <w:spacing w:after="0" w:line="279" w:lineRule="exact"/>
        <w:rPr>
          <w:sz w:val="20"/>
          <w:szCs w:val="20"/>
          <w:color w:val="auto"/>
        </w:rPr>
      </w:pPr>
    </w:p>
    <w:p>
      <w:pPr>
        <w:jc w:val="both"/>
        <w:ind w:right="60" w:firstLine="432"/>
        <w:spacing w:after="0" w:line="286" w:lineRule="auto"/>
        <w:rPr>
          <w:sz w:val="20"/>
          <w:szCs w:val="20"/>
          <w:color w:val="auto"/>
        </w:rPr>
      </w:pPr>
      <w:r>
        <w:rPr>
          <w:rFonts w:ascii="Arial" w:cs="Arial" w:eastAsia="Arial" w:hAnsi="Arial"/>
          <w:sz w:val="17"/>
          <w:szCs w:val="17"/>
          <w:color w:val="auto"/>
        </w:rPr>
        <w:t>Primary mortgage insurance provides protection on individual loans at specified coverage percentages. Primary mortgage insurance is typically offered to customers on individual loans at the time of origination on a flow (i.e., loan-by-loan) basis, but can also be written in bulk transactions (in which each loan in a portfolio of loans is insured in a single transaction). A substantial majority of our policies are primary mortgage insurance.</w:t>
      </w:r>
    </w:p>
    <w:p>
      <w:pPr>
        <w:spacing w:after="0" w:line="220"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Customers that purchase our primary mortgage insurance select a specific coverage level for each insured loan. To be eligible for purchase by a GSE, a low down payment loan must comply with the coverage percentages established by that GSE. For loans not sold to the GSEs, the customer determines its desired coverage percentage. Generally, our risk across all policies written is approximately 25% of the underlying primary insurance in force, but may vary from policy to policy between 6% and 35% coverage.</w:t>
      </w:r>
    </w:p>
    <w:p>
      <w:pPr>
        <w:spacing w:after="0" w:line="24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file our premium rates with the insurance departments of the 50 states and the District of Columbia as required. Premium rates cannot be changed after the issuance of coverage and premiums applicable to an individual loan are based on a broad spectrum of risk variables including coverage percentages, loan-to-value, or LTV, loan and property attributes, and borrower risk characteristics. See "Management's Discussion and Analysis of Financial Condition and Results of Operations—Factors Affecting Our Results of Operations—Net Premiums Written and Earned" and "—Key Performance Indicators—Average Premium Rate."</w:t>
      </w:r>
    </w:p>
    <w:p>
      <w:pPr>
        <w:spacing w:after="0" w:line="242"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Premium payments for primary mortgage insurance coverage are typically made by the borrower. Mortgage insurance paid directly by the borrower is referred to as borrower-paid mortgage insurance, or "BPMI." If the borrower is not required to pay the premium, then the premium is paid by the lender, who may recover the premium through an increase in the note rate on the mortgage or higher origination fees. Loans for which premiums are paid by the lender are referred to as lender-paid mortgage insurance, or "LPMI." In either case, the payment of premium to us generally is the legal responsibility of the insured.</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Premiums are generally calculated as a percentage of the original principal balance and may be paid as follows:</w:t>
      </w:r>
    </w:p>
    <w:p>
      <w:pPr>
        <w:spacing w:after="0" w:line="171" w:lineRule="exact"/>
        <w:rPr>
          <w:sz w:val="20"/>
          <w:szCs w:val="20"/>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monthly, where premiums are collected on a monthly basis over the life of the policy;</w:t>
      </w:r>
    </w:p>
    <w:p>
      <w:pPr>
        <w:spacing w:after="0" w:line="265"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 single payment, where the entire premium is paid upfront at the time the mortgage loan is originated;</w:t>
      </w:r>
    </w:p>
    <w:p>
      <w:pPr>
        <w:spacing w:after="0" w:line="265" w:lineRule="exact"/>
        <w:rPr>
          <w:rFonts w:ascii="Arial" w:cs="Arial" w:eastAsia="Arial" w:hAnsi="Arial"/>
          <w:sz w:val="18"/>
          <w:szCs w:val="18"/>
          <w:color w:val="auto"/>
        </w:rPr>
      </w:pPr>
    </w:p>
    <w:p>
      <w:pPr>
        <w:ind w:left="720" w:hanging="30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annually, where premiums are paid in advance for the subsequent 12 months; or</w:t>
      </w:r>
    </w:p>
    <w:p>
      <w:pPr>
        <w:spacing w:after="0" w:line="265" w:lineRule="exact"/>
        <w:rPr>
          <w:rFonts w:ascii="Arial" w:cs="Arial" w:eastAsia="Arial" w:hAnsi="Arial"/>
          <w:sz w:val="18"/>
          <w:szCs w:val="18"/>
          <w:color w:val="auto"/>
        </w:rPr>
      </w:pPr>
    </w:p>
    <w:p>
      <w:pPr>
        <w:ind w:left="420" w:right="3380" w:hanging="7"/>
        <w:spacing w:after="0" w:line="536" w:lineRule="auto"/>
        <w:tabs>
          <w:tab w:leader="none" w:pos="726"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a "split" basis, where an initial premium is paid upfront along with subsequent monthly payments. As of December 31, 2016, substantially all of our policies are monthly or single premium policies.</w:t>
      </w:r>
    </w:p>
    <w:p>
      <w:pPr>
        <w:spacing w:after="0" w:line="29"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In general, we may not terminate mortgage insurance coverage except in the event there is non-payment of premiums or certain material violations of our mortgage insurance policies. The insured may cancel mortgage insurance coverage at any time at their option or upon mortgage repayment. GSE guidelines generally provide that a borrower meeting certain conditions may require the mortgage servicer to cancel mortgage insurance coverage upon the borrower's request when the principal</w:t>
      </w:r>
    </w:p>
    <w:p>
      <w:pPr>
        <w:sectPr>
          <w:pgSz w:w="11900" w:h="16838" w:orient="portrait"/>
          <w:cols w:equalWidth="0" w:num="1">
            <w:col w:w="11400"/>
          </w:cols>
          <w:pgMar w:left="240" w:top="503" w:right="259"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503" w:right="259" w:bottom="1440" w:gutter="0" w:footer="0" w:header="0"/>
          <w:type w:val="continuous"/>
        </w:sectPr>
      </w:pPr>
    </w:p>
    <w:bookmarkStart w:id="10" w:name="page11"/>
    <w:bookmarkEnd w:id="10"/>
    <w:p>
      <w:pPr>
        <w:ind w:right="20"/>
        <w:spacing w:after="0" w:line="302" w:lineRule="auto"/>
        <w:rPr>
          <w:sz w:val="20"/>
          <w:szCs w:val="20"/>
          <w:color w:val="auto"/>
        </w:rPr>
      </w:pPr>
      <w:r>
        <w:rPr>
          <w:rFonts w:ascii="Arial" w:cs="Arial" w:eastAsia="Arial" w:hAnsi="Arial"/>
          <w:sz w:val="16"/>
          <w:szCs w:val="16"/>
          <w:color w:val="auto"/>
        </w:rPr>
        <w:t>balance of the loan is 80% or less of the property's current value. The Homeowners Protection Act of 1998, or HOPA, also requires the automatic termination of BPMI on most loans when the LTV ratio, based upon the original property value and amortized loan balance, reaches 78%, and provides for cancellation of BPMI upon a borrower's request when the LTV ratio, based on the current value of the property, reaches 80%, upon satisfaction of the conditions set forth in HOPA. In addition, some states impose their own mortgage insurance notice and cancellation requirements on mortgage loan servicers.</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Pool Insurance</w:t>
      </w:r>
    </w:p>
    <w:p>
      <w:pPr>
        <w:spacing w:after="0" w:line="27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Pool insurance is typically used to provide additional credit enhancement for certain secondary market and other mortgage transactions. Pool insurance generally covers the excess of the loss on a defaulted mortgage loan that exceeds the claim payment under the primary coverage, if such loan has primary coverage, as well as the total loss on a defaulted mortgage loan that did not have primary coverage. Pool insurance may have a stated aggregate loss limit for a pool of loans and may also have a deductible under which no losses are paid by the insurer until losses on the pool of loans exceed the deductible. In another variation, generally referred to as modified pool insurance, policies are structured to include an exposure limit for each individual loan as well as an aggregate loss limit or a deductible for the entire pool.</w:t>
      </w:r>
    </w:p>
    <w:p>
      <w:pPr>
        <w:spacing w:after="0" w:line="24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Master Policy</w:t>
      </w:r>
    </w:p>
    <w:p>
      <w:pPr>
        <w:spacing w:after="0" w:line="279"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We issue a master policy to each customer approved as a counterparty by our risk department before accepting their applications for insurance. The master policy, along with its related endorsements and certificates, sets forth the general terms and conditions of our mortgage insurance coverage, including loan eligibility requirements, coverage terms, policy administration, premium payment obligations, exclusions or reductions in coverage, conditions precedent to payment of a claim, claim payment requirements, subrogation and other matters attendant to our coverage.</w:t>
      </w:r>
    </w:p>
    <w:p>
      <w:pPr>
        <w:spacing w:after="0" w:line="225"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Mortgage insurance master policies generally protect mortgage insurers from the risk of material misrepresentations and fraud in the origination of an insured loan by establishing the right to rescind coverage in such event. Pursuant to minimum standards for mortgage insurer master policies instituted by the GSEs and the Federal Housing Finance Agency, or FHFA, for mortgage insurance applications received after October 10, 2014, master policies provide rescission relief for loans that remain current up to 36 months after origination and that have not experienced more than two late payments of 30 days or more and have never been 60 days late, and are permitted to provide rescission relief after 12 payments provided the mortgage insurer can independently validate the representations for which it intends to give rescission relief. The standards require that the master policies reserve rescission rights with respect to fraud committed by the insured or those under its control and certain patterns of fraud. Our master policy forms satisfy these standards. The FHFA and GSEs have initiated a process to revise the minimum standards for mortgage insurer master policies, including with respect to rescission relief, which we have been told will be finalized in early 2017. See "Risk Factors—Risks Relating to Our Business—</w:t>
      </w:r>
      <w:r>
        <w:rPr>
          <w:rFonts w:ascii="Arial" w:cs="Arial" w:eastAsia="Arial" w:hAnsi="Arial"/>
          <w:sz w:val="17"/>
          <w:szCs w:val="17"/>
          <w:i w:val="1"/>
          <w:iCs w:val="1"/>
          <w:color w:val="auto"/>
        </w:rPr>
        <w:t>Changes in the business practices of the GSEs, including actions or</w:t>
      </w:r>
      <w:r>
        <w:rPr>
          <w:rFonts w:ascii="Arial" w:cs="Arial" w:eastAsia="Arial" w:hAnsi="Arial"/>
          <w:sz w:val="17"/>
          <w:szCs w:val="17"/>
          <w:color w:val="auto"/>
        </w:rPr>
        <w:t xml:space="preserve"> </w:t>
      </w:r>
      <w:r>
        <w:rPr>
          <w:rFonts w:ascii="Arial" w:cs="Arial" w:eastAsia="Arial" w:hAnsi="Arial"/>
          <w:sz w:val="17"/>
          <w:szCs w:val="17"/>
          <w:i w:val="1"/>
          <w:iCs w:val="1"/>
          <w:color w:val="auto"/>
        </w:rPr>
        <w:t>decisions to decrease or discontinue the use of mortgage insurance or changes in the GSEs' eligibility requirements for mortgage insurers, could reduce our revenues or adversely affect our profitability and returns</w:t>
      </w:r>
      <w:r>
        <w:rPr>
          <w:rFonts w:ascii="Arial" w:cs="Arial" w:eastAsia="Arial" w:hAnsi="Arial"/>
          <w:sz w:val="17"/>
          <w:szCs w:val="17"/>
          <w:color w:val="auto"/>
        </w:rPr>
        <w:t>" elsewhere in this Annual Report and "—Regulation—Direct U.S. Regulation—GSE Qualified</w:t>
      </w:r>
      <w:r>
        <w:rPr>
          <w:rFonts w:ascii="Arial" w:cs="Arial" w:eastAsia="Arial" w:hAnsi="Arial"/>
          <w:sz w:val="17"/>
          <w:szCs w:val="17"/>
          <w:i w:val="1"/>
          <w:iCs w:val="1"/>
          <w:color w:val="auto"/>
        </w:rPr>
        <w:t xml:space="preserve"> </w:t>
      </w:r>
      <w:r>
        <w:rPr>
          <w:rFonts w:ascii="Arial" w:cs="Arial" w:eastAsia="Arial" w:hAnsi="Arial"/>
          <w:sz w:val="17"/>
          <w:szCs w:val="17"/>
          <w:color w:val="auto"/>
        </w:rPr>
        <w:t>Mortgage Insurer Requirements" below.</w:t>
      </w:r>
    </w:p>
    <w:p>
      <w:pPr>
        <w:spacing w:after="0" w:line="2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Contract Underwriting</w:t>
      </w:r>
    </w:p>
    <w:p>
      <w:pPr>
        <w:spacing w:after="0" w:line="279"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In addition to offering mortgage insurance, we provide contract underwriting services on a limited basis. As a part of these services, we assess whether data provided by the customer relating to a mortgage application complies with the customer's loan underwriting guidelines. These services are provided for loans that require private mortgage insurance, as well as for loans that do not require private mortgage insurance. Under the terms of our contract underwriting agreements with customers and subject to contractual limitations on liability, we agree to indemnify the customer against losses incurred in the event that we make an underwriting error which materially restricts or impairs the saleability of a loan, results in a material reduction in the value of a loan or results in the customer being required to repurchase a loan. The indemnification may be in the form of monetary or other remedies, subject to per loan and annual limitations. See "Risk Factors—Risks Relating to Our Business—</w:t>
      </w:r>
      <w:r>
        <w:rPr>
          <w:rFonts w:ascii="Arial" w:cs="Arial" w:eastAsia="Arial" w:hAnsi="Arial"/>
          <w:sz w:val="16"/>
          <w:szCs w:val="16"/>
          <w:i w:val="1"/>
          <w:iCs w:val="1"/>
          <w:color w:val="auto"/>
        </w:rPr>
        <w:t>We face risks associated with our contract underwriting business."</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Bermuda-Based Insurance and Reinsurance</w:t>
      </w:r>
    </w:p>
    <w:p>
      <w:pPr>
        <w:spacing w:after="0" w:line="279"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8"/>
          <w:szCs w:val="18"/>
          <w:color w:val="auto"/>
        </w:rPr>
        <w:t>We offer mortgage-related insurance and reinsurance through Essent Re, a Class 3A insurance company licensed pursuant to Section 4 of the Bermuda Insurance Act 1978. Essent Re provides insurance or reinsurance relating to the risk in force on loans in reference pools acquired by Freddie Mac and Fannie Mae, including in connection with ACIS and CIRT programs. Essent Re also reinsures 25% of Essent Guaranty, Inc.'s GSE-eligible mortgage insurance NIW originated since July 1, 2014 under a quota share reinsurance agreement.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0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Our Mortgage Insurance Portfolio</w:t>
      </w:r>
    </w:p>
    <w:p>
      <w:pPr>
        <w:spacing w:after="0" w:line="283"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All of our policies in force were written since May 2010. The following data presents information on our primary mortgage insurance portfolio for policies written by Essent Guaranty, Inc.</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Insurance in Force by Policy Year</w:t>
      </w:r>
    </w:p>
    <w:p>
      <w:pPr>
        <w:spacing w:after="0" w:line="279"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following table sets forth our insurance in force, or IIF, as of December 31, 2016, by year of policy origination. IIF refers to the unpaid principal balance of mortgage loans that we insure.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4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Pr>
          <w:p>
            <w:pPr>
              <w:spacing w:after="0"/>
              <w:rPr>
                <w:sz w:val="16"/>
                <w:szCs w:val="16"/>
                <w:color w:val="auto"/>
              </w:rPr>
            </w:pPr>
          </w:p>
        </w:tc>
        <w:tc>
          <w:tcPr>
            <w:tcW w:w="1200" w:type="dxa"/>
            <w:vAlign w:val="bottom"/>
          </w:tcPr>
          <w:p>
            <w:pPr>
              <w:jc w:val="right"/>
              <w:ind w:right="67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80" w:type="dxa"/>
            <w:vAlign w:val="bottom"/>
          </w:tcPr>
          <w:p>
            <w:pPr>
              <w:jc w:val="right"/>
              <w:ind w:right="332"/>
              <w:spacing w:after="0"/>
              <w:rPr>
                <w:sz w:val="20"/>
                <w:szCs w:val="20"/>
                <w:color w:val="auto"/>
              </w:rPr>
            </w:pPr>
            <w:r>
              <w:rPr>
                <w:rFonts w:ascii="Arial" w:cs="Arial" w:eastAsia="Arial" w:hAnsi="Arial"/>
                <w:sz w:val="14"/>
                <w:szCs w:val="14"/>
                <w:b w:val="1"/>
                <w:bCs w:val="1"/>
                <w:color w:val="auto"/>
              </w:rPr>
              <w:t>%</w:t>
            </w:r>
          </w:p>
        </w:tc>
      </w:tr>
      <w:tr>
        <w:trPr>
          <w:trHeight w:val="250"/>
        </w:trPr>
        <w:tc>
          <w:tcPr>
            <w:tcW w:w="86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33,609,553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21,226,878</w:t>
            </w:r>
          </w:p>
        </w:tc>
        <w:tc>
          <w:tcPr>
            <w:tcW w:w="12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25.5</w:t>
            </w:r>
          </w:p>
        </w:tc>
      </w:tr>
      <w:tr>
        <w:trPr>
          <w:trHeight w:val="27"/>
        </w:trPr>
        <w:tc>
          <w:tcPr>
            <w:tcW w:w="8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14,543,735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17.5</w:t>
            </w: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9,440,086</w:t>
            </w:r>
          </w:p>
        </w:tc>
        <w:tc>
          <w:tcPr>
            <w:tcW w:w="12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11.3</w:t>
            </w:r>
          </w:p>
        </w:tc>
      </w:tr>
      <w:tr>
        <w:trPr>
          <w:trHeight w:val="27"/>
        </w:trPr>
        <w:tc>
          <w:tcPr>
            <w:tcW w:w="8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3,843,570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4.6</w:t>
            </w: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571,364</w:t>
            </w:r>
          </w:p>
        </w:tc>
        <w:tc>
          <w:tcPr>
            <w:tcW w:w="12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0.7</w:t>
            </w:r>
          </w:p>
        </w:tc>
      </w:tr>
      <w:tr>
        <w:trPr>
          <w:trHeight w:val="27"/>
        </w:trPr>
        <w:tc>
          <w:tcPr>
            <w:tcW w:w="8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30,336</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0.0</w:t>
            </w:r>
          </w:p>
        </w:tc>
      </w:tr>
      <w:tr>
        <w:trPr>
          <w:trHeight w:val="237"/>
        </w:trPr>
        <w:tc>
          <w:tcPr>
            <w:tcW w:w="8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83,265,522</w:t>
            </w:r>
          </w:p>
        </w:tc>
        <w:tc>
          <w:tcPr>
            <w:tcW w:w="12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8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8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Portfolio Characteristics</w:t>
      </w:r>
    </w:p>
    <w:p>
      <w:pPr>
        <w:spacing w:after="0" w:line="279"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following tables reflect our IIF and risk in force, or RIF, amounts by borrower credit scores at origination, LTV at origination, and IIF by loan type and amortization, each as of December 31, 2016 and 2015. RIF refers to the product of the coverage percentage applied to the unpaid principal balance of mortgage loans that we insure.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Portfolio by Credit Score</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right"/>
              <w:ind w:right="100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86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Total IIF by FICO score</w:t>
            </w:r>
          </w:p>
        </w:tc>
        <w:tc>
          <w:tcPr>
            <w:tcW w:w="220" w:type="dxa"/>
            <w:vAlign w:val="bottom"/>
          </w:tcPr>
          <w:p>
            <w:pPr>
              <w:spacing w:after="0"/>
              <w:rPr>
                <w:sz w:val="12"/>
                <w:szCs w:val="12"/>
                <w:color w:val="auto"/>
              </w:rPr>
            </w:pP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2016</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86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top w:val="single" w:sz="8" w:color="auto"/>
              <w:bottom w:val="single" w:sz="8" w:color="CCEEFF"/>
            </w:tcBorders>
            <w:shd w:val="clear" w:color="auto" w:fill="CCEEFF"/>
          </w:tcPr>
          <w:p>
            <w:pPr>
              <w:jc w:val="right"/>
              <w:ind w:right="5974"/>
              <w:spacing w:after="0"/>
              <w:rPr>
                <w:sz w:val="20"/>
                <w:szCs w:val="20"/>
                <w:color w:val="auto"/>
              </w:rPr>
            </w:pPr>
            <w:r>
              <w:rPr>
                <w:rFonts w:ascii="Arial" w:cs="Arial" w:eastAsia="Arial" w:hAnsi="Arial"/>
                <w:sz w:val="18"/>
                <w:szCs w:val="18"/>
                <w:color w:val="auto"/>
              </w:rPr>
              <w:t>&gt;=760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37,858,422</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30,174,460</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43"/>
        </w:trPr>
        <w:tc>
          <w:tcPr>
            <w:tcW w:w="6740" w:type="dxa"/>
            <w:vAlign w:val="bottom"/>
          </w:tcPr>
          <w:p>
            <w:pPr>
              <w:jc w:val="right"/>
              <w:ind w:right="5874"/>
              <w:spacing w:after="0"/>
              <w:rPr>
                <w:sz w:val="20"/>
                <w:szCs w:val="20"/>
                <w:color w:val="auto"/>
              </w:rPr>
            </w:pPr>
            <w:r>
              <w:rPr>
                <w:rFonts w:ascii="Arial" w:cs="Arial" w:eastAsia="Arial" w:hAnsi="Arial"/>
                <w:sz w:val="18"/>
                <w:szCs w:val="18"/>
                <w:color w:val="auto"/>
              </w:rPr>
              <w:t>740-759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w w:val="99"/>
              </w:rPr>
              <w:t>13,760,610</w:t>
            </w:r>
          </w:p>
        </w:tc>
        <w:tc>
          <w:tcPr>
            <w:tcW w:w="100" w:type="dxa"/>
            <w:vAlign w:val="bottom"/>
          </w:tcPr>
          <w:p>
            <w:pPr>
              <w:spacing w:after="0"/>
              <w:rPr>
                <w:sz w:val="21"/>
                <w:szCs w:val="21"/>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w w:val="99"/>
              </w:rPr>
              <w:t>11,019,729</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jc w:val="right"/>
              <w:ind w:right="5874"/>
              <w:spacing w:after="0"/>
              <w:rPr>
                <w:sz w:val="20"/>
                <w:szCs w:val="20"/>
                <w:color w:val="auto"/>
              </w:rPr>
            </w:pPr>
            <w:r>
              <w:rPr>
                <w:rFonts w:ascii="Arial" w:cs="Arial" w:eastAsia="Arial" w:hAnsi="Arial"/>
                <w:sz w:val="18"/>
                <w:szCs w:val="18"/>
                <w:color w:val="auto"/>
              </w:rPr>
              <w:t>720-739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11,855,648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9,398,659</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6740" w:type="dxa"/>
            <w:vAlign w:val="bottom"/>
          </w:tcPr>
          <w:p>
            <w:pPr>
              <w:jc w:val="right"/>
              <w:ind w:right="5874"/>
              <w:spacing w:after="0"/>
              <w:rPr>
                <w:sz w:val="20"/>
                <w:szCs w:val="20"/>
                <w:color w:val="auto"/>
              </w:rPr>
            </w:pPr>
            <w:r>
              <w:rPr>
                <w:rFonts w:ascii="Arial" w:cs="Arial" w:eastAsia="Arial" w:hAnsi="Arial"/>
                <w:sz w:val="18"/>
                <w:szCs w:val="18"/>
                <w:color w:val="auto"/>
              </w:rPr>
              <w:t>700-719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8,712,971</w:t>
            </w:r>
          </w:p>
        </w:tc>
        <w:tc>
          <w:tcPr>
            <w:tcW w:w="100" w:type="dxa"/>
            <w:vAlign w:val="bottom"/>
          </w:tcPr>
          <w:p>
            <w:pPr>
              <w:spacing w:after="0"/>
              <w:rPr>
                <w:sz w:val="21"/>
                <w:szCs w:val="21"/>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6,507,454</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jc w:val="right"/>
              <w:ind w:right="5874"/>
              <w:spacing w:after="0"/>
              <w:rPr>
                <w:sz w:val="20"/>
                <w:szCs w:val="20"/>
                <w:color w:val="auto"/>
              </w:rPr>
            </w:pPr>
            <w:r>
              <w:rPr>
                <w:rFonts w:ascii="Arial" w:cs="Arial" w:eastAsia="Arial" w:hAnsi="Arial"/>
                <w:sz w:val="18"/>
                <w:szCs w:val="18"/>
                <w:color w:val="auto"/>
              </w:rPr>
              <w:t>680-699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6,611,166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5,030,169</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6740" w:type="dxa"/>
            <w:vAlign w:val="bottom"/>
          </w:tcPr>
          <w:p>
            <w:pPr>
              <w:jc w:val="right"/>
              <w:ind w:right="5974"/>
              <w:spacing w:after="0"/>
              <w:rPr>
                <w:sz w:val="20"/>
                <w:szCs w:val="20"/>
                <w:color w:val="auto"/>
              </w:rPr>
            </w:pPr>
            <w:r>
              <w:rPr>
                <w:rFonts w:ascii="Arial" w:cs="Arial" w:eastAsia="Arial" w:hAnsi="Arial"/>
                <w:sz w:val="18"/>
                <w:szCs w:val="18"/>
                <w:color w:val="auto"/>
              </w:rPr>
              <w:t>&lt;=679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4,466,705</w:t>
            </w:r>
          </w:p>
        </w:tc>
        <w:tc>
          <w:tcPr>
            <w:tcW w:w="100" w:type="dxa"/>
            <w:vAlign w:val="bottom"/>
          </w:tcPr>
          <w:p>
            <w:pPr>
              <w:spacing w:after="0"/>
              <w:rPr>
                <w:sz w:val="21"/>
                <w:szCs w:val="21"/>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3,111,982</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83,265,522</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65,242,453</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right"/>
              <w:ind w:right="100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686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Total RIF by FICO score</w:t>
            </w:r>
          </w:p>
        </w:tc>
        <w:tc>
          <w:tcPr>
            <w:tcW w:w="220" w:type="dxa"/>
            <w:vAlign w:val="bottom"/>
          </w:tcPr>
          <w:p>
            <w:pPr>
              <w:spacing w:after="0"/>
              <w:rPr>
                <w:sz w:val="12"/>
                <w:szCs w:val="12"/>
                <w:color w:val="auto"/>
              </w:rPr>
            </w:pP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2016</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86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top w:val="single" w:sz="8" w:color="auto"/>
              <w:bottom w:val="single" w:sz="8" w:color="CCEEFF"/>
            </w:tcBorders>
            <w:shd w:val="clear" w:color="auto" w:fill="CCEEFF"/>
          </w:tcPr>
          <w:p>
            <w:pPr>
              <w:jc w:val="right"/>
              <w:ind w:right="5974"/>
              <w:spacing w:after="0"/>
              <w:rPr>
                <w:sz w:val="20"/>
                <w:szCs w:val="20"/>
                <w:color w:val="auto"/>
              </w:rPr>
            </w:pPr>
            <w:r>
              <w:rPr>
                <w:rFonts w:ascii="Arial" w:cs="Arial" w:eastAsia="Arial" w:hAnsi="Arial"/>
                <w:sz w:val="18"/>
                <w:szCs w:val="18"/>
                <w:color w:val="auto"/>
              </w:rPr>
              <w:t>&gt;=760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9,319,522</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7,379,053</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43"/>
        </w:trPr>
        <w:tc>
          <w:tcPr>
            <w:tcW w:w="6740" w:type="dxa"/>
            <w:vAlign w:val="bottom"/>
          </w:tcPr>
          <w:p>
            <w:pPr>
              <w:jc w:val="right"/>
              <w:ind w:right="5874"/>
              <w:spacing w:after="0"/>
              <w:rPr>
                <w:sz w:val="20"/>
                <w:szCs w:val="20"/>
                <w:color w:val="auto"/>
              </w:rPr>
            </w:pPr>
            <w:r>
              <w:rPr>
                <w:rFonts w:ascii="Arial" w:cs="Arial" w:eastAsia="Arial" w:hAnsi="Arial"/>
                <w:sz w:val="18"/>
                <w:szCs w:val="18"/>
                <w:color w:val="auto"/>
              </w:rPr>
              <w:t>740-759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3,434,392</w:t>
            </w:r>
          </w:p>
        </w:tc>
        <w:tc>
          <w:tcPr>
            <w:tcW w:w="100" w:type="dxa"/>
            <w:vAlign w:val="bottom"/>
          </w:tcPr>
          <w:p>
            <w:pPr>
              <w:spacing w:after="0"/>
              <w:rPr>
                <w:sz w:val="21"/>
                <w:szCs w:val="21"/>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2,735,754</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jc w:val="right"/>
              <w:ind w:right="5874"/>
              <w:spacing w:after="0"/>
              <w:rPr>
                <w:sz w:val="20"/>
                <w:szCs w:val="20"/>
                <w:color w:val="auto"/>
              </w:rPr>
            </w:pPr>
            <w:r>
              <w:rPr>
                <w:rFonts w:ascii="Arial" w:cs="Arial" w:eastAsia="Arial" w:hAnsi="Arial"/>
                <w:sz w:val="18"/>
                <w:szCs w:val="18"/>
                <w:color w:val="auto"/>
              </w:rPr>
              <w:t>720-739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2,970,941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2,346,971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43"/>
        </w:trPr>
        <w:tc>
          <w:tcPr>
            <w:tcW w:w="6740" w:type="dxa"/>
            <w:vAlign w:val="bottom"/>
          </w:tcPr>
          <w:p>
            <w:pPr>
              <w:jc w:val="right"/>
              <w:ind w:right="5874"/>
              <w:spacing w:after="0"/>
              <w:rPr>
                <w:sz w:val="20"/>
                <w:szCs w:val="20"/>
                <w:color w:val="auto"/>
              </w:rPr>
            </w:pPr>
            <w:r>
              <w:rPr>
                <w:rFonts w:ascii="Arial" w:cs="Arial" w:eastAsia="Arial" w:hAnsi="Arial"/>
                <w:sz w:val="18"/>
                <w:szCs w:val="18"/>
                <w:color w:val="auto"/>
              </w:rPr>
              <w:t>700-719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2,151,657</w:t>
            </w:r>
          </w:p>
        </w:tc>
        <w:tc>
          <w:tcPr>
            <w:tcW w:w="100" w:type="dxa"/>
            <w:vAlign w:val="bottom"/>
          </w:tcPr>
          <w:p>
            <w:pPr>
              <w:spacing w:after="0"/>
              <w:rPr>
                <w:sz w:val="21"/>
                <w:szCs w:val="21"/>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1,592,463</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jc w:val="right"/>
              <w:ind w:right="5874"/>
              <w:spacing w:after="0"/>
              <w:rPr>
                <w:sz w:val="20"/>
                <w:szCs w:val="20"/>
                <w:color w:val="auto"/>
              </w:rPr>
            </w:pPr>
            <w:r>
              <w:rPr>
                <w:rFonts w:ascii="Arial" w:cs="Arial" w:eastAsia="Arial" w:hAnsi="Arial"/>
                <w:sz w:val="18"/>
                <w:szCs w:val="18"/>
                <w:color w:val="auto"/>
              </w:rPr>
              <w:t>680-699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1,656,791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1,255,734</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6740" w:type="dxa"/>
            <w:vAlign w:val="bottom"/>
          </w:tcPr>
          <w:p>
            <w:pPr>
              <w:jc w:val="right"/>
              <w:ind w:right="5974"/>
              <w:spacing w:after="0"/>
              <w:rPr>
                <w:sz w:val="20"/>
                <w:szCs w:val="20"/>
                <w:color w:val="auto"/>
              </w:rPr>
            </w:pPr>
            <w:r>
              <w:rPr>
                <w:rFonts w:ascii="Arial" w:cs="Arial" w:eastAsia="Arial" w:hAnsi="Arial"/>
                <w:sz w:val="18"/>
                <w:szCs w:val="18"/>
                <w:color w:val="auto"/>
              </w:rPr>
              <w:t>&lt;=679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1,094,014</w:t>
            </w:r>
          </w:p>
        </w:tc>
        <w:tc>
          <w:tcPr>
            <w:tcW w:w="100" w:type="dxa"/>
            <w:vAlign w:val="bottom"/>
          </w:tcPr>
          <w:p>
            <w:pPr>
              <w:spacing w:after="0"/>
              <w:rPr>
                <w:sz w:val="21"/>
                <w:szCs w:val="21"/>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763,199</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20,627,317</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16,073,174</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9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499"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i w:val="1"/>
          <w:iCs w:val="1"/>
          <w:color w:val="auto"/>
        </w:rPr>
        <w:t>Portfolio by LTV</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jc w:val="center"/>
              <w:ind w:right="480"/>
              <w:spacing w:after="0"/>
              <w:rPr>
                <w:sz w:val="20"/>
                <w:szCs w:val="20"/>
                <w:color w:val="auto"/>
              </w:rPr>
            </w:pPr>
            <w:r>
              <w:rPr>
                <w:rFonts w:ascii="Arial" w:cs="Arial" w:eastAsia="Arial" w:hAnsi="Arial"/>
                <w:sz w:val="14"/>
                <w:szCs w:val="14"/>
                <w:b w:val="1"/>
                <w:bCs w:val="1"/>
                <w:color w:val="auto"/>
                <w:w w:val="90"/>
              </w:rPr>
              <w:t>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38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Total IIF by LTV</w:t>
            </w: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2016</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3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85.00% and below</w:t>
            </w:r>
          </w:p>
        </w:tc>
        <w:tc>
          <w:tcPr>
            <w:tcW w:w="36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9,756,578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7,341,316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85.01% to 90.00%</w:t>
            </w:r>
          </w:p>
        </w:tc>
        <w:tc>
          <w:tcPr>
            <w:tcW w:w="3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27,409,202</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w w:val="90"/>
              </w:rPr>
              <w:t>22,337,975</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90.01% to 95.00%</w:t>
            </w:r>
          </w:p>
        </w:tc>
        <w:tc>
          <w:tcPr>
            <w:tcW w:w="3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42,854,633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0"/>
              </w:rPr>
              <w:t>34,035,682</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95.01% and above</w:t>
            </w:r>
          </w:p>
        </w:tc>
        <w:tc>
          <w:tcPr>
            <w:tcW w:w="3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3,245,109</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1,527,480</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80" w:type="dxa"/>
            <w:vAlign w:val="bottom"/>
            <w:tcBorders>
              <w:bottom w:val="single" w:sz="8" w:color="CCEEFF"/>
            </w:tcBorders>
            <w:gridSpan w:val="4"/>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83,265,522</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0"/>
              </w:rPr>
              <w:t>65,242,453</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center"/>
              <w:ind w:right="480"/>
              <w:spacing w:after="0"/>
              <w:rPr>
                <w:sz w:val="20"/>
                <w:szCs w:val="20"/>
                <w:color w:val="auto"/>
              </w:rPr>
            </w:pPr>
            <w:r>
              <w:rPr>
                <w:rFonts w:ascii="Arial" w:cs="Arial" w:eastAsia="Arial" w:hAnsi="Arial"/>
                <w:sz w:val="14"/>
                <w:szCs w:val="14"/>
                <w:b w:val="1"/>
                <w:bCs w:val="1"/>
                <w:color w:val="auto"/>
                <w:w w:val="90"/>
              </w:rPr>
              <w:t>December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38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Total RIF by LTV</w:t>
            </w: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2016</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3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85.00% and below</w:t>
            </w:r>
          </w:p>
        </w:tc>
        <w:tc>
          <w:tcPr>
            <w:tcW w:w="36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1,101,947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826,531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85.01% to 90.00%</w:t>
            </w:r>
          </w:p>
        </w:tc>
        <w:tc>
          <w:tcPr>
            <w:tcW w:w="3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6,512,613</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5,310,050</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90.01% to 95.00%</w:t>
            </w:r>
          </w:p>
        </w:tc>
        <w:tc>
          <w:tcPr>
            <w:tcW w:w="3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12,234,306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9,646,406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95.01% and above</w:t>
            </w:r>
          </w:p>
        </w:tc>
        <w:tc>
          <w:tcPr>
            <w:tcW w:w="3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778,451</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290,187</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80" w:type="dxa"/>
            <w:vAlign w:val="bottom"/>
            <w:tcBorders>
              <w:bottom w:val="single" w:sz="8" w:color="CCEEFF"/>
            </w:tcBorders>
            <w:gridSpan w:val="4"/>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20,627,317</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0"/>
              </w:rPr>
              <w:t>16,073,174</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380" w:type="dxa"/>
            <w:vAlign w:val="bottom"/>
          </w:tcPr>
          <w:p>
            <w:pPr>
              <w:spacing w:after="0"/>
              <w:rPr>
                <w:sz w:val="24"/>
                <w:szCs w:val="24"/>
                <w:color w:val="auto"/>
              </w:rPr>
            </w:pPr>
          </w:p>
        </w:tc>
        <w:tc>
          <w:tcPr>
            <w:tcW w:w="4840" w:type="dxa"/>
            <w:vAlign w:val="bottom"/>
            <w:gridSpan w:val="8"/>
          </w:tcPr>
          <w:p>
            <w:pPr>
              <w:jc w:val="right"/>
              <w:ind w:right="1100"/>
              <w:spacing w:after="0"/>
              <w:rPr>
                <w:sz w:val="20"/>
                <w:szCs w:val="20"/>
                <w:color w:val="auto"/>
              </w:rPr>
            </w:pPr>
            <w:r>
              <w:rPr>
                <w:rFonts w:ascii="Arial" w:cs="Arial" w:eastAsia="Arial" w:hAnsi="Arial"/>
                <w:sz w:val="18"/>
                <w:szCs w:val="18"/>
                <w:i w:val="1"/>
                <w:iCs w:val="1"/>
                <w:color w:val="auto"/>
              </w:rPr>
              <w:t>Portfolio by Loan Amortization Period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38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Total IIF by Loan Amortization Period</w:t>
            </w: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3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FRM 30 years and higher</w:t>
            </w:r>
          </w:p>
        </w:tc>
        <w:tc>
          <w:tcPr>
            <w:tcW w:w="34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5"/>
              </w:rPr>
              <w:t>75,428,964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center"/>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0"/>
              </w:rPr>
              <w:t>58,344,666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FRM 20-25 years</w:t>
            </w:r>
          </w:p>
        </w:tc>
        <w:tc>
          <w:tcPr>
            <w:tcW w:w="3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2,113,529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1,515,756</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FRM 15 years</w:t>
            </w:r>
          </w:p>
        </w:tc>
        <w:tc>
          <w:tcPr>
            <w:tcW w:w="3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3,066,893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2,702,723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ARM 5 years and higher</w:t>
            </w:r>
          </w:p>
        </w:tc>
        <w:tc>
          <w:tcPr>
            <w:tcW w:w="3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2,656,136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2,679,308</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5"/>
              </w:rPr>
              <w:t>83,265,522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center"/>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0"/>
              </w:rPr>
              <w:t>65,242,453</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Portfolio by Geography</w:t>
      </w:r>
    </w:p>
    <w:p>
      <w:pPr>
        <w:spacing w:after="0" w:line="225"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Our in force portfolio is geographically diverse. As of December 31, 2016, only three states accounted for greater than 5% of our portfolio and no single metropolitan statistical area accounted for greater than 3% of our portfolio, as measured by either IIF or RIF. The following tables provide detail of the IIF and RIF in our top ten most concentrated states and our top ten most concentrated U.S. metropolitan statistical areas as of December 31, 2016 and 2015.</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i w:val="1"/>
          <w:iCs w:val="1"/>
          <w:color w:val="auto"/>
        </w:rPr>
        <w:t>Top Ten States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40" w:type="dxa"/>
            <w:vAlign w:val="bottom"/>
          </w:tcPr>
          <w:p>
            <w:pPr>
              <w:spacing w:after="0"/>
              <w:rPr>
                <w:sz w:val="16"/>
                <w:szCs w:val="16"/>
                <w:color w:val="auto"/>
              </w:rPr>
            </w:pPr>
          </w:p>
        </w:tc>
        <w:tc>
          <w:tcPr>
            <w:tcW w:w="208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93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2015</w:t>
            </w:r>
          </w:p>
        </w:tc>
      </w:tr>
      <w:tr>
        <w:trPr>
          <w:trHeight w:val="25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IIF by State</w:t>
            </w: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CA</w:t>
            </w:r>
          </w:p>
        </w:tc>
        <w:tc>
          <w:tcPr>
            <w:tcW w:w="98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TX</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8.3</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FL</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6.2</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IL</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4.1</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NC</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NJ</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3.4</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MN</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2.9</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AZ</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All Others</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50.5</w:t>
            </w:r>
          </w:p>
        </w:tc>
      </w:tr>
      <w:tr>
        <w:trPr>
          <w:trHeight w:val="27"/>
        </w:trPr>
        <w:tc>
          <w:tcPr>
            <w:tcW w:w="9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9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208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698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980" w:type="dxa"/>
            <w:vAlign w:val="bottom"/>
          </w:tcPr>
          <w:p>
            <w:pPr>
              <w:jc w:val="right"/>
              <w:ind w:right="2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RIF by State</w:t>
            </w:r>
          </w:p>
        </w:tc>
        <w:tc>
          <w:tcPr>
            <w:tcW w:w="60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CA</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6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TX</w:t>
            </w:r>
          </w:p>
        </w:tc>
        <w:tc>
          <w:tcPr>
            <w:tcW w:w="69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FL</w:t>
            </w:r>
          </w:p>
        </w:tc>
        <w:tc>
          <w:tcPr>
            <w:tcW w:w="6980" w:type="dxa"/>
            <w:vAlign w:val="bottom"/>
            <w:gridSpan w:val="2"/>
          </w:tcPr>
          <w:p>
            <w:pPr>
              <w:jc w:val="right"/>
              <w:ind w:right="108"/>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6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w:t>
            </w:r>
          </w:p>
        </w:tc>
        <w:tc>
          <w:tcPr>
            <w:tcW w:w="69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IL</w:t>
            </w:r>
          </w:p>
        </w:tc>
        <w:tc>
          <w:tcPr>
            <w:tcW w:w="6980" w:type="dxa"/>
            <w:vAlign w:val="bottom"/>
            <w:gridSpan w:val="2"/>
          </w:tcPr>
          <w:p>
            <w:pPr>
              <w:jc w:val="right"/>
              <w:ind w:right="108"/>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6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NC</w:t>
            </w:r>
          </w:p>
        </w:tc>
        <w:tc>
          <w:tcPr>
            <w:tcW w:w="69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GA</w:t>
            </w:r>
          </w:p>
        </w:tc>
        <w:tc>
          <w:tcPr>
            <w:tcW w:w="6980" w:type="dxa"/>
            <w:vAlign w:val="bottom"/>
            <w:gridSpan w:val="2"/>
          </w:tcPr>
          <w:p>
            <w:pPr>
              <w:jc w:val="right"/>
              <w:ind w:right="108"/>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6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NJ</w:t>
            </w:r>
          </w:p>
        </w:tc>
        <w:tc>
          <w:tcPr>
            <w:tcW w:w="69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MN</w:t>
            </w:r>
          </w:p>
        </w:tc>
        <w:tc>
          <w:tcPr>
            <w:tcW w:w="6980" w:type="dxa"/>
            <w:vAlign w:val="bottom"/>
            <w:gridSpan w:val="2"/>
          </w:tcPr>
          <w:p>
            <w:pPr>
              <w:jc w:val="right"/>
              <w:ind w:right="108"/>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6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OH</w:t>
            </w:r>
          </w:p>
        </w:tc>
        <w:tc>
          <w:tcPr>
            <w:tcW w:w="69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All Others</w:t>
            </w:r>
          </w:p>
        </w:tc>
        <w:tc>
          <w:tcPr>
            <w:tcW w:w="6980" w:type="dxa"/>
            <w:vAlign w:val="bottom"/>
            <w:gridSpan w:val="2"/>
          </w:tcPr>
          <w:p>
            <w:pPr>
              <w:jc w:val="right"/>
              <w:ind w:right="108"/>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60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bottom w:val="single" w:sz="8" w:color="CCEEFF"/>
            </w:tcBorders>
            <w:vMerge w:val="restart"/>
          </w:tcPr>
          <w:p>
            <w:pPr>
              <w:jc w:val="right"/>
              <w:ind w:right="3491"/>
              <w:spacing w:after="0"/>
              <w:rPr>
                <w:sz w:val="20"/>
                <w:szCs w:val="20"/>
                <w:color w:val="auto"/>
              </w:rPr>
            </w:pPr>
            <w:r>
              <w:rPr>
                <w:rFonts w:ascii="Arial" w:cs="Arial" w:eastAsia="Arial" w:hAnsi="Arial"/>
                <w:sz w:val="18"/>
                <w:szCs w:val="18"/>
                <w:color w:val="auto"/>
              </w:rPr>
              <w:t>9</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340" w:type="dxa"/>
            <w:vAlign w:val="bottom"/>
          </w:tcPr>
          <w:p>
            <w:pPr>
              <w:spacing w:after="0"/>
              <w:rPr>
                <w:sz w:val="24"/>
                <w:szCs w:val="24"/>
                <w:color w:val="auto"/>
              </w:rPr>
            </w:pPr>
          </w:p>
        </w:tc>
        <w:tc>
          <w:tcPr>
            <w:tcW w:w="60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i w:val="1"/>
          <w:iCs w:val="1"/>
          <w:color w:val="auto"/>
        </w:rPr>
        <w:t>Top Ten Metropolitan Statistical Areas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40" w:type="dxa"/>
            <w:vAlign w:val="bottom"/>
          </w:tcPr>
          <w:p>
            <w:pPr>
              <w:spacing w:after="0"/>
              <w:rPr>
                <w:sz w:val="16"/>
                <w:szCs w:val="16"/>
                <w:color w:val="auto"/>
              </w:rPr>
            </w:pPr>
          </w:p>
        </w:tc>
        <w:tc>
          <w:tcPr>
            <w:tcW w:w="208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93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2015</w:t>
            </w:r>
          </w:p>
        </w:tc>
      </w:tr>
      <w:tr>
        <w:trPr>
          <w:trHeight w:val="25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IIF by Metropolitan Statistical Area</w:t>
            </w: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Chicago-Naperville-Arlington Heights, IL</w:t>
            </w: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New York-Jersey City-White Plains, NY-NJ</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Minneapolis-St. Paul-Bloomington, MN-WI</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2.5</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Phoenix-Mesa-Scottsdale, AZ</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Houston-The Woodlands-Sugar Land, TX</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2.7</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Atlanta-Sandy Springs-Roswell, GA</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Seattle-Bellevue-Everett, WA</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2.3</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Washington-Arlington-Alexandria, DC-VA-MD-WV</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Los Angeles-Long Beach-Glendale, CA</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2.1</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Dallas-Plano-Irving, TX</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All Others</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75.8</w:t>
            </w:r>
          </w:p>
        </w:tc>
      </w:tr>
      <w:tr>
        <w:trPr>
          <w:trHeight w:val="27"/>
        </w:trPr>
        <w:tc>
          <w:tcPr>
            <w:tcW w:w="9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9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40" w:type="dxa"/>
            <w:vAlign w:val="bottom"/>
          </w:tcPr>
          <w:p>
            <w:pPr>
              <w:spacing w:after="0"/>
              <w:rPr>
                <w:sz w:val="16"/>
                <w:szCs w:val="16"/>
                <w:color w:val="auto"/>
              </w:rPr>
            </w:pPr>
          </w:p>
        </w:tc>
        <w:tc>
          <w:tcPr>
            <w:tcW w:w="208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93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2015</w:t>
            </w:r>
          </w:p>
        </w:tc>
      </w:tr>
      <w:tr>
        <w:trPr>
          <w:trHeight w:val="25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RIF by Metropolitan Statistical Area</w:t>
            </w: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Minneapolis-St. Paul-Bloomington, MN-WI</w:t>
            </w: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Chicago-Naperville-Arlington Heights, IL</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New York-Jersey City-White Plains, NY-NJ</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2.7</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Houston-The Woodlands-Sugar Land, TX</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Atlanta-Sandy Springs-Roswell, GA</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2.6</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Phoenix-Mesa-Scottsdale, AZ</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Seattle-Bellevue-Everett, WA</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2.3</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Washington-Arlington-Alexandria, DC-VA-MD-WV</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Dallas-Plano-Irving, TX</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2.0</w:t>
            </w:r>
          </w:p>
        </w:tc>
      </w:tr>
      <w:tr>
        <w:trPr>
          <w:trHeight w:val="27"/>
        </w:trPr>
        <w:tc>
          <w:tcPr>
            <w:tcW w:w="9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 Angeles-Long Beach-Glendale, CA</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w:t>
            </w:r>
          </w:p>
        </w:tc>
      </w:tr>
      <w:tr>
        <w:trPr>
          <w:trHeight w:val="243"/>
        </w:trPr>
        <w:tc>
          <w:tcPr>
            <w:tcW w:w="9340" w:type="dxa"/>
            <w:vAlign w:val="bottom"/>
          </w:tcPr>
          <w:p>
            <w:pPr>
              <w:ind w:left="180"/>
              <w:spacing w:after="0"/>
              <w:rPr>
                <w:sz w:val="20"/>
                <w:szCs w:val="20"/>
                <w:color w:val="auto"/>
              </w:rPr>
            </w:pPr>
            <w:r>
              <w:rPr>
                <w:rFonts w:ascii="Arial" w:cs="Arial" w:eastAsia="Arial" w:hAnsi="Arial"/>
                <w:sz w:val="18"/>
                <w:szCs w:val="18"/>
                <w:color w:val="auto"/>
              </w:rPr>
              <w:t>All Others</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75.8</w:t>
            </w:r>
          </w:p>
        </w:tc>
      </w:tr>
      <w:tr>
        <w:trPr>
          <w:trHeight w:val="27"/>
        </w:trPr>
        <w:tc>
          <w:tcPr>
            <w:tcW w:w="9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9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Our customers consist of originators of residential mortgage loans, such as regulated depository institutions, mortgage banks, credit unions and other lenders. We classify our customers into two broad categories and target our marketing efforts based on the customer's operating model and whether decisions to select a mortgage insurance provider are made centrally, or at the field or customer branch level:</w:t>
      </w:r>
    </w:p>
    <w:p>
      <w:pPr>
        <w:spacing w:after="0" w:line="181" w:lineRule="exact"/>
        <w:rPr>
          <w:sz w:val="20"/>
          <w:szCs w:val="20"/>
          <w:color w:val="auto"/>
        </w:rPr>
      </w:pPr>
    </w:p>
    <w:p>
      <w:pPr>
        <w:ind w:left="660" w:right="120" w:hanging="247"/>
        <w:spacing w:after="0" w:line="28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Centralized</w:t>
      </w:r>
      <w:r>
        <w:rPr>
          <w:rFonts w:ascii="Arial" w:cs="Arial" w:eastAsia="Arial" w:hAnsi="Arial"/>
          <w:sz w:val="17"/>
          <w:szCs w:val="17"/>
          <w:color w:val="auto"/>
        </w:rPr>
        <w:t>—Centralized customers make decisions regarding the placement and allocation of mortgage insurance among their approved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mortgage insurers at the corporate level. Generally, these customers consist of the larger, national mortgage originators which originate loans across multiple states, but there are several regional and mid-size lenders which use this method as well.</w:t>
      </w:r>
    </w:p>
    <w:p>
      <w:pPr>
        <w:spacing w:after="0" w:line="165" w:lineRule="exact"/>
        <w:rPr>
          <w:rFonts w:ascii="Arial" w:cs="Arial" w:eastAsia="Arial" w:hAnsi="Arial"/>
          <w:sz w:val="17"/>
          <w:szCs w:val="17"/>
          <w:color w:val="auto"/>
        </w:rPr>
      </w:pPr>
    </w:p>
    <w:p>
      <w:pPr>
        <w:jc w:val="both"/>
        <w:ind w:left="660" w:right="100" w:hanging="247"/>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Decentralized</w:t>
      </w:r>
      <w:r>
        <w:rPr>
          <w:rFonts w:ascii="Arial" w:cs="Arial" w:eastAsia="Arial" w:hAnsi="Arial"/>
          <w:sz w:val="18"/>
          <w:szCs w:val="18"/>
          <w:color w:val="auto"/>
        </w:rPr>
        <w:t>—Decentralized customers make mortgage insurance purchasing decisions at the field or branch level. These customers generally are</w:t>
      </w:r>
      <w:r>
        <w:rPr>
          <w:rFonts w:ascii="Arial" w:cs="Arial" w:eastAsia="Arial" w:hAnsi="Arial"/>
          <w:sz w:val="18"/>
          <w:szCs w:val="18"/>
          <w:i w:val="1"/>
          <w:iCs w:val="1"/>
          <w:color w:val="auto"/>
        </w:rPr>
        <w:t xml:space="preserve"> </w:t>
      </w:r>
      <w:r>
        <w:rPr>
          <w:rFonts w:ascii="Arial" w:cs="Arial" w:eastAsia="Arial" w:hAnsi="Arial"/>
          <w:sz w:val="18"/>
          <w:szCs w:val="18"/>
          <w:color w:val="auto"/>
        </w:rPr>
        <w:t>more prevalent with regional and mid-size lenders which originate mortgages in a smaller geographic footprint, but are also seen, on a limited basis, among some national lenders.</w:t>
      </w:r>
    </w:p>
    <w:p>
      <w:pPr>
        <w:sectPr>
          <w:pgSz w:w="11900" w:h="16838" w:orient="portrait"/>
          <w:cols w:equalWidth="0" w:num="1">
            <w:col w:w="11420"/>
          </w:cols>
          <w:pgMar w:left="240" w:top="584"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84" w:right="239" w:bottom="1440" w:gutter="0" w:footer="0" w:header="0"/>
          <w:type w:val="continuous"/>
        </w:sectPr>
      </w:pPr>
    </w:p>
    <w:bookmarkStart w:id="15" w:name="page16"/>
    <w:bookmarkEnd w:id="15"/>
    <w:p>
      <w:pPr>
        <w:jc w:val="both"/>
        <w:ind w:right="280" w:firstLine="432"/>
        <w:spacing w:after="0" w:line="312" w:lineRule="auto"/>
        <w:rPr>
          <w:sz w:val="20"/>
          <w:szCs w:val="20"/>
          <w:color w:val="auto"/>
        </w:rPr>
      </w:pPr>
      <w:r>
        <w:rPr>
          <w:rFonts w:ascii="Arial" w:cs="Arial" w:eastAsia="Arial" w:hAnsi="Arial"/>
          <w:sz w:val="16"/>
          <w:szCs w:val="16"/>
          <w:color w:val="auto"/>
        </w:rPr>
        <w:t>We seek to maintain strong institutional relationships with all our customers. We provide them with ongoing risk, sales, training, service and product development support. We maintain regular and ongoing dialogue with our customers to develop an in-depth understanding of their strategies and needs, to share market perspectives and industry best practices, and to offer tailored solutions and training where necessary on a local level.</w:t>
      </w:r>
    </w:p>
    <w:p>
      <w:pPr>
        <w:spacing w:after="0" w:line="147"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following table provides detail on the percentage of our total NIW generated by centralized and decentralized customers, respectively, during the years ended December 31, 2016, 2015 and 2014.</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48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w w:val="96"/>
              </w:rPr>
              <w:t>Year Ended December 31,</w:t>
            </w:r>
          </w:p>
        </w:tc>
        <w:tc>
          <w:tcPr>
            <w:tcW w:w="70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2014</w:t>
            </w: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Centralized</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Decentralized</w:t>
            </w:r>
          </w:p>
        </w:tc>
        <w:tc>
          <w:tcPr>
            <w:tcW w:w="1000" w:type="dxa"/>
            <w:vAlign w:val="bottom"/>
          </w:tcPr>
          <w:p>
            <w:pPr>
              <w:jc w:val="right"/>
              <w:ind w:right="117"/>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94"/>
              <w:spacing w:after="0"/>
              <w:rPr>
                <w:sz w:val="20"/>
                <w:szCs w:val="20"/>
                <w:color w:val="auto"/>
              </w:rPr>
            </w:pPr>
            <w:r>
              <w:rPr>
                <w:rFonts w:ascii="Arial" w:cs="Arial" w:eastAsia="Arial" w:hAnsi="Arial"/>
                <w:sz w:val="18"/>
                <w:szCs w:val="18"/>
                <w:color w:val="auto"/>
              </w:rPr>
              <w:t>51.8</w:t>
            </w:r>
          </w:p>
        </w:tc>
      </w:tr>
      <w:tr>
        <w:trPr>
          <w:trHeight w:val="27"/>
        </w:trPr>
        <w:tc>
          <w:tcPr>
            <w:tcW w:w="82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8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had master policy relationships with approximately 1,360 customers as of December 31, 2016.</w:t>
      </w:r>
    </w:p>
    <w:p>
      <w:pPr>
        <w:spacing w:after="0" w:line="22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As we have grown, we have successfully diversified our customer base. Our top ten customers generated 35.1% of our NIW on a flow basis during the year ended December 31, 2016, compared to 36.6% and 42.6% for the years ended December 31, 2015 and 2014, respectively. For the year ended December 31, 2016, one customer, Wells Fargo, exceeded 10% of our consolidated revenue. The loss of any of our larger customers could have a material adverse impact on us and our business. See "Risk Factors—Risks Relating to Our Business—</w:t>
      </w:r>
      <w:r>
        <w:rPr>
          <w:rFonts w:ascii="Arial" w:cs="Arial" w:eastAsia="Arial" w:hAnsi="Arial"/>
          <w:sz w:val="18"/>
          <w:szCs w:val="18"/>
          <w:i w:val="1"/>
          <w:iCs w:val="1"/>
          <w:color w:val="auto"/>
        </w:rPr>
        <w:t>Our revenues, profitability and returns would decline if we lose</w:t>
      </w:r>
      <w:r>
        <w:rPr>
          <w:rFonts w:ascii="Arial" w:cs="Arial" w:eastAsia="Arial" w:hAnsi="Arial"/>
          <w:sz w:val="18"/>
          <w:szCs w:val="18"/>
          <w:color w:val="auto"/>
        </w:rPr>
        <w:t xml:space="preserve"> </w:t>
      </w:r>
      <w:r>
        <w:rPr>
          <w:rFonts w:ascii="Arial" w:cs="Arial" w:eastAsia="Arial" w:hAnsi="Arial"/>
          <w:sz w:val="18"/>
          <w:szCs w:val="18"/>
          <w:i w:val="1"/>
          <w:iCs w:val="1"/>
          <w:color w:val="auto"/>
        </w:rPr>
        <w:t>a significant customer</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Our sales and marketing efforts are designed to help us establish and maintain in-depth, quality customer relationships. We organize our sales and marketing efforts based on our centralized and decentralized customer segmentation, giving additional consideration to a customer's geographic location and whether its lending footprint is national or regional in nature.</w:t>
      </w:r>
    </w:p>
    <w:p>
      <w:pPr>
        <w:spacing w:after="0" w:line="181"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We emphasize a collaborative approach with our customers that includes a number of educational offerings and joint product development and marketing initiatives:</w:t>
      </w:r>
    </w:p>
    <w:p>
      <w:pPr>
        <w:spacing w:after="0" w:line="170" w:lineRule="exact"/>
        <w:rPr>
          <w:sz w:val="20"/>
          <w:szCs w:val="20"/>
          <w:color w:val="auto"/>
        </w:rPr>
      </w:pPr>
    </w:p>
    <w:p>
      <w:pPr>
        <w:ind w:left="660" w:right="120" w:hanging="247"/>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Regular Portfolio and Risk Management Reviews. </w:t>
      </w:r>
      <w:r>
        <w:rPr>
          <w:rFonts w:ascii="Arial" w:cs="Arial" w:eastAsia="Arial" w:hAnsi="Arial"/>
          <w:sz w:val="18"/>
          <w:szCs w:val="18"/>
          <w:color w:val="auto"/>
        </w:rPr>
        <w:t>We conduct periodic insured mortgage portfolio reviews with customers, including detailed loan</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metrics.</w:t>
      </w:r>
    </w:p>
    <w:p>
      <w:pPr>
        <w:spacing w:after="0" w:line="170" w:lineRule="exact"/>
        <w:rPr>
          <w:rFonts w:ascii="Arial" w:cs="Arial" w:eastAsia="Arial" w:hAnsi="Arial"/>
          <w:sz w:val="18"/>
          <w:szCs w:val="18"/>
          <w:color w:val="auto"/>
        </w:rPr>
      </w:pPr>
    </w:p>
    <w:p>
      <w:pPr>
        <w:ind w:left="660" w:right="140" w:hanging="247"/>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Joint Product Development and Marketing Initiatives. </w:t>
      </w:r>
      <w:r>
        <w:rPr>
          <w:rFonts w:ascii="Arial" w:cs="Arial" w:eastAsia="Arial" w:hAnsi="Arial"/>
          <w:sz w:val="18"/>
          <w:szCs w:val="18"/>
          <w:color w:val="auto"/>
        </w:rPr>
        <w:t>We emphasize the development of specialized products and programs that provide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for customers and address targeted segments of the market. We recognize the value in developing new products collaboratively with our customers. We also work closely with customers to understand their strategic priorities and business objectives while identifying opportunities that will enhance and complement the customers' marketing activities.</w:t>
      </w:r>
    </w:p>
    <w:p>
      <w:pPr>
        <w:spacing w:after="0" w:line="186" w:lineRule="exact"/>
        <w:rPr>
          <w:rFonts w:ascii="Arial" w:cs="Arial" w:eastAsia="Arial" w:hAnsi="Arial"/>
          <w:sz w:val="18"/>
          <w:szCs w:val="18"/>
          <w:color w:val="auto"/>
        </w:rPr>
      </w:pPr>
    </w:p>
    <w:p>
      <w:pPr>
        <w:ind w:left="660" w:right="80" w:hanging="247"/>
        <w:spacing w:after="0" w:line="25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Customer Service, Support and Trainings. </w:t>
      </w:r>
      <w:r>
        <w:rPr>
          <w:rFonts w:ascii="Arial" w:cs="Arial" w:eastAsia="Arial" w:hAnsi="Arial"/>
          <w:sz w:val="18"/>
          <w:szCs w:val="18"/>
          <w:color w:val="auto"/>
        </w:rPr>
        <w:t>We have an experienced and knowledgeable customer services team that strives to provide premier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to our customers. We dedicate service representatives to our customers so they can establish relationships with their customer peers and become thoroughly familiar with unique customer systems, processes and service needs. We have developed mortgage industry training courses that are offered to our customers as a value added service. We have an experienced team that maintains the course materials so that they are relevant and current and who facilitate training sessions for our customers.</w:t>
      </w:r>
    </w:p>
    <w:p>
      <w:pPr>
        <w:spacing w:after="0" w:line="188"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We have an experienced team of national and regional account managers strategically deployed nationwide that markets our mortgage insurance products and support services.</w:t>
      </w:r>
    </w:p>
    <w:p>
      <w:pPr>
        <w:spacing w:after="0" w:line="170"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We assign national account managers to each of the national lenders, providing a point of communication between us and the customer's senior management team. These professionals are responsible for the development and execution of sales and marketing strategies aimed at growing customer volumes and ensuring each customer's needs are understood and helping them to pursue their strategies. The national account managers also coordinate the direct communication of customers with our underwriting and risk management groups to provide a continual flow of information between the organizations.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00" w:right="239" w:bottom="1440" w:gutter="0" w:footer="0" w:header="0"/>
        </w:sectPr>
      </w:pPr>
    </w:p>
    <w:bookmarkStart w:id="16" w:name="page17"/>
    <w:bookmarkEnd w:id="16"/>
    <w:p>
      <w:pPr>
        <w:ind w:right="100" w:firstLine="432"/>
        <w:spacing w:after="0" w:line="279" w:lineRule="auto"/>
        <w:rPr>
          <w:sz w:val="20"/>
          <w:szCs w:val="20"/>
          <w:color w:val="auto"/>
        </w:rPr>
      </w:pPr>
      <w:r>
        <w:rPr>
          <w:rFonts w:ascii="Arial" w:cs="Arial" w:eastAsia="Arial" w:hAnsi="Arial"/>
          <w:sz w:val="17"/>
          <w:szCs w:val="17"/>
          <w:color w:val="auto"/>
        </w:rPr>
        <w:t>We also have regional account managers and dedicated support staff operating in defined geographic regions. Our regional account managers play a similar role to our national account managers with respect to customer relationship management, education and customer training, serving as our primary point of contact for small and mid-sized regional lenders operating in a given territory. Regional account managers also support our national account team by assisting with our efforts to directly market and service the branch locations of certain national lenders.</w:t>
      </w:r>
    </w:p>
    <w:p>
      <w:pPr>
        <w:spacing w:after="0" w:line="171"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color w:val="auto"/>
        </w:rPr>
        <w:t>We support our national and regional sales force, and improve their effectiveness in acquiring new customers, by raising our brand awareness through advertising and marketing campaigns, website enhancements, electronic communication strategies and sponsorship of industry and educational events.</w:t>
      </w:r>
    </w:p>
    <w:p>
      <w:pPr>
        <w:spacing w:after="0" w:line="124"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We continue to build our sales force by hiring qualified mortgage professionals who generally have well-established relationships with industry-leading lenders and significant experience in both mortgage insurance and mortgage lending. Our approach is reflected in and supported by our compensation structure, pursuant to which we have successfully implemented a non-commission-based structure that includes an equity ownership program, which we believe aligns their efforts with our long-term corporate objectives, including providing better customer service and better risk selection.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w:t>
      </w:r>
    </w:p>
    <w:p>
      <w:pPr>
        <w:spacing w:after="0" w:line="22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have a highly automated business that relies on information technology. We accept insurance applications through electronic submission and issue electronic insurance approvals. In order to facilitate this process, we establish direct connections to the origination and servicing systems of our customers and servicers, which may require a significant upfront investment. We also provide our customers secure access to our web-based mortgage insurance ordering and servicing systems to facilitate transactions.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continue to upgrade and enhance our systems and technology, including:</w:t>
      </w:r>
    </w:p>
    <w:p>
      <w:pPr>
        <w:spacing w:after="0" w:line="225" w:lineRule="exact"/>
        <w:rPr>
          <w:sz w:val="20"/>
          <w:szCs w:val="20"/>
          <w:color w:val="auto"/>
        </w:rPr>
      </w:pPr>
    </w:p>
    <w:p>
      <w:pPr>
        <w:ind w:left="660" w:right="240" w:hanging="247"/>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investing in new customer-facing technology that enables our customers to transact business faster and easier, whether over an internet browser or through direct system-to-system interfacing with our customers' loan origination and servicing systems;</w:t>
      </w:r>
    </w:p>
    <w:p>
      <w:pPr>
        <w:spacing w:after="0" w:line="170" w:lineRule="exact"/>
        <w:rPr>
          <w:rFonts w:ascii="Arial" w:cs="Arial" w:eastAsia="Arial" w:hAnsi="Arial"/>
          <w:sz w:val="18"/>
          <w:szCs w:val="18"/>
          <w:color w:val="auto"/>
        </w:rPr>
      </w:pPr>
    </w:p>
    <w:p>
      <w:pPr>
        <w:ind w:left="660" w:right="360" w:hanging="247"/>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integrating our platform with third-party technology providers used by our customers in their loan origination process and for ordering mortgage insurance;</w:t>
      </w:r>
    </w:p>
    <w:p>
      <w:pPr>
        <w:spacing w:after="0" w:line="170" w:lineRule="exact"/>
        <w:rPr>
          <w:rFonts w:ascii="Arial" w:cs="Arial" w:eastAsia="Arial" w:hAnsi="Arial"/>
          <w:sz w:val="18"/>
          <w:szCs w:val="18"/>
          <w:color w:val="auto"/>
        </w:rPr>
      </w:pPr>
    </w:p>
    <w:p>
      <w:pPr>
        <w:ind w:left="660" w:right="60" w:hanging="247"/>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developing and implementing a business rules engine that automatically enforces our eligibility guidelines and pricing rules at the time the mortgage insurance application is submitted; and</w:t>
      </w:r>
    </w:p>
    <w:p>
      <w:pPr>
        <w:spacing w:after="0" w:line="170" w:lineRule="exact"/>
        <w:rPr>
          <w:rFonts w:ascii="Arial" w:cs="Arial" w:eastAsia="Arial" w:hAnsi="Arial"/>
          <w:sz w:val="18"/>
          <w:szCs w:val="18"/>
          <w:color w:val="auto"/>
        </w:rPr>
      </w:pPr>
    </w:p>
    <w:p>
      <w:pPr>
        <w:ind w:left="660" w:right="160" w:hanging="247"/>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implementing advanced business process management software that focuses on improving our underwriting productivity and that may also be used to improve our quality assurance and loss management functions.</w:t>
      </w:r>
    </w:p>
    <w:p>
      <w:pPr>
        <w:spacing w:after="0" w:line="170"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We believe that our technology, together with our information technology team, greatly enhances our operating efficiency and creates competitive advantages. This team is experienced in large-scale project delivery, including mortgage insurance administration systems and the development of web-enabled servicing capabilities. Technology costs are managed by standardizing our technology infrastructure, consolidating application systems, managing project execution risks and using contract employees as needed.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We have established underwriting guidelines that we believe protect our balance sheet and result in the insurance of high quality business. Most applications for mortgage insurance are submitted to us electronically, and we rely upon the lender's representations and warranties that the data submitted is true and correct when making our insurance decision. Our underwriting guidelines incorporate credit eligibility requirements that, among other things, restrict our coverage to mortgages that meet our requirements with respect to borrower FICO scores, maximum debt-to-income levels, maximum LTV ratios and documentation requirements. Our underwriting guidelines also limit the coverage we provide for mortgages made with certain high risk features, including those for cash-out refinance, second homes or investment properties.</w:t>
      </w:r>
    </w:p>
    <w:p>
      <w:pPr>
        <w:spacing w:after="0" w:line="178"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regularly seek to enhance our underwriting guidelines through extensive data gathering, detailed loan level risk analysis, and assessments of trends in key macroeconomic factors such as housing prices, interest rates and employment. We utilize proprietary models that enable us to assess individual loan risks with a high degree of granularity and set pricing for our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00" w:right="239" w:bottom="1440" w:gutter="0" w:footer="0" w:header="0"/>
        </w:sectPr>
      </w:pPr>
    </w:p>
    <w:bookmarkStart w:id="17" w:name="page18"/>
    <w:bookmarkEnd w:id="17"/>
    <w:p>
      <w:pPr>
        <w:ind w:right="80"/>
        <w:spacing w:after="0" w:line="277" w:lineRule="auto"/>
        <w:rPr>
          <w:sz w:val="20"/>
          <w:szCs w:val="20"/>
          <w:color w:val="auto"/>
        </w:rPr>
      </w:pPr>
      <w:r>
        <w:rPr>
          <w:rFonts w:ascii="Arial" w:cs="Arial" w:eastAsia="Arial" w:hAnsi="Arial"/>
          <w:sz w:val="18"/>
          <w:szCs w:val="18"/>
          <w:color w:val="auto"/>
        </w:rPr>
        <w:t>policies within a risk-adjusted return framework. See "—Risk Management" below. We have adopted a balanced underwriting approach, which considers our risk analysis, return objectives and market factors.</w:t>
      </w:r>
    </w:p>
    <w:p>
      <w:pPr>
        <w:spacing w:after="0" w:line="170"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At present, our underwriting guidelines are broadly consistent with those of the GSEs. Many of our customers use the GSEs' automated loan underwriting systems, Desktop Underwriter® and Loan Prospector®, for making credit determinations. We accept the underwriting decisions made by the GSEs' underwriting systems, subject to certain additional limitations and requirements. We monitor the GSEs for updates to these systems, and may engage in a deeper review for the more substantive releases. Our reviews may result in the maintenance or implementation of additional eligibility requirements. In addition, the performance results of loans scored via automated underwriting systems are monitored within our portfolio management protocols.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primary mortgage insurance policies are issued through one of two programs:</w:t>
      </w:r>
    </w:p>
    <w:p>
      <w:pPr>
        <w:spacing w:after="0" w:line="225" w:lineRule="exact"/>
        <w:rPr>
          <w:sz w:val="20"/>
          <w:szCs w:val="20"/>
          <w:color w:val="auto"/>
        </w:rPr>
      </w:pPr>
    </w:p>
    <w:p>
      <w:pPr>
        <w:ind w:left="660" w:right="80" w:hanging="247"/>
        <w:spacing w:after="0" w:line="272"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Delegated Underwriting. </w:t>
      </w:r>
      <w:r>
        <w:rPr>
          <w:rFonts w:ascii="Arial" w:cs="Arial" w:eastAsia="Arial" w:hAnsi="Arial"/>
          <w:sz w:val="17"/>
          <w:szCs w:val="17"/>
          <w:color w:val="auto"/>
        </w:rPr>
        <w:t>We delegate to eligible customers the ability to underwrite the loans based on agreed-upon underwriting guidelines. To</w:t>
      </w:r>
      <w:r>
        <w:rPr>
          <w:rFonts w:ascii="Arial" w:cs="Arial" w:eastAsia="Arial" w:hAnsi="Arial"/>
          <w:sz w:val="17"/>
          <w:szCs w:val="17"/>
          <w:i w:val="1"/>
          <w:iCs w:val="1"/>
          <w:color w:val="auto"/>
        </w:rPr>
        <w:t xml:space="preserve"> </w:t>
      </w:r>
      <w:r>
        <w:rPr>
          <w:rFonts w:ascii="Arial" w:cs="Arial" w:eastAsia="Arial" w:hAnsi="Arial"/>
          <w:sz w:val="17"/>
          <w:szCs w:val="17"/>
          <w:color w:val="auto"/>
        </w:rPr>
        <w:t>perform delegated underwriting, customers must be approved by our risk management group. See "—Risk Management—Loan Life Cycle Risk Management" below. Some customers prefer to assume underwriting responsibilities because it is more efficient within their loan origination process. Because this delegated underwriting is performed by third parties, we regularly perform quality assurance reviews on a sample of delegated loans to assess compliance with our guidelines. As of December 31, 2016, approximately 59% of our insurance in force had been originated on a delegated basis, compared to 62% as of December 31, 2015. See "Risk Factors—Risks Relating to Our Business—</w:t>
      </w:r>
      <w:r>
        <w:rPr>
          <w:rFonts w:ascii="Arial" w:cs="Arial" w:eastAsia="Arial" w:hAnsi="Arial"/>
          <w:sz w:val="17"/>
          <w:szCs w:val="17"/>
          <w:i w:val="1"/>
          <w:iCs w:val="1"/>
          <w:color w:val="auto"/>
        </w:rPr>
        <w:t>Our delegated underwriting</w:t>
      </w:r>
      <w:r>
        <w:rPr>
          <w:rFonts w:ascii="Arial" w:cs="Arial" w:eastAsia="Arial" w:hAnsi="Arial"/>
          <w:sz w:val="17"/>
          <w:szCs w:val="17"/>
          <w:color w:val="auto"/>
        </w:rPr>
        <w:t xml:space="preserve"> </w:t>
      </w:r>
      <w:r>
        <w:rPr>
          <w:rFonts w:ascii="Arial" w:cs="Arial" w:eastAsia="Arial" w:hAnsi="Arial"/>
          <w:sz w:val="17"/>
          <w:szCs w:val="17"/>
          <w:i w:val="1"/>
          <w:iCs w:val="1"/>
          <w:color w:val="auto"/>
        </w:rPr>
        <w:t>program may subject our mortgage insurance business to unanticipated claims</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660" w:hanging="247"/>
        <w:spacing w:after="0" w:line="272"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Non-Delegated Underwriting. </w:t>
      </w:r>
      <w:r>
        <w:rPr>
          <w:rFonts w:ascii="Arial" w:cs="Arial" w:eastAsia="Arial" w:hAnsi="Arial"/>
          <w:sz w:val="17"/>
          <w:szCs w:val="17"/>
          <w:color w:val="auto"/>
        </w:rPr>
        <w:t>Customers who choose not to participate in, or do not qualify for, our delegated underwriting program submit loan</w:t>
      </w:r>
      <w:r>
        <w:rPr>
          <w:rFonts w:ascii="Arial" w:cs="Arial" w:eastAsia="Arial" w:hAnsi="Arial"/>
          <w:sz w:val="17"/>
          <w:szCs w:val="17"/>
          <w:i w:val="1"/>
          <w:iCs w:val="1"/>
          <w:color w:val="auto"/>
        </w:rPr>
        <w:t xml:space="preserve"> </w:t>
      </w:r>
      <w:r>
        <w:rPr>
          <w:rFonts w:ascii="Arial" w:cs="Arial" w:eastAsia="Arial" w:hAnsi="Arial"/>
          <w:sz w:val="17"/>
          <w:szCs w:val="17"/>
          <w:color w:val="auto"/>
        </w:rPr>
        <w:t>files to us so that we may reach a decision as to whether we will insure the loan. In addition, customers participating in our delegated underwriting program may choose not to use their delegated authority, and instead may submit loans for our independent underwriting. Some customers prefer our non-delegated program because we assume underwriting responsibility and will not rescind coverage if we make an underwriting error, subject to the terms of our master policy. We seek to ensure that our employees properly underwrite our loans through quality assurance sampling, loan performance monitoring and training. As of December 31, 2016, approximately 41% of our insurance in force had been originated on a non-delegated basis, compared to 38% as of December 31, 2015.</w:t>
      </w:r>
    </w:p>
    <w:p>
      <w:pPr>
        <w:spacing w:after="0" w:line="178" w:lineRule="exact"/>
        <w:rPr>
          <w:sz w:val="20"/>
          <w:szCs w:val="20"/>
          <w:color w:val="auto"/>
        </w:rPr>
      </w:pPr>
    </w:p>
    <w:p>
      <w:pPr>
        <w:ind w:right="360" w:firstLine="432"/>
        <w:spacing w:after="0" w:line="259" w:lineRule="auto"/>
        <w:rPr>
          <w:sz w:val="20"/>
          <w:szCs w:val="20"/>
          <w:color w:val="auto"/>
        </w:rPr>
      </w:pPr>
      <w:r>
        <w:rPr>
          <w:rFonts w:ascii="Arial" w:cs="Arial" w:eastAsia="Arial" w:hAnsi="Arial"/>
          <w:sz w:val="18"/>
          <w:szCs w:val="18"/>
          <w:color w:val="auto"/>
        </w:rPr>
        <w:t>We maintain primary underwriting centers in Radnor, Pennsylvania, Winston-Salem, North Carolina and Irvine, California. We believe that the geographical distribution of our underwriting staff allows us to make underwriting determinations across different time zones and to best serve customers across the United States. Although our employees conduct the substantial majority of our non-delegated underwriting, we engage underwriters on an outsourced basis from time to time in order to provide temporary underwriting capacity.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2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have established risk management controls throughout our organization and have a risk management framework that we believe reduces the volatility of our financial results and capital position. The risk committee of our board of directors has formal oversight responsibility for the risks associated with our business and is supported by a management risk committee, chaired by our Chief Risk Officer, comprised of all senior members of our executive management team.</w:t>
      </w:r>
    </w:p>
    <w:p>
      <w:pPr>
        <w:spacing w:after="0" w:line="187"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We believe that our risk management framework encompasses all of the major risks we face, including our mortgage insurance portfolio, investment risk, liquidity risk and regulatory compliance risk, among others. The majority of our risk analysis is directed toward the risks embedded in our mortgage insurance portfolio. As such, we have established a risk management approach that analyzes the risk across the full life cycle of a mortgage, into what we term the "loan life cycle."</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Loan Life Cycle Risk Management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generally break down the loan life cycle risk management process into three components:</w:t>
      </w:r>
    </w:p>
    <w:p>
      <w:pPr>
        <w:spacing w:after="0" w:line="225" w:lineRule="exact"/>
        <w:rPr>
          <w:sz w:val="20"/>
          <w:szCs w:val="20"/>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Customer qualification</w:t>
      </w:r>
      <w:r>
        <w:rPr>
          <w:rFonts w:ascii="Arial" w:cs="Arial" w:eastAsia="Arial" w:hAnsi="Arial"/>
          <w:sz w:val="18"/>
          <w:szCs w:val="18"/>
          <w:color w:val="auto"/>
        </w:rPr>
        <w:t>—customer review and approval process;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Policy acquisition</w:t>
      </w:r>
      <w:r>
        <w:rPr>
          <w:rFonts w:ascii="Arial" w:cs="Arial" w:eastAsia="Arial" w:hAnsi="Arial"/>
          <w:sz w:val="18"/>
          <w:szCs w:val="18"/>
          <w:color w:val="auto"/>
        </w:rPr>
        <w:t>—loan underwriting, valuation and risk approval; and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8" w:name="page19"/>
    <w:bookmarkEnd w:id="18"/>
    <w:p>
      <w:pPr>
        <w:ind w:left="42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i w:val="1"/>
          <w:iCs w:val="1"/>
          <w:color w:val="auto"/>
        </w:rPr>
        <w:t>Portfolio management</w:t>
      </w:r>
      <w:r>
        <w:rPr>
          <w:rFonts w:ascii="Arial" w:cs="Arial" w:eastAsia="Arial" w:hAnsi="Arial"/>
          <w:sz w:val="16"/>
          <w:szCs w:val="16"/>
          <w:color w:val="auto"/>
        </w:rPr>
        <w:t>—loan performance and lender monitoring with continuous oversight through the settlement of a claim.</w:t>
      </w:r>
    </w:p>
    <w:p>
      <w:pPr>
        <w:spacing w:after="0" w:line="225" w:lineRule="exact"/>
        <w:rPr>
          <w:sz w:val="20"/>
          <w:szCs w:val="20"/>
          <w:color w:val="auto"/>
        </w:rPr>
      </w:pPr>
    </w:p>
    <w:p>
      <w:pPr>
        <w:ind w:right="240" w:firstLine="432"/>
        <w:spacing w:after="0" w:line="297" w:lineRule="auto"/>
        <w:rPr>
          <w:sz w:val="20"/>
          <w:szCs w:val="20"/>
          <w:color w:val="auto"/>
        </w:rPr>
      </w:pPr>
      <w:r>
        <w:rPr>
          <w:rFonts w:ascii="Arial" w:cs="Arial" w:eastAsia="Arial" w:hAnsi="Arial"/>
          <w:sz w:val="16"/>
          <w:szCs w:val="16"/>
          <w:color w:val="auto"/>
        </w:rPr>
        <w:t>Customer qualification involves a process in which we diligence a potential customer's financial resources, operational practices, management experience and track record of originating quality mortgages prior to formalizing a customer relationship. We leverage the experience of our management team to pre-screen lenders prior to formally engaging and performing a lender qualification review. Once engaged, our counterparty risk management team conducts a lender qualification review with oversight from the management risk committee. Approved lenders are subject to clear parameters regarding underwriting delegation status, credit guideline requirements and variances and collateral thresholds and volume mix expectations for loan diversification.</w:t>
      </w:r>
    </w:p>
    <w:p>
      <w:pPr>
        <w:spacing w:after="0" w:line="15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policy acquisition process involves the establishment of underwriting guidelines, pricing schedules and aggregate risk limits. See "—Underwriting" above. These guidelines and schedules are coded in our credit risk rule engine which is utilized to screen each loan underwritten, and are constructed to ensure prudent risk acquisition with adequate return on capital. These guidelines and schedules are maintained and periodically reviewed by our risk management team and adjusted to reflect the most current risk assessment based on ongoing experience in the insurance portfolio as well as industry loan quality trends.</w:t>
      </w:r>
    </w:p>
    <w:p>
      <w:pPr>
        <w:spacing w:after="0" w:line="188"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The portfolio management process involves two main functions, quality assurance, or QA, reviews, and a comprehensive surveillance protocol, in order to provide customers timely feedback that fosters high quality loan production. Through our QA process, we review a statistically significant sample of individual mortgages from our customers to ensure that the loans accepted through our underwriting process meet our pre-determined eligibility and underwriting criteria. The QA process allows us to identify trends in lender underwriting and origination practices, as well as to back-test underlying reasons for delinquencies, defaults and claims within our portfolio. The information gathered from the QA process is incorporated into our policy acquisition function and is intended to prevent continued aggregation of underperforming risks. Our surveillance protocol maintains oversight over customer and vendor activities, industry dynamics, production trends and portfolio performance. The portfolio management process also involves loss mitigation aimed to reduce both frequency and severity of non-performing risk. See "—Defaults and Claims" below.</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Modeling and Analytics</w:t>
      </w:r>
    </w:p>
    <w:p>
      <w:pPr>
        <w:spacing w:after="0" w:line="225"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Our risk management professionals are supported by substantial data analysis and sophisticated risk models. We have a dedicated modeling and analytics team which is responsible for delivering actionable models, tools, analysis and reporting to inform our credit underwriting and pricing decisions. The team analyzes mortgage, financial, economic and housing data to develop proprietary behavioral models that help us assess credit, prepayment and loss severity trends and collateral valuation models to help inform business decisions. Performance and profitability are evaluated across customers and products to identify the emergence of potential weaknesses and adverse risks. Geographic housing market analysis also is utilized in establishing market restrictions for certain products and segments. We utilize an economic capital framework to evaluate risk-adjusted returns. We also perform stress tests on our portfolio to analyze how our book of business may perform under adverse scenarios. We believe that our economic capital framework and stress testing analysis helps to inform our optimal capitalization targets, allowing us to prudently manage and protect our balance sheet.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Defaults and Claims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Defaults</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default and claim cycle for a mortgage insurance policy begins with receipt of a default notice from the servicer. We consider a loan to be in default when we are notified by the servicer that the borrower has missed at least two consecutive monthly payments. Defaults may occur for a variety of reasons including death or illness, divorce or other family problems, unemployment, changes in economic conditions, declines in property values that cause the outstanding mortgage amount to exceed the value of a home or other events.</w:t>
      </w:r>
    </w:p>
    <w:p>
      <w:pPr>
        <w:spacing w:after="0" w:line="187" w:lineRule="exact"/>
        <w:rPr>
          <w:sz w:val="20"/>
          <w:szCs w:val="20"/>
          <w:color w:val="auto"/>
        </w:rPr>
      </w:pPr>
    </w:p>
    <w:p>
      <w:pPr>
        <w:ind w:right="300" w:firstLine="432"/>
        <w:spacing w:after="0" w:line="293" w:lineRule="auto"/>
        <w:rPr>
          <w:sz w:val="20"/>
          <w:szCs w:val="20"/>
          <w:color w:val="auto"/>
        </w:rPr>
      </w:pPr>
      <w:r>
        <w:rPr>
          <w:rFonts w:ascii="Arial" w:cs="Arial" w:eastAsia="Arial" w:hAnsi="Arial"/>
          <w:sz w:val="16"/>
          <w:szCs w:val="16"/>
          <w:color w:val="auto"/>
        </w:rPr>
        <w:t>We expect servicers to make timely collection efforts on borrowers who have defaulted, and to attempt to restore the defaulted mortgage, and our mortgage insurance coverage, to current status. If the servicer cannot restore a borrower to current status, the servicer may be able to offer the borrower a forbearance or loan modification alternatives. Where these alternatives cannot cure the default, the servicer is responsible for pursuing remedies for the default, including foreclosure or acceptable foreclosure alternatives, certain of which, such as short sales and deeds in lieu of foreclosure, require our prior approval under the terms of our master policy. We have delegated limited authority to the GSEs and their servicers to exercise some of these alternatives. Among other requirements, servicers operate under protocols established by the GSEs. See "Risk Factors—Risks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9" w:name="page20"/>
    <w:bookmarkEnd w:id="19"/>
    <w:p>
      <w:pPr>
        <w:ind w:right="560"/>
        <w:spacing w:after="0" w:line="277" w:lineRule="auto"/>
        <w:rPr>
          <w:sz w:val="20"/>
          <w:szCs w:val="20"/>
          <w:color w:val="auto"/>
        </w:rPr>
      </w:pPr>
      <w:r>
        <w:rPr>
          <w:rFonts w:ascii="Arial" w:cs="Arial" w:eastAsia="Arial" w:hAnsi="Arial"/>
          <w:sz w:val="18"/>
          <w:szCs w:val="18"/>
          <w:color w:val="auto"/>
        </w:rPr>
        <w:t>Relating to Our Business—</w:t>
      </w:r>
      <w:r>
        <w:rPr>
          <w:rFonts w:ascii="Arial" w:cs="Arial" w:eastAsia="Arial" w:hAnsi="Arial"/>
          <w:sz w:val="18"/>
          <w:szCs w:val="18"/>
          <w:i w:val="1"/>
          <w:iCs w:val="1"/>
          <w:color w:val="auto"/>
        </w:rPr>
        <w:t>If servicers fail to adhere to appropriate servicing standards or experience disruptions to their businesses, our losses could</w:t>
      </w:r>
      <w:r>
        <w:rPr>
          <w:rFonts w:ascii="Arial" w:cs="Arial" w:eastAsia="Arial" w:hAnsi="Arial"/>
          <w:sz w:val="18"/>
          <w:szCs w:val="18"/>
          <w:color w:val="auto"/>
        </w:rPr>
        <w:t xml:space="preserve"> </w:t>
      </w:r>
      <w:r>
        <w:rPr>
          <w:rFonts w:ascii="Arial" w:cs="Arial" w:eastAsia="Arial" w:hAnsi="Arial"/>
          <w:sz w:val="18"/>
          <w:szCs w:val="18"/>
          <w:i w:val="1"/>
          <w:iCs w:val="1"/>
          <w:color w:val="auto"/>
        </w:rPr>
        <w:t>unexpectedly increase</w:t>
      </w:r>
      <w:r>
        <w:rPr>
          <w:rFonts w:ascii="Arial" w:cs="Arial" w:eastAsia="Arial" w:hAnsi="Arial"/>
          <w:sz w:val="18"/>
          <w:szCs w:val="18"/>
          <w:color w:val="auto"/>
        </w:rPr>
        <w:t>."</w:t>
      </w:r>
    </w:p>
    <w:p>
      <w:pPr>
        <w:spacing w:after="0" w:line="17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following table shows the number of primary insured loans and the percentage of loans insured by us that are in default as of December 31, 2016 and 2015: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Number of Loans in Default and Default Rate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right"/>
              <w:ind w:right="85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64"/>
        </w:trPr>
        <w:tc>
          <w:tcPr>
            <w:tcW w:w="258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2016</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policies in force</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375,898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297,437</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Loans in default</w:t>
            </w:r>
          </w:p>
        </w:tc>
        <w:tc>
          <w:tcPr>
            <w:tcW w:w="10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320" w:type="dxa"/>
            <w:vAlign w:val="bottom"/>
            <w:gridSpan w:val="3"/>
          </w:tcPr>
          <w:p>
            <w:pPr>
              <w:jc w:val="right"/>
              <w:ind w:right="65"/>
              <w:spacing w:after="0"/>
              <w:rPr>
                <w:sz w:val="20"/>
                <w:szCs w:val="20"/>
                <w:color w:val="auto"/>
              </w:rPr>
            </w:pPr>
            <w:r>
              <w:rPr>
                <w:rFonts w:ascii="Arial" w:cs="Arial" w:eastAsia="Arial" w:hAnsi="Arial"/>
                <w:sz w:val="18"/>
                <w:szCs w:val="18"/>
                <w:color w:val="auto"/>
              </w:rPr>
              <w:t>1,757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of loans in default</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0.47%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432"/>
        </w:trPr>
        <w:tc>
          <w:tcPr>
            <w:tcW w:w="2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5"/>
          </w:tcPr>
          <w:p>
            <w:pPr>
              <w:ind w:left="220"/>
              <w:spacing w:after="0"/>
              <w:rPr>
                <w:sz w:val="20"/>
                <w:szCs w:val="20"/>
                <w:color w:val="auto"/>
              </w:rPr>
            </w:pPr>
            <w:r>
              <w:rPr>
                <w:rFonts w:ascii="Arial" w:cs="Arial" w:eastAsia="Arial" w:hAnsi="Arial"/>
                <w:sz w:val="18"/>
                <w:szCs w:val="18"/>
                <w:i w:val="1"/>
                <w:iCs w:val="1"/>
                <w:color w:val="auto"/>
                <w:w w:val="94"/>
              </w:rPr>
              <w:t>Loan Defaults by Originating Year</w:t>
            </w: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25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2016</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3"/>
              </w:rPr>
              <w:t>December 31, 2015</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w:t>
            </w:r>
          </w:p>
        </w:tc>
        <w:tc>
          <w:tcPr>
            <w:tcW w:w="180" w:type="dxa"/>
            <w:vAlign w:val="bottom"/>
          </w:tcPr>
          <w:p>
            <w:pPr>
              <w:spacing w:after="0"/>
              <w:rPr>
                <w:sz w:val="13"/>
                <w:szCs w:val="13"/>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Defaulted</w:t>
            </w: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center"/>
              <w:ind w:right="40"/>
              <w:spacing w:after="0" w:line="153" w:lineRule="exact"/>
              <w:rPr>
                <w:sz w:val="20"/>
                <w:szCs w:val="20"/>
                <w:color w:val="auto"/>
              </w:rPr>
            </w:pPr>
            <w:r>
              <w:rPr>
                <w:rFonts w:ascii="Arial" w:cs="Arial" w:eastAsia="Arial" w:hAnsi="Arial"/>
                <w:sz w:val="14"/>
                <w:szCs w:val="14"/>
                <w:b w:val="1"/>
                <w:bCs w:val="1"/>
                <w:color w:val="auto"/>
                <w:w w:val="90"/>
              </w:rPr>
              <w:t>Percentage</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3"/>
              </w:rPr>
              <w:t>Defaulted</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1040" w:type="dxa"/>
            <w:vAlign w:val="bottom"/>
            <w:vMerge w:val="restart"/>
          </w:tcPr>
          <w:p>
            <w:pPr>
              <w:jc w:val="center"/>
              <w:ind w:left="448"/>
              <w:spacing w:after="0"/>
              <w:rPr>
                <w:sz w:val="20"/>
                <w:szCs w:val="20"/>
                <w:color w:val="auto"/>
              </w:rPr>
            </w:pPr>
            <w:r>
              <w:rPr>
                <w:rFonts w:ascii="Arial" w:cs="Arial" w:eastAsia="Arial" w:hAnsi="Arial"/>
                <w:sz w:val="14"/>
                <w:szCs w:val="14"/>
                <w:b w:val="1"/>
                <w:bCs w:val="1"/>
                <w:color w:val="auto"/>
                <w:w w:val="90"/>
              </w:rPr>
              <w:t>Loans in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of policies</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58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Loans in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of policies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Originating Year</w:t>
            </w:r>
          </w:p>
        </w:tc>
        <w:tc>
          <w:tcPr>
            <w:tcW w:w="104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written in</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RIF</w:t>
            </w:r>
          </w:p>
        </w:tc>
        <w:tc>
          <w:tcPr>
            <w:tcW w:w="15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written in</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rPr>
              <w:t>RIF</w:t>
            </w:r>
          </w:p>
        </w:tc>
        <w:tc>
          <w:tcPr>
            <w:tcW w:w="0" w:type="dxa"/>
            <w:vAlign w:val="bottom"/>
          </w:tcPr>
          <w:p>
            <w:pPr>
              <w:spacing w:after="0"/>
              <w:rPr>
                <w:sz w:val="1"/>
                <w:szCs w:val="1"/>
                <w:color w:val="auto"/>
              </w:rPr>
            </w:pPr>
          </w:p>
        </w:tc>
      </w:tr>
      <w:tr>
        <w:trPr>
          <w:trHeight w:val="192"/>
        </w:trPr>
        <w:tc>
          <w:tcPr>
            <w:tcW w:w="258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6"/>
              </w:rPr>
              <w:t>Default</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period</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Default</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period</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w w:val="92"/>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320" w:type="dxa"/>
            <w:vAlign w:val="bottom"/>
            <w:tcBorders>
              <w:bottom w:val="single" w:sz="8" w:color="CCEEFF"/>
            </w:tcBorders>
            <w:gridSpan w:val="3"/>
            <w:shd w:val="clear" w:color="auto" w:fill="CCEEFF"/>
          </w:tcPr>
          <w:p>
            <w:pPr>
              <w:ind w:left="920"/>
              <w:spacing w:after="0"/>
              <w:rPr>
                <w:sz w:val="20"/>
                <w:szCs w:val="20"/>
                <w:color w:val="auto"/>
              </w:rPr>
            </w:pPr>
            <w:r>
              <w:rPr>
                <w:rFonts w:ascii="Arial" w:cs="Arial" w:eastAsia="Arial" w:hAnsi="Arial"/>
                <w:sz w:val="18"/>
                <w:szCs w:val="18"/>
                <w:color w:val="auto"/>
                <w:w w:val="92"/>
              </w:rPr>
              <w:t>0.3%</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2011</w:t>
            </w:r>
          </w:p>
        </w:tc>
        <w:tc>
          <w:tcPr>
            <w:tcW w:w="10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1,954</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45</w:t>
            </w:r>
          </w:p>
        </w:tc>
        <w:tc>
          <w:tcPr>
            <w:tcW w:w="1320" w:type="dxa"/>
            <w:vAlign w:val="bottom"/>
            <w:gridSpan w:val="3"/>
          </w:tcPr>
          <w:p>
            <w:pPr>
              <w:ind w:left="920"/>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7,700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w:t>
            </w:r>
          </w:p>
        </w:tc>
        <w:tc>
          <w:tcPr>
            <w:tcW w:w="1320" w:type="dxa"/>
            <w:vAlign w:val="bottom"/>
            <w:tcBorders>
              <w:bottom w:val="single" w:sz="8" w:color="CCEEFF"/>
            </w:tcBorders>
            <w:gridSpan w:val="3"/>
            <w:shd w:val="clear" w:color="auto" w:fill="CCEEFF"/>
          </w:tcPr>
          <w:p>
            <w:pPr>
              <w:ind w:left="920"/>
              <w:spacing w:after="0"/>
              <w:rPr>
                <w:sz w:val="20"/>
                <w:szCs w:val="20"/>
                <w:color w:val="auto"/>
              </w:rPr>
            </w:pPr>
            <w:r>
              <w:rPr>
                <w:rFonts w:ascii="Arial" w:cs="Arial" w:eastAsia="Arial" w:hAnsi="Arial"/>
                <w:sz w:val="18"/>
                <w:szCs w:val="18"/>
                <w:color w:val="auto"/>
              </w:rPr>
              <w:t>0.3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7,639</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2013</w:t>
            </w:r>
          </w:p>
        </w:tc>
        <w:tc>
          <w:tcPr>
            <w:tcW w:w="10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362</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18,734</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303</w:t>
            </w:r>
          </w:p>
        </w:tc>
        <w:tc>
          <w:tcPr>
            <w:tcW w:w="1320" w:type="dxa"/>
            <w:vAlign w:val="bottom"/>
            <w:gridSpan w:val="3"/>
          </w:tcPr>
          <w:p>
            <w:pPr>
              <w:ind w:left="920"/>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15,209</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37,740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421</w:t>
            </w:r>
          </w:p>
        </w:tc>
        <w:tc>
          <w:tcPr>
            <w:tcW w:w="1320" w:type="dxa"/>
            <w:vAlign w:val="bottom"/>
            <w:tcBorders>
              <w:bottom w:val="single" w:sz="8" w:color="CCEEFF"/>
            </w:tcBorders>
            <w:gridSpan w:val="3"/>
            <w:shd w:val="clear" w:color="auto" w:fill="CCEEFF"/>
          </w:tcPr>
          <w:p>
            <w:pPr>
              <w:ind w:left="920"/>
              <w:spacing w:after="0"/>
              <w:rPr>
                <w:sz w:val="20"/>
                <w:szCs w:val="20"/>
                <w:color w:val="auto"/>
              </w:rPr>
            </w:pPr>
            <w:r>
              <w:rPr>
                <w:rFonts w:ascii="Arial" w:cs="Arial" w:eastAsia="Arial" w:hAnsi="Arial"/>
                <w:sz w:val="18"/>
                <w:szCs w:val="18"/>
                <w:color w:val="auto"/>
              </w:rPr>
              <w:t>0.4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24,525</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2015</w:t>
            </w:r>
          </w:p>
        </w:tc>
        <w:tc>
          <w:tcPr>
            <w:tcW w:w="10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394</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22,101</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101</w:t>
            </w:r>
          </w:p>
        </w:tc>
        <w:tc>
          <w:tcPr>
            <w:tcW w:w="1320" w:type="dxa"/>
            <w:vAlign w:val="bottom"/>
            <w:gridSpan w:val="3"/>
          </w:tcPr>
          <w:p>
            <w:pPr>
              <w:ind w:left="920"/>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5,526</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0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7,165</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N/A</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7"/>
        </w:trPr>
        <w:tc>
          <w:tcPr>
            <w:tcW w:w="2580" w:type="dxa"/>
            <w:vAlign w:val="bottom"/>
          </w:tcPr>
          <w:p>
            <w:pPr>
              <w:ind w:left="4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1,757</w:t>
            </w: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95,417</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1,028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54,971</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have experienced a low level of defaults to date. This is due, in part, to the weighted average life of our mortgage insurance portfolio being 18.8 months as of December 31, 2016, whereas the peak default period for insured mortgage loans has historically been three to six years after loan origination. As a result, we do expect default levels to increase as our portfolio seasons. We believe that in recent years the underwriting practices in the industry have improved substantially and that the quality of mortgage loans originated has been high. Consequently, we expect that the default rate and losses on the business we have underwritten to date will be favorable in comparison to the default rate and losses experienced by the mortgage insurers that wrote business in 2006 through 2009.</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Claims</w:t>
      </w:r>
    </w:p>
    <w:p>
      <w:pPr>
        <w:spacing w:after="0" w:line="225"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Defaulted mortgages that are not cured turn into claims. The insured customer must acquire title to the property before submitting a claim. The time in which a customer may acquire title to a property through foreclosure varies, depending on the state in which the property is located. Historically, on average, mortgage insurers do not receive a request for claim payment until approximately 18 months following a default on a first-lien mortgage. This time lag has increased in recent years as the industry has experienced a slowdown in foreclosures (and, consequently, a slowdown in claims submitted to mortgage insurers) largely due to foreclosure moratoriums imposed by various government entities and lenders and increased scrutiny within the mortgage servicing industry on the foreclosure process.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Upon review and determination that a claim is valid, we generally have the following three settlement options:</w:t>
      </w:r>
    </w:p>
    <w:p>
      <w:pPr>
        <w:spacing w:after="0" w:line="225" w:lineRule="exact"/>
        <w:rPr>
          <w:sz w:val="20"/>
          <w:szCs w:val="20"/>
          <w:color w:val="auto"/>
        </w:rPr>
      </w:pPr>
    </w:p>
    <w:p>
      <w:pPr>
        <w:jc w:val="both"/>
        <w:ind w:left="660" w:right="440" w:hanging="247"/>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Percentage option—determined by multiplying the claim amount by the applicable coverage percentage, with the customer retaining title to the property. The claim amount is defined in the master policy as consisting of the unpaid loan principal, plus past due interest, subject to a defined maximum, and certain expenses associated with the default;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20" w:name="page21"/>
    <w:bookmarkEnd w:id="20"/>
    <w:p>
      <w:pPr>
        <w:ind w:left="660" w:right="20" w:hanging="247"/>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Third-party sale option—pay the amount of the claim required to make the customer whole, commonly referred to as the "actual loss amount" (not to exceed our maximum liability as outlined under the percentage option), following an approved sale; or</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 option—pay the full claim amount and acquire title to the property.</w:t>
      </w:r>
    </w:p>
    <w:p>
      <w:pPr>
        <w:spacing w:after="0" w:line="225"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We believe there are opportunities to mitigate losses between the time a loan defaults and the ultimate loss we may experience. Because of the small number of defaults and filed claims in our insurance portfolio to date, our opportunities to pursue these activities have been limited. However, we expect both defaulted loan counts and claim filings to increase as our portfolio grows and matures, expanding the potential benefit from these loss mitigation activities. Our loss mitigation and claims area is led by seasoned personnel supported by default tracking and claims processing capabilities within our integrated platform. Our loss mitigation staff is also actively engaged with our servicers and the GSEs with regard to appropriate servicing and loss mitigation practices.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w:t>
      </w:r>
    </w:p>
    <w:p>
      <w:pPr>
        <w:spacing w:after="0" w:line="229" w:lineRule="exact"/>
        <w:rPr>
          <w:sz w:val="20"/>
          <w:szCs w:val="20"/>
          <w:color w:val="auto"/>
        </w:rPr>
      </w:pPr>
    </w:p>
    <w:p>
      <w:pPr>
        <w:ind w:right="340" w:firstLine="432"/>
        <w:spacing w:after="0" w:line="259" w:lineRule="auto"/>
        <w:rPr>
          <w:sz w:val="20"/>
          <w:szCs w:val="20"/>
          <w:color w:val="auto"/>
        </w:rPr>
      </w:pPr>
      <w:r>
        <w:rPr>
          <w:rFonts w:ascii="Arial" w:cs="Arial" w:eastAsia="Arial" w:hAnsi="Arial"/>
          <w:sz w:val="18"/>
          <w:szCs w:val="18"/>
          <w:color w:val="auto"/>
        </w:rPr>
        <w:t>Our investment portfolio, including cash, comprises the largest single component of our balance sheet, representing 87.2% of our total assets at December 31, 2016. Our primary objectives with respect to our investment portfolio are to preserve capital, generate investment income and maintain sufficient liquidity to cover operating expenses and pay future insurance claims. As of December 31, 2016, predominantly all of our investment securities were rated investment-grade.</w:t>
      </w:r>
    </w:p>
    <w:p>
      <w:pPr>
        <w:spacing w:after="0" w:line="18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have adopted and our board of directors has approved an investment policy that defines specific limits for asset sectors, single issuer, credit rating, asset duration, industry and geographic concentration and eligible and ineligible investments. Our senior management is responsible for the execution of our investment strategy and compliance with the adopted investment policy, and review of investment performance and strategy with the investment committee of the board of directors on a quarterly basis.</w:t>
      </w:r>
    </w:p>
    <w:p>
      <w:pPr>
        <w:spacing w:after="0" w:line="18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Our current strategy for the investment portfolio is focused primarily on the following: selecting fixed income securities; maintaining sufficient liquidity to meet expected and unexpected financial obligations; mitigating interest rate risk through management of asset durations; continuously monitoring investment quality; and limiting investments in assets that are highly correlated to the residential mortgage market.</w:t>
      </w:r>
    </w:p>
    <w:p>
      <w:pPr>
        <w:spacing w:after="0" w:line="181" w:lineRule="exact"/>
        <w:rPr>
          <w:sz w:val="20"/>
          <w:szCs w:val="20"/>
          <w:color w:val="auto"/>
        </w:rPr>
      </w:pPr>
    </w:p>
    <w:p>
      <w:pPr>
        <w:ind w:right="220" w:firstLine="432"/>
        <w:spacing w:after="0" w:line="297" w:lineRule="auto"/>
        <w:rPr>
          <w:sz w:val="20"/>
          <w:szCs w:val="20"/>
          <w:color w:val="auto"/>
        </w:rPr>
      </w:pPr>
      <w:r>
        <w:rPr>
          <w:rFonts w:ascii="Arial" w:cs="Arial" w:eastAsia="Arial" w:hAnsi="Arial"/>
          <w:sz w:val="16"/>
          <w:szCs w:val="16"/>
          <w:color w:val="auto"/>
        </w:rPr>
        <w:t>We engage external asset managers to assist with the trading, investment research, investment due diligence and portfolio allocation within the guidelines that we have set. Approximately 91.1% of our investment assets, excluding cash, were managed by external managers as of December 31, 2016. Assets not managed by external managers include securities on deposit with state regulatory agencies in connection with the insurance licenses and bonds issued by the U.S. Treasury and U.S. government agencies. To date, we have not used any derivatives to hedge any investment or business risks that we are currently assuming. We measure investment performance against market benchmarks on both total return and return volatility dimensions.</w:t>
      </w:r>
    </w:p>
    <w:p>
      <w:pPr>
        <w:spacing w:after="0" w:line="158"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See "Management's Discussion and Analysis of Financial Condition and Results of Operations—Financial Condition—Investments" for information regarding the performance of our investment portfolio.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Direct U.S. Regulation</w:t>
      </w:r>
    </w:p>
    <w:p>
      <w:pPr>
        <w:spacing w:after="0" w:line="225"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We are subject to comprehensive, detailed regulation by Federal regulators and state insurance departments. State regulations are principally designed for the protection of the public and our insured policyholders, rather than for the benefit of investors. Although their scope varies, state insurance laws generally grant broad supervisory powers to agencies or to officials to examine insurance companies and to enforce rules or to exercise discretion affecting almost every significant aspect of the insurance business.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GSE Qualified Mortgage Insurer Requirements</w:t>
      </w:r>
    </w:p>
    <w:p>
      <w:pPr>
        <w:spacing w:after="0" w:line="22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Pursuant to their charters, Fannie Mae and Freddie Mac purchase or guaranty low down payment loans insured by entities that they determine to be qualified mortgage insurance companies. Our primary insurance subsidiary, Essent Guaranty, Inc., is currently approved by both Fannie Mae and Freddie Mac as a mortgage insurer.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21" w:name="page22"/>
    <w:bookmarkEnd w:id="21"/>
    <w:p>
      <w:pPr>
        <w:ind w:firstLine="432"/>
        <w:spacing w:after="0" w:line="312" w:lineRule="auto"/>
        <w:rPr>
          <w:sz w:val="20"/>
          <w:szCs w:val="20"/>
          <w:color w:val="auto"/>
        </w:rPr>
      </w:pPr>
      <w:r>
        <w:rPr>
          <w:rFonts w:ascii="Arial" w:cs="Arial" w:eastAsia="Arial" w:hAnsi="Arial"/>
          <w:sz w:val="16"/>
          <w:szCs w:val="16"/>
          <w:color w:val="auto"/>
        </w:rPr>
        <w:t>The FHFA, as the conservator of the GSEs, has the authority to establish the priorities of the GSEs and to control and direct their operations. The FHFA has established a strategic plan for the GSEs, including the development by the GSEs of aligned counterparty risk management standards for mortgage insurers that include uniform master policy and eligibility requirements. See "—Our Products and Services—Mortgage Insurance—Master Policy" above.</w:t>
      </w:r>
    </w:p>
    <w:p>
      <w:pPr>
        <w:spacing w:after="0" w:line="147"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As of December 31, 2016, Essent Guaranty, Inc., our GSE-approved mortgage insurance company, was in compliance with the PMIERs.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State Insurance Regulation</w:t>
      </w:r>
    </w:p>
    <w:p>
      <w:pPr>
        <w:spacing w:after="0" w:line="225"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U.S. insurance subsidiaries are required by the insurance regulatory authority of its state of domicile, and the insurance regulatory authority of each other jurisdiction in which they are licensed to transact business, to make various filings with those insurance regulatory authorities and with the National Association of Insurance Commissioners, or NAIC, including quarterly and annual financial statements prepared in accordance with statutory accounting principles. We are licensed to write mortgage insurance in all 50 states and the District of Columbia. Most states also regulate transactions between insurance companies and their affiliates and have restrictions on transactions that have the effect of inducing lenders to place business with the insurer. For a description of limits on dividends payable to Essent Group Ltd. from our insurance subsidiaries, see "Management's Discussion and Analysis of Financial Condition and Results of Operations—Liquidity and Capital Resources" and Note 11 to our consolidated financial statements entitled "Dividends Restrictions" included elsewhere in this Annual Report.</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general, state regulation of our insurance business relates to:</w:t>
      </w:r>
    </w:p>
    <w:p>
      <w:pPr>
        <w:spacing w:after="0" w:line="225" w:lineRule="exact"/>
        <w:rPr>
          <w:sz w:val="20"/>
          <w:szCs w:val="20"/>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licenses to transact business;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producer licensing;</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approval of policy forms;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approval of premium rates;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limits on insurable loans;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quarterly, annual and other reports on our financial condition;</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basis upon which assets and liabilities must be stated;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requirements regarding contingency reserves;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minimum capital levels and adequacy ratios;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limitations on the types of investment instruments which may be held in our investment portfolio;</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special deposits of securities;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limits on dividends payable;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advertising compliance;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establishment of reserves;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claims handling;</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584" w:right="279" w:bottom="1440" w:gutter="0" w:footer="0" w:header="0"/>
        </w:sectPr>
      </w:pPr>
    </w:p>
    <w:bookmarkStart w:id="22" w:name="page23"/>
    <w:bookmarkEnd w:id="22"/>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hazardous financial condition;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enterprise risk management.</w:t>
      </w:r>
    </w:p>
    <w:p>
      <w:pPr>
        <w:spacing w:after="0" w:line="225"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Mortgage insurance premium rates are regulated to protect policyholders against the adverse effects of excessive, inadequate or unfairly discriminatory rates and to encourage competition in the insurance marketplace. Any increase in premium rates must be actuarially justified, generally on the basis of the insurer's loss experience, expenses and future trend analysis. The general mortgage default experience may also be considered. Premium rates are subject to review and approval protocols maintained, and may be the subject of examination, by state regulators. See "Management's Discussion and Analysis— Liquidity and Capital Resources" for information about regulations governing our capital adequacy, information about our current capital and our expectations regarding our future capital position.</w:t>
      </w:r>
    </w:p>
    <w:p>
      <w:pPr>
        <w:spacing w:after="0" w:line="193"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The insurance holding company laws and regulations of Pennsylvania, the state in which our U.S. insurance subsidiaries are domiciled, regulate, among other things, certain transactions between Essent Group Ltd., our insurance subsidiaries and other parties affiliated with us and certain transactions involving our common shares, including transactions that constitute a change of control of Essent Group Ltd. and, consequently, a change of control of our insurance subsidiaries. Specifically, these laws and regulations require that, before a person can acquire direct or indirect control of an insurer domiciled in the state, prior written approval must be obtained from the Pennsylvania Insurance Department. The Pennsylvania Insurance Department is required to consider various factors, including the financial strength of the acquirer, the integrity and management experience of the acquirer's board of directors and executive officers, and the acquirer's plans for the future operations of the reinsurer or insurer. Pursuant to applicable laws and regulations, "control" over an insurer is generally presumed to exist if any person, directly or indirectly, owns, controls, holds the power to vote or holds proxies representing, 10% or more of the voting securities of that reinsurer or insurer. Indirect ownership includes ownership of our common shares.</w:t>
      </w:r>
    </w:p>
    <w:p>
      <w:pPr>
        <w:spacing w:after="0" w:line="167" w:lineRule="exact"/>
        <w:rPr>
          <w:sz w:val="20"/>
          <w:szCs w:val="20"/>
          <w:color w:val="auto"/>
        </w:rPr>
      </w:pPr>
    </w:p>
    <w:p>
      <w:pPr>
        <w:ind w:right="840" w:firstLine="432"/>
        <w:spacing w:after="0" w:line="277" w:lineRule="auto"/>
        <w:rPr>
          <w:sz w:val="20"/>
          <w:szCs w:val="20"/>
          <w:color w:val="auto"/>
        </w:rPr>
      </w:pPr>
      <w:r>
        <w:rPr>
          <w:rFonts w:ascii="Arial" w:cs="Arial" w:eastAsia="Arial" w:hAnsi="Arial"/>
          <w:sz w:val="18"/>
          <w:szCs w:val="18"/>
          <w:color w:val="auto"/>
        </w:rPr>
        <w:t>State insurance law, and not Federal bankruptcy law, would apply to any insolvency or financially hazardous condition of our U.S. insurance subsidiaries.</w:t>
      </w:r>
    </w:p>
    <w:p>
      <w:pPr>
        <w:spacing w:after="0" w:line="170"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During 2012, the NAIC established a Mortgage Guaranty Insurance Working Group, which we refer to as the "MGIWG," to determine and make recommendations to the NAIC's Financial Condition Committee regarding what, if any, changes are deemed necessary to the solvency regulation of mortgage guaranty insurers. The MGIWG has advanced a draft revised Model Act and has engaged with certain industry members developing a risk-sensitive analytical model to assess and establish capital adequacy levels. The MGIWG is continuing its work into 2017.</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Statutory Accounting</w:t>
      </w:r>
    </w:p>
    <w:p>
      <w:pPr>
        <w:spacing w:after="0" w:line="225" w:lineRule="exact"/>
        <w:rPr>
          <w:sz w:val="20"/>
          <w:szCs w:val="20"/>
          <w:color w:val="auto"/>
        </w:rPr>
      </w:pPr>
    </w:p>
    <w:p>
      <w:pPr>
        <w:jc w:val="both"/>
        <w:ind w:right="160" w:firstLine="432"/>
        <w:spacing w:after="0" w:line="312" w:lineRule="auto"/>
        <w:rPr>
          <w:sz w:val="20"/>
          <w:szCs w:val="20"/>
          <w:color w:val="auto"/>
        </w:rPr>
      </w:pPr>
      <w:r>
        <w:rPr>
          <w:rFonts w:ascii="Arial" w:cs="Arial" w:eastAsia="Arial" w:hAnsi="Arial"/>
          <w:sz w:val="16"/>
          <w:szCs w:val="16"/>
          <w:color w:val="auto"/>
        </w:rPr>
        <w:t>The preparation of financial statements in conformity with state-regulated statutory accounting principles requires management to make estimates and assumptions that affect the reported amounts of assets and liabilities. It also requires disclosure of contingent assets and liabilities at the date of the financial statements and the reported amounts of revenue and expenses during the period. Actual results could differ from those estimates.</w:t>
      </w:r>
    </w:p>
    <w:p>
      <w:pPr>
        <w:spacing w:after="0" w:line="147"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are required to establish statutory accounting contingency loss reserves in an amount equal to 50% of our net earned premiums. These amounts generally cannot be withdrawn for a period of 10 years, except as permitted by applicable insurance law and regulations. With regulatory approval, a mortgage guaranty insurance company may make early withdrawals from the contingency reserve when incurred losses exceed 35% of net premiums earned in a calendar year. For further information, see Note 17 to our consolidated financial statements entitled "Statutory Accounting" included elsewhere in this Annual Report.</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Federal Mortgage-Related Laws and Regulations</w:t>
      </w:r>
    </w:p>
    <w:p>
      <w:pPr>
        <w:spacing w:after="0" w:line="225"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Certain Federal laws directly or indirectly affect private mortgage insurers. Private mortgage insurers are impacted indirectly by Federal laws and regulations affecting mortgage originators and lenders, purchasers of mortgage loans, such as the GSEs, and governmental insurers such as the FHA and the VA. For example, changes in Federal housing laws and regulation or other laws and regulations that affect the demand for private mortgage insurance may have a material adverse effect on us. In addition, mortgage origination and servicing transactions are subject to compliance with various Federal and state laws, including the Real Estate Settlement Procedures Act, or RESPA, the Equal Credit Opportunity Act, the Fair Housing Act, the Truth In Lending Act, or TILA, the Homeowners Protection Act of 1998, or HOPA, the Fair Credit Reporting Act of 1970 and the Fair Debt Collection Practices Act. Among other things, these laws and their implementing regulations prohibit payments for referrals of settlement service business, require fairness and non-discrimination in granting or facilitating the granting of credit, govern the circumstances under which companies may obtain and use consumer credit information, define the manner in which companies may pursue collection activities, and provide for other consumer protections.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23" w:name="page24"/>
    <w:bookmarkEnd w:id="23"/>
    <w:p>
      <w:pPr>
        <w:ind w:left="420"/>
        <w:spacing w:after="0"/>
        <w:rPr>
          <w:sz w:val="20"/>
          <w:szCs w:val="20"/>
          <w:color w:val="auto"/>
        </w:rPr>
      </w:pPr>
      <w:r>
        <w:rPr>
          <w:rFonts w:ascii="Arial" w:cs="Arial" w:eastAsia="Arial" w:hAnsi="Arial"/>
          <w:sz w:val="18"/>
          <w:szCs w:val="18"/>
          <w:i w:val="1"/>
          <w:iCs w:val="1"/>
          <w:color w:val="auto"/>
        </w:rPr>
        <w:t>Dodd-Frank Act</w:t>
      </w:r>
    </w:p>
    <w:p>
      <w:pPr>
        <w:spacing w:after="0" w:line="225"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The Dodd-Frank Act Wall Street Reform and Consumer Protection Act of 2010, which we refer to as the Dodd-Frank Act, amended certain provisions of TILA and RESPA that may have a significant impact on our business prospects. The Consumer Financial Protection Bureau, or CFPB, a Federal agency created by the Dodd-Frank Act, is charged with implementation and enforcement of these provisions. On January 10, 2014, the CFPB implemented a final rule regarding ability-to-repay, or ATR, and Qualified Mortgage, or QM, standards. The Office of the Comptroller of the Currency, the Federal Reserve Board, the Federal Deposit Insurance Commission, the Federal Housing Finance Agency, the Securities and Exchange Commission and the Department of Housing and Urban Development subsequently adopted a joint final rule implementing the Qualified Residential Mortgage, or QRM, regulations effective December 24, 2015 as required by the Dodd-Frank Act. The CFPB has also published final residential mortgage servicing rules providing for amendments to Regulation Z (promulgated pursuant to TILA) and RESPA.</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Qualified Mortgage Regulations—Ability To Repay Requirements</w:t>
      </w:r>
    </w:p>
    <w:p>
      <w:pPr>
        <w:spacing w:after="0" w:line="22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The Dodd-Frank Act established the CFPB to regulate the offering and provision of consumer financial products and services under Federal law, including residential mortgages. Under the Dodd-Frank Act, the CFPB is authorized to issue regulations governing a loan originator's determination that, at the time a loan is originated, the consumer has a reasonable ability to repay the loan. The Dodd-Frank Act provides for a statutory presumption that a borrower will have the ability to repay a loan if the loan has characteristics satisfying the QM definition. Creditors who violate the ATR standard can be liable for all interest and fees paid by the borrower as well as actual and statutory damages. Furthermore, the borrower may assert this as a defense by recoupment or set off without regard to any statute of limitation in any foreclosure action initiated by or on behalf of the creditor, assignee or any holder of the mortgage.</w:t>
      </w:r>
    </w:p>
    <w:p>
      <w:pPr>
        <w:spacing w:after="0" w:line="165" w:lineRule="exact"/>
        <w:rPr>
          <w:sz w:val="20"/>
          <w:szCs w:val="20"/>
          <w:color w:val="auto"/>
        </w:rPr>
      </w:pPr>
    </w:p>
    <w:p>
      <w:pPr>
        <w:ind w:right="740" w:firstLine="432"/>
        <w:spacing w:after="0" w:line="277" w:lineRule="auto"/>
        <w:rPr>
          <w:sz w:val="20"/>
          <w:szCs w:val="20"/>
          <w:color w:val="auto"/>
        </w:rPr>
      </w:pPr>
      <w:r>
        <w:rPr>
          <w:rFonts w:ascii="Arial" w:cs="Arial" w:eastAsia="Arial" w:hAnsi="Arial"/>
          <w:sz w:val="18"/>
          <w:szCs w:val="18"/>
          <w:color w:val="auto"/>
        </w:rPr>
        <w:t>Pursuant to the CFPB's final rule regarding QMs, which we refer to as the QM Rule, a loan is deemed to be a QM if it meets certain specified requirements, including if:</w:t>
      </w:r>
    </w:p>
    <w:p>
      <w:pPr>
        <w:spacing w:after="0" w:line="170" w:lineRule="exact"/>
        <w:rPr>
          <w:sz w:val="20"/>
          <w:szCs w:val="20"/>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 of the mortgage is less than or equal to 30 years;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is no negative amortization, interest only or balloon features;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lender properly documents the loan in accordance with the requirements;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total "points and fees" do not exceed certain thresholds, generally 3%;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total debt-to-income ratio does not exceed 43%.</w:t>
      </w:r>
    </w:p>
    <w:p>
      <w:pPr>
        <w:spacing w:after="0" w:line="22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QM Rule provides a "safe harbor" for QM loans with annual percentage rates, or APRs, below the threshold of 150 basis points over the Average Prime Offer Rate, or APOR, and a "rebuttable presumption" for QM loans with an APR above that threshold.</w:t>
      </w:r>
    </w:p>
    <w:p>
      <w:pPr>
        <w:spacing w:after="0" w:line="170" w:lineRule="exact"/>
        <w:rPr>
          <w:sz w:val="20"/>
          <w:szCs w:val="20"/>
          <w:color w:val="auto"/>
        </w:rPr>
      </w:pPr>
    </w:p>
    <w:p>
      <w:pPr>
        <w:ind w:right="60" w:firstLine="432"/>
        <w:spacing w:after="0" w:line="267" w:lineRule="auto"/>
        <w:rPr>
          <w:sz w:val="20"/>
          <w:szCs w:val="20"/>
          <w:color w:val="auto"/>
        </w:rPr>
      </w:pPr>
      <w:r>
        <w:rPr>
          <w:rFonts w:ascii="Arial" w:cs="Arial" w:eastAsia="Arial" w:hAnsi="Arial"/>
          <w:sz w:val="17"/>
          <w:szCs w:val="17"/>
          <w:color w:val="auto"/>
        </w:rPr>
        <w:t>The Dodd-Frank Act separately granted statutory authority to HUD (for FHA-insured loans), the VA (for VA-guaranteed loans) and certain other government agency insurance programs to develop their own definitions of a qualified mortgage in consultation with the CFPB. In 2013, HUD adopted a separate definition of a qualified mortgage for loans insured by the FHA. The VA developed its QM definition in 2014. Under both the FHA's and the VA's QM standards, certain loans which would not qualify as QM loans in the conventional market would still be deemed to be QM loans if insured or guaranteed by FHA or VA. As a result, lenders may favor the use of FHA or VA insurance to achieve the legal protections of making a QM loan through these agencies, even if the same loan could be made at the same or lower cost to the borrower using private mortgage insurance, which could adversely impact our business. To the extent that the other government agencies adopt their own</w:t>
      </w:r>
    </w:p>
    <w:p>
      <w:pPr>
        <w:spacing w:after="0" w:line="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definitions of a QM which are more favorable to lenders and mortgage holders than those applicable to the market in which we operate, our business may be adversely affected.</w:t>
      </w:r>
    </w:p>
    <w:p>
      <w:pPr>
        <w:spacing w:after="0" w:line="184"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The QM Rule also provides for a second, temporary category that allows for more flexible underwriting requirements. To qualify under the temporary QM definition, a mortgage must meet the general product feature requirements and be eligible to be purchased or guaranteed by either of the GSEs (while they remain under FHFA conservatorship), the FHA, the VA, and the U.S. Department of Agriculture Rural Development program. This temporary QM category expires on January 10, 2021, or earlier if the Federal agencies issue their own qualified mortgage rules or, with respect to GSEs, if the FHFA's conservatorship</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800" w:right="279" w:bottom="1440" w:gutter="0" w:footer="0" w:header="0"/>
        </w:sectPr>
      </w:pPr>
    </w:p>
    <w:bookmarkStart w:id="24" w:name="page25"/>
    <w:bookmarkEnd w:id="24"/>
    <w:p>
      <w:pPr>
        <w:ind w:right="20"/>
        <w:spacing w:after="0" w:line="277" w:lineRule="auto"/>
        <w:rPr>
          <w:sz w:val="20"/>
          <w:szCs w:val="20"/>
          <w:color w:val="auto"/>
        </w:rPr>
      </w:pPr>
      <w:r>
        <w:rPr>
          <w:rFonts w:ascii="Arial" w:cs="Arial" w:eastAsia="Arial" w:hAnsi="Arial"/>
          <w:sz w:val="18"/>
          <w:szCs w:val="18"/>
          <w:color w:val="auto"/>
        </w:rPr>
        <w:t>ends. Since January 10, 2014, the GSEs have limited their purchases to loans that meet certain QM criteria, namely loans that are fully amortizing, have terms of 30 years or less, and have points and fees representing 3% or less of the total loan amount.</w:t>
      </w:r>
    </w:p>
    <w:p>
      <w:pPr>
        <w:spacing w:after="0" w:line="170" w:lineRule="exact"/>
        <w:rPr>
          <w:sz w:val="20"/>
          <w:szCs w:val="20"/>
          <w:color w:val="auto"/>
        </w:rPr>
      </w:pPr>
    </w:p>
    <w:p>
      <w:pPr>
        <w:ind w:right="280" w:firstLine="432"/>
        <w:spacing w:after="0" w:line="291" w:lineRule="auto"/>
        <w:rPr>
          <w:sz w:val="20"/>
          <w:szCs w:val="20"/>
          <w:color w:val="auto"/>
        </w:rPr>
      </w:pPr>
      <w:r>
        <w:rPr>
          <w:rFonts w:ascii="Arial" w:cs="Arial" w:eastAsia="Arial" w:hAnsi="Arial"/>
          <w:sz w:val="16"/>
          <w:szCs w:val="16"/>
          <w:color w:val="auto"/>
        </w:rPr>
        <w:t>Under the QM Rule, mortgage insurance premiums that are payable by the consumer at or prior to consummation of the loan are includible in the calculation of points and fees unless, and to the extent that the up-front premiums, or UFPs, are (i) less than or equal to the UFPs charged by the FHA, and</w:t>
      </w:r>
    </w:p>
    <w:p>
      <w:pPr>
        <w:ind w:firstLine="8"/>
        <w:spacing w:after="0" w:line="267" w:lineRule="auto"/>
        <w:tabs>
          <w:tab w:leader="none" w:pos="265" w:val="left"/>
        </w:tabs>
        <w:numPr>
          <w:ilvl w:val="0"/>
          <w:numId w:val="16"/>
        </w:numPr>
        <w:rPr>
          <w:rFonts w:ascii="Arial" w:cs="Arial" w:eastAsia="Arial" w:hAnsi="Arial"/>
          <w:sz w:val="17"/>
          <w:szCs w:val="17"/>
          <w:color w:val="auto"/>
        </w:rPr>
      </w:pPr>
      <w:r>
        <w:rPr>
          <w:rFonts w:ascii="Arial" w:cs="Arial" w:eastAsia="Arial" w:hAnsi="Arial"/>
          <w:sz w:val="17"/>
          <w:szCs w:val="17"/>
          <w:color w:val="auto"/>
        </w:rPr>
        <w:t>are automatically refundable on a pro rata basis upon satisfaction of the loan. Our borrower-paid single premium products, both refundable and non-refundable, may be includible within the points and fees calculation under the QM Rule. As noted above, the QM Rule includes a limitation on points and fees in excess of 3% of the total loan amount. Because inclusion of mortgage insurance premiums in the calculation of points and fees will reduce the capacity for other points and fees in order for lenders to comply with the cap, mortgage originators may be less likely to utilize borrower-paid single premium mortgage insurance products. Even where the mortgage insurance premium is not directly included in the calculation of points and fees, it may limit the ability of the lender to charge other points and fees. The treatment of mortgage insurance premiums as a component of the points and fees calculation, or the potential indirect impact of mortgage insurance premiums on the total points and fees, may be a key determinant of whether a loan is in the safe harbor, receives a rebuttable presumption of ability to repay, or receives no presumption. As a result, the QM Rule may decrease demand for certain of our single premium products and may increase demand for monthly, annual and "split" premium mortgage insurance products that do not impact or have a smaller impact on the points and fees. See "Management's Discussion and Analysis of Financial Condition and Results of Operations—Factors Affecting Our Results of Operations—Persistency and Business Mix."</w:t>
      </w:r>
    </w:p>
    <w:p>
      <w:pPr>
        <w:spacing w:after="0" w:line="187"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We expect that most lenders will continue to be reluctant to make non-QM loans because they will not be entitled to the presumption against civil liability under the Dodd-Frank Act, and mortgage investors may be reluctant to purchase mortgages or mortgage-backed securities that are not QMs due to potential assignee liability for such loans. As a result, we believe that the QM regulations have a direct impact on establishing a subset of borrowers who can meet the regulatory standards and directly affect the willingness of lenders and mortgage investors to extend mortgage credit and therefore the size of the residential mortgage market. See "Risk Factors—Risks Relating to Our Business—</w:t>
      </w:r>
      <w:r>
        <w:rPr>
          <w:rFonts w:ascii="Arial" w:cs="Arial" w:eastAsia="Arial" w:hAnsi="Arial"/>
          <w:sz w:val="17"/>
          <w:szCs w:val="17"/>
          <w:i w:val="1"/>
          <w:iCs w:val="1"/>
          <w:color w:val="auto"/>
        </w:rPr>
        <w:t>Our business prospects and operating results could be adversely impacted</w:t>
      </w:r>
      <w:r>
        <w:rPr>
          <w:rFonts w:ascii="Arial" w:cs="Arial" w:eastAsia="Arial" w:hAnsi="Arial"/>
          <w:sz w:val="17"/>
          <w:szCs w:val="17"/>
          <w:color w:val="auto"/>
        </w:rPr>
        <w:t xml:space="preserve"> </w:t>
      </w:r>
      <w:r>
        <w:rPr>
          <w:rFonts w:ascii="Arial" w:cs="Arial" w:eastAsia="Arial" w:hAnsi="Arial"/>
          <w:sz w:val="17"/>
          <w:szCs w:val="17"/>
          <w:i w:val="1"/>
          <w:iCs w:val="1"/>
          <w:color w:val="auto"/>
        </w:rPr>
        <w:t>if, and to the extent that, the Consumer Financial Protection Bureau's ("CFPB") final rule defining a qualified mortgage ("QM") reduces the size of the origination market or creates incentives to use government mortgage insurance programs."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Qualified Residential Mortgage Regulations—Risk Retention Requirements</w:t>
      </w:r>
    </w:p>
    <w:p>
      <w:pPr>
        <w:spacing w:after="0" w:line="225"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The Dodd-Frank Act generally requires an issuer of an asset-backed security or a person who organizes and initiates an asset-backed transaction (a "securitizer") to retain at least 5% of the risk associated with securitized mortgage loans, although in some cases the retained risk may be allocated between the securitizer and the mortgage originator. This risk retention requirement does not apply to a mortgage loan that is a "qualified residential mortgage," or a "QRM," or that is insured or guaranteed by the FHA or other specified Federal agencies.</w:t>
      </w:r>
    </w:p>
    <w:p>
      <w:pPr>
        <w:spacing w:after="0" w:line="187"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The QRM regulations, which became effective on December 24, 2015, align the definition of a QRM loan with that of a QM loan. Given the alignment of the QRM definition to QM, unless the QRM or QM definitions are revised we expect little or no adverse impact to our current business from the final QRM standards. If, however, the QRM definition is changed (or the QM definition is amended) in a manner that is unfavorable to us, such as to give no consideration to mortgage insurance in computing LTV or to require a large down payment for a loan to qualify as a QRM, the attractiveness of originating and securitizing loans with lower down payments may be reduced, which may adversely affect the future demand for mortgage insurance. See "Risk Factors —Risks Relating to Our Business—</w:t>
      </w:r>
      <w:r>
        <w:rPr>
          <w:rFonts w:ascii="Arial" w:cs="Arial" w:eastAsia="Arial" w:hAnsi="Arial"/>
          <w:sz w:val="17"/>
          <w:szCs w:val="17"/>
          <w:i w:val="1"/>
          <w:iCs w:val="1"/>
          <w:color w:val="auto"/>
        </w:rPr>
        <w:t>The amount of insurance we write could be adversely affected by the implementation of the Dodd-Frank Act's risk</w:t>
      </w:r>
      <w:r>
        <w:rPr>
          <w:rFonts w:ascii="Arial" w:cs="Arial" w:eastAsia="Arial" w:hAnsi="Arial"/>
          <w:sz w:val="17"/>
          <w:szCs w:val="17"/>
          <w:color w:val="auto"/>
        </w:rPr>
        <w:t xml:space="preserve"> </w:t>
      </w:r>
      <w:r>
        <w:rPr>
          <w:rFonts w:ascii="Arial" w:cs="Arial" w:eastAsia="Arial" w:hAnsi="Arial"/>
          <w:sz w:val="17"/>
          <w:szCs w:val="17"/>
          <w:i w:val="1"/>
          <w:iCs w:val="1"/>
          <w:color w:val="auto"/>
        </w:rPr>
        <w:t>retention requirements and the definition of Qualified Residential Mortgage ("QRM").</w:t>
      </w:r>
      <w:r>
        <w:rPr>
          <w:rFonts w:ascii="Arial" w:cs="Arial" w:eastAsia="Arial" w:hAnsi="Arial"/>
          <w:sz w:val="17"/>
          <w:szCs w:val="17"/>
          <w:color w:val="auto"/>
        </w:rPr>
        <w:t>"</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Mortgage Servicing Rules</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The Dodd-Frank Act amended and expanded upon mortgage servicing requirements under TILA and RESPA, and in 2014 the CFPB amended Regulation Z (promulgated pursuant to TILA) and Regulation X (promulgated pursuant to RESPA) to conform these regulations accordingly. Included within these rules are new or enhanced requirements for handling escrow accounts, responding to borrower assertions of error and inquiries from borrower, special handling of loans that are in default, and loss mitigation in the event of borrower default. A provision of the required loss mitigation procedures prohibits the loan holder or servicer from commencing foreclosure until 120 days after the borrower's delinquency. Complying with the new rules could cause the servicing of mortgage loans to become more burdensome and costly than it had been prior to the implementation of these rules. As to servicing of mortgage loans covered by our insurance policies, these rules could contribute to delays in realization upon collateral and have an adverse impact on resolution of claims.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5" w:name="page26"/>
    <w:bookmarkEnd w:id="25"/>
    <w:p>
      <w:pPr>
        <w:ind w:left="420"/>
        <w:spacing w:after="0"/>
        <w:rPr>
          <w:sz w:val="20"/>
          <w:szCs w:val="20"/>
          <w:color w:val="auto"/>
        </w:rPr>
      </w:pPr>
      <w:r>
        <w:rPr>
          <w:rFonts w:ascii="Arial" w:cs="Arial" w:eastAsia="Arial" w:hAnsi="Arial"/>
          <w:sz w:val="18"/>
          <w:szCs w:val="18"/>
          <w:i w:val="1"/>
          <w:iCs w:val="1"/>
          <w:color w:val="auto"/>
        </w:rPr>
        <w:t>Homeowners Protection Act of 1998</w:t>
      </w:r>
    </w:p>
    <w:p>
      <w:pPr>
        <w:spacing w:after="0" w:line="225" w:lineRule="exact"/>
        <w:rPr>
          <w:sz w:val="20"/>
          <w:szCs w:val="20"/>
          <w:color w:val="auto"/>
        </w:rPr>
      </w:pPr>
    </w:p>
    <w:p>
      <w:pPr>
        <w:ind w:right="240" w:firstLine="432"/>
        <w:spacing w:after="0" w:line="288" w:lineRule="auto"/>
        <w:rPr>
          <w:sz w:val="20"/>
          <w:szCs w:val="20"/>
          <w:color w:val="auto"/>
        </w:rPr>
      </w:pPr>
      <w:r>
        <w:rPr>
          <w:rFonts w:ascii="Arial" w:cs="Arial" w:eastAsia="Arial" w:hAnsi="Arial"/>
          <w:sz w:val="16"/>
          <w:szCs w:val="16"/>
          <w:color w:val="auto"/>
        </w:rPr>
        <w:t>The Homeowners Protection Act of 1998, or HOPA, provides for the automatic termination, or cancellation upon a borrower's request, of private mortgage insurance upon satisfaction of certain conditions. HOPA requires that lenders give borrowers certain notices with regard to the automatic termination or cancellation of mortgage insurance. These provisions apply to borrower-paid mortgage insurance for purchase money, refinance and construction loans secured by the borrower's principal dwelling. FHA and VA loans are not covered by HOPA. Under HOPA, automatic termination of mortgage insurance would generally occur when the mortgage is first scheduled to reach an LTV of 78% of the home's original value, assuming that the borrower is current on the required mortgage payments. A borrower who has a "good payment history," as defined by HOPA, may generally request cancellation of mortgage insurance when the LTV is first scheduled to reach 80% of the home's original value or when actual payments reduce the loan balance to 80% of the home's original value, whichever occurs earlier. If mortgage insurance coverage is not cancelled at the borrower's request or by the automatic termination provision, the mortgage servicer must terminate mortgage insurance coverage by the first day of the month following the date that is the midpoint of the loan's amortization, assuming the borrower is current on the required mortgage payments.</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Real Estate Settlement Procedures Act of 1974</w:t>
      </w:r>
    </w:p>
    <w:p>
      <w:pPr>
        <w:spacing w:after="0" w:line="225"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Mortgage insurance generally may be considered to be a "settlement service" for purposes of RESPA under applicable regulations. Subject to limited exceptions, RESPA prohibits persons from giving or accepting anything of value in connection with the referral of a settlement service. RESPA authorizes the CFPB, the U.S. Department of Justice, state attorneys general and state insurance commissioners to bring civil enforcement actions, and also provides for criminal penalties and private rights of action. In the past, a number of lawsuits have challenged the actions of private mortgage insurers under RESPA, alleging that the insurers have violated the referral fee prohibition by entering into captive reinsurance arrangements or providing products or services to mortgage lenders at improperly reduced prices in return for the referral of mortgage insurance, including the provision of contract underwriting services. In addition to these private lawsuits, other private mortgage insurance companies have received "Civil Investigative Demands" from the CFPB as part of its investigation to determine whether mortgage lenders and mortgage insurance providers engaged in acts or practices in connection with their captive mortgage insurance arrangements in violation of the RESPA, the Consumer Financial Protection Act and the Dodd-Frank Act. Our primary insurance subsidiary received such an inquiry from the CFPB in January 2012; however, we do not currently have nor have we ever had any such captive reinsurance arrangements. In April 2013, the United States District Court for the Southern District of Florida approved consent orders issued by the CFPB against four other private mortgage insurers relating to captive reinsurance, and a settlement with a fifth private mortgage insurer was announced in November 2013. Under the settlements as approved, the mortgage insurers agreed to end the challenged practices, pay monetary penalties, and be subject to monitoring by the CFPB and are required to make reports to the CFPB in order to ensure their compliance with the provisions of the orders. Although we did not participate in the practices that were the subject of the CFPB investigation, the private mortgage industry and our insurance subsidiaries are subject to substantial Federal and state regulation. Increased Federal or state regulatory scrutiny could lead to new legal precedents, new regulations or new practices, or regulatory actions or investigations, which could adversely affect our financial condition and operating results.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SAFE Act (Mortgage Loan Originator Licensing)</w:t>
      </w:r>
    </w:p>
    <w:p>
      <w:pPr>
        <w:spacing w:after="0" w:line="225"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 SAFE Act requires mortgage loan originators to be licensed and/or registered with the Nationwide Mortgage Licensing System and Registry, or the NMLS. The NMLS is a database established by the Conference of State Bank Supervisors and the American Association of Residential Mortgage Regulators. Among other things, the database was established to support the licensing of mortgage loan originators by each state. As part of this licensing and registration process, loan originators who are employees of institutions other than depository institutions or certain of their subsidiaries that are regulated by a Federal banking agency, must generally be licensed under the SAFE Act guidelines enacted by each state in which they engage in loan originator activities and registered with the NMLS. The SAFE Act generally prohibits employees of a depository institution (including certain of their subsidiaries that are regulated by a Federal banking agency) from originating residential mortgage loans without first registering with the NMLS and maintaining that registration. Certain of our underwriters are licensed pursuant to the SAFE Act.</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Privacy and Information Security</w:t>
      </w:r>
    </w:p>
    <w:p>
      <w:pPr>
        <w:spacing w:after="0" w:line="225"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The Gramm-Leach-Bliley Act of 1999, or GLB, imposes privacy requirements on financial institutions, including obligations to protect and safeguard consumers' nonpublic personal information and records, and limitations on the re-use of such information. Federal regulatory agencies have issued the Interagency Guidelines Establishing Information Security Standards, or "Security Guidelines," and interagency regulations regarding financial privacy, or "Privacy Rule," implementing</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800" w:right="259" w:bottom="1440" w:gutter="0" w:footer="0" w:header="0"/>
        </w:sectPr>
      </w:pPr>
    </w:p>
    <w:bookmarkStart w:id="26" w:name="page27"/>
    <w:bookmarkEnd w:id="26"/>
    <w:p>
      <w:pPr>
        <w:ind w:right="180"/>
        <w:spacing w:after="0" w:line="253" w:lineRule="auto"/>
        <w:rPr>
          <w:sz w:val="20"/>
          <w:szCs w:val="20"/>
          <w:color w:val="auto"/>
        </w:rPr>
      </w:pPr>
      <w:r>
        <w:rPr>
          <w:rFonts w:ascii="Arial" w:cs="Arial" w:eastAsia="Arial" w:hAnsi="Arial"/>
          <w:sz w:val="18"/>
          <w:szCs w:val="18"/>
          <w:color w:val="auto"/>
        </w:rPr>
        <w:t>sections of GLB. The Security Guidelines establish standards relating to administrative, technical, and physical safeguards to ensure the security, confidentiality, integrity, and the proper disposal of consumer information. The Privacy Rule limits a financial institution's disclosure of nonpublic personal information to unaffiliated third parties unless certain notice requirements are met and the consumer does not elect to prevent or "opt out" of the disclosure. The Privacy Rule also requires that privacy notices provided to customers and consumers describe the financial institutions' policies and practices to protect the confidentiality and security of the information. With respect to our business, GLB is enforced by the U.S. Federal Trade Commission, or FTC, and state insurance regulators. Many states have enacted legislation implementing GLB and establishing information security regulation. Many states have enacted privacy and data security laws which impose compliance obligations beyond GLB, including obligations to protect social security numbers and provide notification in the event that a security breach results in a reasonable belief that unauthorized persons may have obtained access to consumer nonpublic information.</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Fair Credit Reporting Act</w:t>
      </w:r>
    </w:p>
    <w:p>
      <w:pPr>
        <w:spacing w:after="0" w:line="225"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The Fair Credit Reporting Act of 1970, as amended, or FCRA, imposes restrictions on the permissible use of credit report information. FCRA has been interpreted by some FTC staff and Federal courts to require mortgage insurance companies to provide "adverse action" notices to consumers in the event an application for mortgage insurance is declined or offered at less than the best available rate for the loan program applied for on the basis of a review of the consumer's credit. We provide such notices as required. Although we have not been involved, there has been class action litigation over these FCRA adverse action notices involving the mortgage insurance industry, including court-approved settlements.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Housing Finance Reform</w:t>
      </w:r>
    </w:p>
    <w:p>
      <w:pPr>
        <w:spacing w:after="0" w:line="225"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Presently, the Federal government plays a dominant role in the U.S. housing finance system through the involvement of the GSEs and the FHA, VA and Ginnie Mae. There is broad policy consensus toward the need for private capital to play a larger role and government credit risk to be reduced. However, to date there has been a lack of consensus with regard to the specific changes necessary to return a larger role for private capital and how small the eventual role of government should become. Since the GSEs were placed into conservatorship in September 2008, there have been a wide ranging set of GSE and secondary market reform advocacy proposals put forward, including nearly complete privatization and elimination of the role of the GSEs, recapitalization of the GSEs and a number of alternatives that combine a Federal role with private capital, some of which eliminate the GSEs and others of which envision an on-going role for the GSEs. Since 2011, a number of comprehensive GSE/secondary market legislative reform bills have also been introduced or discussed in the U.S. Congress, differing with regard to the future role of the GSEs, the overall structure of the secondary market and the role of the Federal government within the mortgage market. In addition, the size, complexity and centrality of the GSEs to the current housing finance system and the importance of housing to the economy make the transition to any new housing finance system difficult.</w:t>
      </w:r>
    </w:p>
    <w:p>
      <w:pPr>
        <w:spacing w:after="0" w:line="17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placement of the GSEs into the conservatorship of the FHFA increases the likelihood that the U.S. Congress will address the role and purpose of the GSEs in the U.S. housing market and potentially legislate structural and other changes to the GSEs and the functioning of the secondary mortgage market. New Federal legislation could reduce the level of private mortgage insurance coverage used by the GSEs as credit enhancement, eliminate the requirement altogether or otherwise alter or eliminate the role of the GSEs, and thereby materially affect our ability to compete, demand for our products and the profitability of our business.</w:t>
      </w:r>
    </w:p>
    <w:p>
      <w:pPr>
        <w:spacing w:after="0" w:line="188"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 xml:space="preserve">There can be no assurance that other Federal laws and regulations affecting these institutions and entities will not change, or that new legislation or regulations will not be adopted that will adversely affect the private mortgage insurance industry. See "Risk Factors—Risks Relating to Our Business— </w:t>
      </w:r>
      <w:r>
        <w:rPr>
          <w:rFonts w:ascii="Arial" w:cs="Arial" w:eastAsia="Arial" w:hAnsi="Arial"/>
          <w:sz w:val="16"/>
          <w:szCs w:val="16"/>
          <w:i w:val="1"/>
          <w:iCs w:val="1"/>
          <w:color w:val="auto"/>
        </w:rPr>
        <w:t>Legislative or regulatory actions or decisions to change the role of the GSEs in the U.S. housing market generally, or changes to the charters of the GSEs with regard to the use of credit enhancements generally and private mortgage insurance specifically, could reduce our revenues or adversely affect our profitability and returns</w:t>
      </w:r>
      <w:r>
        <w:rPr>
          <w:rFonts w:ascii="Arial" w:cs="Arial" w:eastAsia="Arial" w:hAnsi="Arial"/>
          <w:sz w:val="16"/>
          <w:szCs w:val="16"/>
          <w:color w:val="auto"/>
        </w:rPr>
        <w:t>" and "—</w:t>
      </w:r>
      <w:r>
        <w:rPr>
          <w:rFonts w:ascii="Arial" w:cs="Arial" w:eastAsia="Arial" w:hAnsi="Arial"/>
          <w:sz w:val="16"/>
          <w:szCs w:val="16"/>
          <w:i w:val="1"/>
          <w:iCs w:val="1"/>
          <w:color w:val="auto"/>
        </w:rPr>
        <w:t>Changes in the business practices of the GSEs, including actions or decisions to decrease or discontinue the use of mortgage insurance or changes in the GSEs' eligibility requirements for mortgage insurers, could reduce our revenues or adversely affect our profitability and returns.</w:t>
      </w:r>
      <w:r>
        <w:rPr>
          <w:rFonts w:ascii="Arial" w:cs="Arial" w:eastAsia="Arial" w:hAnsi="Arial"/>
          <w:sz w:val="16"/>
          <w:szCs w:val="16"/>
          <w:color w:val="auto"/>
        </w:rPr>
        <w:t>"</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Mortgage Insurance Tax Deduction</w:t>
      </w:r>
    </w:p>
    <w:p>
      <w:pPr>
        <w:spacing w:after="0" w:line="225"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In 2006, Congress enacted the private mortgage insurance tax deduction in order to foster homeownership. The deduction was enacted on a temporary basis and it expired at the end of 2011. Since 2011, the private mortgage insurance tax deduction has been extended three times, most recently for 2015 and through December 31, 2016. Legislation has been introduced in Congress from time to time to extend the deduction for mortgage insurance premiums permanently, however, we cannot predict whether the tax deduction will be made permanent and if not, whether it will be extended for tax years after 2016.</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7" w:name="page28"/>
    <w:bookmarkEnd w:id="27"/>
    <w:p>
      <w:pPr>
        <w:ind w:left="420"/>
        <w:spacing w:after="0"/>
        <w:rPr>
          <w:sz w:val="20"/>
          <w:szCs w:val="20"/>
          <w:color w:val="auto"/>
        </w:rPr>
      </w:pPr>
      <w:r>
        <w:rPr>
          <w:rFonts w:ascii="Arial" w:cs="Arial" w:eastAsia="Arial" w:hAnsi="Arial"/>
          <w:sz w:val="18"/>
          <w:szCs w:val="18"/>
          <w:b w:val="1"/>
          <w:bCs w:val="1"/>
          <w:i w:val="1"/>
          <w:iCs w:val="1"/>
          <w:color w:val="auto"/>
        </w:rPr>
        <w:t>FHA Reform</w:t>
      </w:r>
    </w:p>
    <w:p>
      <w:pPr>
        <w:spacing w:after="0" w:line="225"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We compete with the single-family mortgage insurance programs of the FHA, which is part of HUD. The most recent FHA report to Congress dated November 15, 2016 on the financial status of the FHA Mutual Mortgage Insurance Fund, or MMIF, showed the capital reserve ratio of the MMIF at 2.32%, above the Congressionally mandated required minimum level of 2%. As a result of the financial improvements in the condition of the MMIF over the past few years and the stated desire to support the housing recovery, the FHA reduced its mortgage insurance premiums by 50 basis points in January 2015.</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Federal Insurance Office</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On December 9, 2013, the U.S. Department of the Treasury's Federal Insurance Office released a report entitled "How to Modernize and Improve the System of Insurance Regulation in the United States." This report, which was mandated by Title V of the Dodd-Frank Act, states that that mortgage insurance is "interconnected with other aspects of the federal housing finance system" and will be "an important component of any reform package as an alternative way to place private capital in front of any taxpayer risk." Given this role, the report recommends "national solvency and business practice standards" for mortgage insurers to ensure "confidence in the solvency and performance of housing finance." To the extent any such Federal oversight or standards as may be established exceed the current standards and oversight represented by the overlay of FHFA and GSE-driven eligibility requirements and the direct prudential and solvency regulatory and supervisory oversight of state insurance commissioners, it may adversely affect the results of our business operations.</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Lobbying Disclosure Act of 1995</w:t>
      </w:r>
    </w:p>
    <w:p>
      <w:pPr>
        <w:spacing w:after="0" w:line="225" w:lineRule="exact"/>
        <w:rPr>
          <w:sz w:val="20"/>
          <w:szCs w:val="20"/>
          <w:color w:val="auto"/>
        </w:rPr>
      </w:pPr>
    </w:p>
    <w:p>
      <w:pPr>
        <w:jc w:val="both"/>
        <w:ind w:right="80" w:firstLine="432"/>
        <w:spacing w:after="0" w:line="286" w:lineRule="auto"/>
        <w:rPr>
          <w:sz w:val="20"/>
          <w:szCs w:val="20"/>
          <w:color w:val="auto"/>
        </w:rPr>
      </w:pPr>
      <w:r>
        <w:rPr>
          <w:rFonts w:ascii="Arial" w:cs="Arial" w:eastAsia="Arial" w:hAnsi="Arial"/>
          <w:sz w:val="17"/>
          <w:szCs w:val="17"/>
          <w:color w:val="auto"/>
        </w:rPr>
        <w:t>We employ an in-house lobbyist in order to engage in the public policy debates that have been referred to herein, and accordingly have registered with the Secretary of the Senate and the Clerk of the House of Representatives as required by the Lobbying Disclosure Act. The Lobbying Disclosure Act requires initial registration and periodic reports relative to an organization's Federal lobbying activities and expenditures.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Basel III</w:t>
      </w:r>
    </w:p>
    <w:p>
      <w:pPr>
        <w:spacing w:after="0" w:line="225"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In 1988, the Basel Committee on Banking Supervision, which we refer to as the "Basel Committee," developed the Basel Capital Accord, which we refer to as "Basel I," which set out international benchmarks for assessing banks' capital adequacy requirements. In 2005, the Basel Committee issued Basel II, which, among other things, governs the capital treatment of mortgage insurance purchased and held on balance sheet by banks in respect of their origination and securitization activities. In July 2013, the Federal Reserve Board, the Office of the Comptroller of the Currency and the Federal Deposit Insurance Corporation approved publication of the Basel III Rules, which govern almost all U.S. banking organizations regardless of size or business model. The Basel III Rules revise and enhance the Federal banking agencies' general risk-based capital, advanced approaches and leverage rules. The Basel III Rules became effective on January 1, 2014, with a mandatory compliance date of January 1, 2015 for banking organizations other than advanced approaches banking organizations that are not savings and loan holding companies. On January 1, 2014, most banking organizations became required to begin a multi-year transition period to the full implementation of the new capital framework. The effective date and compliance period, and the beginning of the transitional period, was January 1, 2014 for advanced approaches banking organizations that are not savings and loan holding companies.</w:t>
      </w:r>
    </w:p>
    <w:p>
      <w:pPr>
        <w:spacing w:after="0" w:line="169"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The Federal banking agencies' proposed rule to implement Basel III in the United States would have made extensive changes to the capital requirements for residential mortgages. In addition, the proposed rule would have eliminated existing capital recognition for certain low down payment mortgages if covered by mortgage insurance. After consideration of extensive comments with regard to the proposed capital rules for residential mortgages, the Federal banking agencies revised the Basel III Rules to retain the treatment for residential mortgage exposures under the general risk-based capital rules and the treatment of mortgage insurance. Consistent with such rules, the Basel III Rules assign a 50% or 100% risk weight to loans secured by one-to-four-family residential properties. Generally, residential mortgage exposures secured by a first lien on a one-to-four family residential property that are prudently underwritten and that are performing according to their original terms receive a 50% risk weighting. All other one-to-four family residential mortgage loans are assigned a 100% risk weight. The Basel III Rules continue to afford FHA-insured loans a lower risk weighting than low down payment loans insured with private mortgage insurance, and Ginnie Mae mortgage-backed securities are afforded a lower risk weighting than Fannie Mae and Freddie Mac mortgage-backed securities.</w:t>
      </w:r>
    </w:p>
    <w:p>
      <w:pPr>
        <w:spacing w:after="0" w:line="178"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If implementation of the Basel III Rules increases the capital requirements of banking organizations with respect to the residential mortgages we insure, it could adversely affect the size of the portfolio lending market, which in turn would reduce the demand for our mortgage insurance. If the Federal banking agencies revise the Basel III Rules to reduce or eliminate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8" w:name="page29"/>
    <w:bookmarkEnd w:id="28"/>
    <w:p>
      <w:pPr>
        <w:jc w:val="both"/>
        <w:ind w:right="360"/>
        <w:spacing w:after="0" w:line="302" w:lineRule="auto"/>
        <w:rPr>
          <w:sz w:val="20"/>
          <w:szCs w:val="20"/>
          <w:color w:val="auto"/>
        </w:rPr>
      </w:pPr>
      <w:r>
        <w:rPr>
          <w:rFonts w:ascii="Arial" w:cs="Arial" w:eastAsia="Arial" w:hAnsi="Arial"/>
          <w:sz w:val="16"/>
          <w:szCs w:val="16"/>
          <w:color w:val="auto"/>
        </w:rPr>
        <w:t>capital benefit banks receive from insuring low down payment loans with private mortgage insurance, or if our bank customers believe that such adverse changes may occur at some time in the future, our current and future business may be adversely affected. In addition, with regard to the separate Basel III Rules applicable to general credit risk mitigation for banking exposures, insurance companies engaged predominantly in the business of providing credit protection, such as private mortgage insurance companies, are not eligible guarantors, which could affect our business prospects.</w:t>
      </w:r>
    </w:p>
    <w:p>
      <w:pPr>
        <w:spacing w:after="0" w:line="154"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See "Risk Factors—Risks Relating to Our Business—</w:t>
      </w:r>
      <w:r>
        <w:rPr>
          <w:rFonts w:ascii="Arial" w:cs="Arial" w:eastAsia="Arial" w:hAnsi="Arial"/>
          <w:sz w:val="18"/>
          <w:szCs w:val="18"/>
          <w:i w:val="1"/>
          <w:iCs w:val="1"/>
          <w:color w:val="auto"/>
        </w:rPr>
        <w:t>The implementation of the Basel III Capital Accord, or other changes to our customers'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may discourage the use of mortgage insurance</w:t>
      </w:r>
      <w:r>
        <w:rPr>
          <w:rFonts w:ascii="Arial" w:cs="Arial" w:eastAsia="Arial" w:hAnsi="Arial"/>
          <w:sz w:val="18"/>
          <w:szCs w:val="18"/>
          <w:color w:val="auto"/>
        </w:rPr>
        <w: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Banking Regulation</w:t>
      </w:r>
    </w:p>
    <w:p>
      <w:pPr>
        <w:spacing w:after="0" w:line="22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The Goldman Sachs Group, Inc. is a bank holding company and regulated as a financial holding company under the Bank Holding Company Act, or the BHC Act. Due to the size of its voting and economic interests in us, we are deemed to be controlled by The Goldman Sachs Group, Inc., and are therefore considered to be a non-bank subsidiary of The Goldman Sachs Group, Inc., under the BHC Act. As a result, although we do not engage in banking operations, we are subject to regulation, supervision, examination and potential enforcement action by the Federal Reserve and to certain banking laws, regulations and orders that apply to The Goldman Sachs Group, Inc. In addition, we are subject to the examination authority of, and may be required to submit reports to, the CFPB because we are an affiliate of Goldman Sachs Bank USA, which is an insured depository institution with more than $10 billion in assets. The bank regulatory framework is intended primarily to protect depositors, the Deposit Insurance Fund of the Federal Deposit Insurance Corporation, the safety and soundness of depository institutions and the financial system as a whole, rather than our shareholders. Because of The Goldman Sachs Group, Inc.'s status as a bank holding company, we have agreed to certain restrictions on our activities imposed by The Goldman Sachs Group, Inc. that are intended to facilitate its compliance with the BHC Act. For a discussion of these restrictions, see "Certain Relationships and Related Transactions, and Director Independence" elsewhere in this Annual Report.</w:t>
      </w:r>
    </w:p>
    <w:p>
      <w:pPr>
        <w:spacing w:after="0" w:line="183" w:lineRule="exact"/>
        <w:rPr>
          <w:sz w:val="20"/>
          <w:szCs w:val="20"/>
          <w:color w:val="auto"/>
        </w:rPr>
      </w:pPr>
    </w:p>
    <w:p>
      <w:pPr>
        <w:jc w:val="both"/>
        <w:ind w:right="140" w:firstLine="432"/>
        <w:spacing w:after="0" w:line="259" w:lineRule="auto"/>
        <w:rPr>
          <w:sz w:val="20"/>
          <w:szCs w:val="20"/>
          <w:color w:val="auto"/>
        </w:rPr>
      </w:pPr>
      <w:r>
        <w:rPr>
          <w:rFonts w:ascii="Arial" w:cs="Arial" w:eastAsia="Arial" w:hAnsi="Arial"/>
          <w:sz w:val="18"/>
          <w:szCs w:val="18"/>
          <w:color w:val="auto"/>
        </w:rPr>
        <w:t>We will remain subject to this regulatory regime until The Goldman Sachs Group, Inc. is no longer deemed to control us for bank regulatory purposes, which we do not generally have the ability to control and which will not occur until The Goldman Sachs Group, Inc. has significantly reduced its voting and economic interests in us. We cannot predict the ownership level at which the Federal Reserve would consider us no longer to be controlled by The Goldman Sachs Group, Inc.</w:t>
      </w:r>
    </w:p>
    <w:p>
      <w:pPr>
        <w:spacing w:after="0" w:line="187"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The Goldman Sachs Group, Inc. and its non-bank subsidiaries, including Essent, generally may conduct only activities that are authorized for a bank holding company or a financial holding company under the BHC Act. The scope of services we may provide to our customers is limited under the BHC Act to those which are (i) financial in nature or incidental to financial activities (including insurance underwriting and selling insurance as agent or broker such as our activity of offering private mortgage insurance and reinsurance coverage for single-family mortgage loans), or (ii) complementary to a financial activity and which do not pose a substantial risk to the safety and soundness of depository institutions or the financial system generally. Any failure of The Goldman Sachs Group, Inc. to maintain its status as a financial holding company could result in substantial limitations on our activities and our growth. In particular, our permissible activities could be further restricted to only those that constitute banking or activities closely related to banking. The Goldman Sachs Group, Inc.'s loss of its financial holding company status could be caused by several factors, including any failure by The Goldman Sachs Group, Inc.'s bank subsidiaries to remain sufficiently capitalized, by any examination downgrade of one of The Goldman Sachs Group's bank subsidiaries, or by any failure of one of The Goldman Sachs Group, Inc.'s bank subsidiaries to maintain a satisfactory rating under the Community Reinvestment Act. In addition, the Dodd-Frank Act broadened the requirements for maintaining financial holding company status by also requiring the holding company to remain well capitalized and well managed. We have no ability to prevent such occurrences from happening nor can we control whether The Goldman Sachs Group, Inc. remains well capitalized and well managed.</w:t>
      </w:r>
    </w:p>
    <w:p>
      <w:pPr>
        <w:spacing w:after="0" w:line="188"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Federal Reserve has broad enforcement authority over us, including the power to prohibit us from conducting any activity that, in the Federal Reserve's opinion, is unauthorized or constitutes an unsafe or unsound practice in conducting our business. The Federal Reserve may approve, deny or refuse to act upon applications or notices for The Goldman Sachs Group, Inc. and its subsidiaries to conduct new activities, acquire or divest businesses or assets, or reconfigure existing operations. The Federal Reserve may also impose substantial fines and other penalties for violations of applicable banking laws, regulations and orders. The Dodd-Frank Act strengthened the Federal Reserve's supervisory and enforcement authority over a bank holding company's non-bank affiliates.</w:t>
      </w:r>
    </w:p>
    <w:p>
      <w:pPr>
        <w:spacing w:after="0" w:line="193"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There are limits on the ability of The Goldman Sachs Group, Inc.'s bank subsidiaries to extend credit to or conduct other transactions with us. In general, any loans to us from a bank subsidiary of The Goldman Sachs Group, Inc. must be on market terms and secured by designated amounts of specified collateral and are limited to 10% of the lending bank's capital stock and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9" w:name="page30"/>
    <w:bookmarkEnd w:id="29"/>
    <w:p>
      <w:pPr>
        <w:ind w:right="680"/>
        <w:spacing w:after="0" w:line="277" w:lineRule="auto"/>
        <w:rPr>
          <w:sz w:val="20"/>
          <w:szCs w:val="20"/>
          <w:color w:val="auto"/>
        </w:rPr>
      </w:pPr>
      <w:r>
        <w:rPr>
          <w:rFonts w:ascii="Arial" w:cs="Arial" w:eastAsia="Arial" w:hAnsi="Arial"/>
          <w:sz w:val="18"/>
          <w:szCs w:val="18"/>
          <w:color w:val="auto"/>
        </w:rPr>
        <w:t>surplus. Statutory changes made by the Dodd-Frank Act will place certain additional restrictions on transactions between us and The Goldman Sachs Group, Inc. in the future, which we do not expect to be material to us.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Bermuda Insurance Regulation</w:t>
      </w:r>
    </w:p>
    <w:p>
      <w:pPr>
        <w:spacing w:after="0" w:line="225"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The Insurance Act 1978 of Bermuda and related regulations, as amended, or the Insurance Act, regulates the insurance business of our Bermuda-based reinsurance subsidiary, Essent Reinsurance Ltd., and provides that no person may carry on any insurance business in or from within Bermuda unless registered as an insurer under the Insurance Act by the Bermuda Monetary Authority, or the BMA. In deciding whether to grant registration, the BMA has broad discretion to act as it thinks fit in the public interest. The BMA is required by the Insurance Act to determine whether the applicant is a fit and proper body to be engaged in the insurance business and, in particular, whether it has, or has available to it, adequate knowledge and expertise to operate an insurance business. In addition, the BMA is required by the Insurance Act to determine whether a person who proposes to control 10%, 20%, 33% or 50% (as applicable) of the voting powers of a Bermuda-registered insurer or its parent company is a fit and proper person to exercise such degree of control.</w:t>
      </w:r>
    </w:p>
    <w:p>
      <w:pPr>
        <w:spacing w:after="0" w:line="167"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continued registration of an applicant as an insurer is subject to the applicant complying with the terms of its registration and such other conditions as the BMA may impose from time to time. The Insurance Act also grants to the BMA powers to supervise, investigate and intervene in the affairs of insurance companies.</w:t>
      </w:r>
    </w:p>
    <w:p>
      <w:pPr>
        <w:spacing w:after="0" w:line="18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Insurance Act imposes on Bermuda insurance companies solvency and liquidity standards as well as auditing and reporting requirements. Certain significant aspects of the Bermuda insurance regulatory framework are set forth below.</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Classification of Insurers</w:t>
      </w:r>
    </w:p>
    <w:p>
      <w:pPr>
        <w:spacing w:after="0" w:line="225"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The Insurance Act distinguishes between insurers carrying on long-term business, insurers carrying on special purpose business and insurers carrying on general business. There are six classifications of insurers carrying on general business (Classes 1, 2, 3, 3A, 3B, and 4) with Class 1 insurers subject to the lightest regulation and Class 4 insurers subject to the strictest regulation.</w:t>
      </w:r>
    </w:p>
    <w:p>
      <w:pPr>
        <w:spacing w:after="0" w:line="18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Essent Reinsurance Ltd., which is incorporated in Bermuda to carry on general insurance and reinsurance business, is registered as a Class 3A insurer in Bermuda and is regulated as such under the Insurance Act. We are not, however, licensed in Bermuda to carry on long-term business. Long-term business broadly includes life insurance and disability insurance with terms in excess of five years. General business broadly includes all types of insurance that is not long-term business.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Cancellation of Insurer's Registration</w:t>
      </w:r>
    </w:p>
    <w:p>
      <w:pPr>
        <w:spacing w:after="0" w:line="22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An insurer's registration may be cancelled by the BMA on certain grounds specified in the Insurance Act. Failure of the insurer to comply with its obligations under the Insurance Act, or if the BMA believes that the insurer has not been carrying on business in accordance with sound insurance principles, would be such grounds.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Principal Representative</w:t>
      </w:r>
    </w:p>
    <w:p>
      <w:pPr>
        <w:spacing w:after="0" w:line="22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An insurer is required to maintain a principal office in Bermuda and to appoint and maintain a principal representative in Bermuda. For the purpose of the Insurance Act, Essent Reinsurance Ltd.'s principal representative is Artex Risk Solutions and its principal office for these purposes is the offices of Artex. Without a reason acceptable to the BMA, an insurer may not terminate the appointment of its principal representative, and the principal representative may not cease to act as such, unless 30 days' notice in writing to the BMA is given of the intention to do so. It is the duty of the principal representative to forthwith notify the BMA where the principal representative believes there is a likelihood of the insurer (for which the principal representative acts) becoming insolvent or that a reportable "event" has, to the principal representative's knowledge, occurred or is believed to have occurred. Examples of such a reportable "event" include failure by the insurer to comply substantially with a condition imposed upon the insurer by the BMA relating to a solvency margin or a liquidity or other ratio. Within 14 days of such notification to the BMA, the principal representative must furnish the BMA with a written report setting out all the particulars of the case that are available to the principal representative.</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Independent Approved Auditor</w:t>
      </w:r>
    </w:p>
    <w:p>
      <w:pPr>
        <w:spacing w:after="0" w:line="225"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A Class 3A insurer must appoint an independent auditor who will annually audit and report on the insurer's financial statements prepared under generally accepted accounting principles or international financial reporting standards, statutory financial statements and statutory financial returns each of which are required to be filed annually with the BMA. The auditor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30" w:name="page31"/>
    <w:bookmarkEnd w:id="30"/>
    <w:p>
      <w:pPr>
        <w:jc w:val="both"/>
        <w:spacing w:after="0" w:line="264" w:lineRule="auto"/>
        <w:rPr>
          <w:sz w:val="20"/>
          <w:szCs w:val="20"/>
          <w:color w:val="auto"/>
        </w:rPr>
      </w:pPr>
      <w:r>
        <w:rPr>
          <w:rFonts w:ascii="Arial" w:cs="Arial" w:eastAsia="Arial" w:hAnsi="Arial"/>
          <w:sz w:val="18"/>
          <w:szCs w:val="18"/>
          <w:color w:val="auto"/>
        </w:rPr>
        <w:t>must be approved by the BMA as the independent auditor of the insurer. If the insurer fails to appoint an approved auditor or at any time fails to fill a vacancy for such auditor, the BMA may appoint an approved auditor for the insurer and shall fix the remuneration to be paid to the approved auditor within 14 days, if not agreed sooner by the insurer and the auditor.</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Loss Reserve Specialist</w:t>
      </w:r>
    </w:p>
    <w:p>
      <w:pPr>
        <w:spacing w:after="0" w:line="225" w:lineRule="exact"/>
        <w:rPr>
          <w:sz w:val="20"/>
          <w:szCs w:val="20"/>
          <w:color w:val="auto"/>
        </w:rPr>
      </w:pPr>
    </w:p>
    <w:p>
      <w:pPr>
        <w:ind w:right="160" w:firstLine="432"/>
        <w:spacing w:after="0" w:line="308" w:lineRule="auto"/>
        <w:rPr>
          <w:sz w:val="20"/>
          <w:szCs w:val="20"/>
          <w:color w:val="auto"/>
        </w:rPr>
      </w:pPr>
      <w:r>
        <w:rPr>
          <w:rFonts w:ascii="Arial" w:cs="Arial" w:eastAsia="Arial" w:hAnsi="Arial"/>
          <w:sz w:val="17"/>
          <w:szCs w:val="17"/>
          <w:color w:val="auto"/>
        </w:rPr>
        <w:t>A Class 3A insurer is required to submit an opinion of its approved loss reserve specialist with its statutory financial return in respect of its losses and loss expenses provisions. The loss reserve specialist will normally be a qualified casualty actuary and must be approved by the BMA.</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Annual Financial Statements</w:t>
      </w:r>
    </w:p>
    <w:p>
      <w:pPr>
        <w:spacing w:after="0" w:line="22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A Class 3A insurer is required to prepare annual GAAP financial statements and statutory financial statements. The Insurance Act prescribes rules for the preparation and substance of statutory financial statements (which include, in statutory form, a balance sheet, income statement, a statement of capital and surplus, and notes thereto). The statutory financial statements include detailed information and analysis regarding premiums, claims, reinsurance and investments of the insurer. An insurer is required to file with the BMA the annual GAAP financial statements and statutory financial statements within four months from the end of the relevant financial year (unless specifically extended). The statutory financial statements do not form part of the public records maintained by the BMA but the GAAP financial statements are available for public inspection.</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Annual Statutory Financial Return</w:t>
      </w:r>
    </w:p>
    <w:p>
      <w:pPr>
        <w:spacing w:after="0" w:line="225"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An insurer is required to file with the BMA a statutory financial return no later than four months after its financial year end (unless specifically extended). The statutory financial return includes, among other matters, a report of the approved independent auditor on the statutory financial statements of the insurer, a general business solvency certificate, the statutory financial statements themselves and the opinion of the loss reserve specialist. The principal representative and at least two directors of the insurer must sign the solvency certificate. The directors are required to certify whether the minimum solvency margin has been met, and the independent approved auditor is required to state whether in its opinion it was reasonable for the directors to so certify. Where an insurer's accounts have been audited for any purpose other than compliance with the Insurance Act, a statement to that effect must be filed with the statutory financial return. The statutory financial return is not available for public inspection.</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Minimum Solvency Margin, Enhanced Capital Requirement and Restrictions on Dividends and Distributions</w:t>
      </w:r>
    </w:p>
    <w:p>
      <w:pPr>
        <w:spacing w:after="0" w:line="225"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A Class 3A insurer must maintain at all times a solvency margin and an enhanced capital requirement in accordance with the provisions of the Insurance Act. Each year the insurer is required to file with the BMA a capital and solvency return within four months of its relevant financial year end (unless specifically extended). The prescribed form of capital and solvency return comprises the insurer's Bermuda Solvency Capital Requirement model, a schedule of fixed income investments by rating categories, a schedule of net loss and loss expense provisions by line of business, a schedule of premiums written by line of business, a schedule of risk management and a schedule of fixed income securities.</w:t>
      </w:r>
    </w:p>
    <w:p>
      <w:pPr>
        <w:spacing w:after="0" w:line="173"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 Insurance Act mandates certain actions and filings with the BMA if a Class 3A insurer fails to meet and/or maintain its enhanced capital requirement or solvency margin including the filing of a written report detailing the circumstances giving rise to the failure and the manner and time within which the insurer intends to rectify the failure. A Class 3A insurer is prohibited from declaring or paying a dividend if in breach of its enhanced capital requirement, solvency margin or minimum liquidity ratio or if the declaration or payment of such dividend would cause such a breach. Where an insurer fails to meet its solvency margin or minimum liquidity ratio on the last day of any financial year, it is prohibited from declaring or paying any dividends during the next financial year without the approval of the BMA. Class 3A insurers must obtain the BMA's prior approval for a reduction by 15% or more of the total statutory capital as set forth in its previous year's financial statements. These restrictions on declaring or paying dividends and distributions under the Insurance Act are in addition to those under the Companies Act which apply to all Bermuda companies.</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Minimum Liquidity Ratio</w:t>
      </w:r>
    </w:p>
    <w:p>
      <w:pPr>
        <w:spacing w:after="0" w:line="225" w:lineRule="exact"/>
        <w:rPr>
          <w:sz w:val="20"/>
          <w:szCs w:val="20"/>
          <w:color w:val="auto"/>
        </w:rPr>
      </w:pPr>
    </w:p>
    <w:p>
      <w:pPr>
        <w:jc w:val="both"/>
        <w:ind w:right="80" w:firstLine="432"/>
        <w:spacing w:after="0" w:line="312" w:lineRule="auto"/>
        <w:rPr>
          <w:sz w:val="20"/>
          <w:szCs w:val="20"/>
          <w:color w:val="auto"/>
        </w:rPr>
      </w:pPr>
      <w:r>
        <w:rPr>
          <w:rFonts w:ascii="Arial" w:cs="Arial" w:eastAsia="Arial" w:hAnsi="Arial"/>
          <w:sz w:val="16"/>
          <w:szCs w:val="16"/>
          <w:color w:val="auto"/>
        </w:rPr>
        <w:t>The Insurance Act provides a minimum liquidity ratio for general business. An insurer engaged in general business is required to maintain the value of its relevant assets at not less than 75% of the amount of its relevant liabilities. Relevant assets include cash and time deposits, quoted investments, unquoted bonds and debentures, first liens on real estate, investment income due and accrued, accounts and premiums receivable and reinsurance balances receivable.</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584" w:right="279" w:bottom="1440" w:gutter="0" w:footer="0" w:header="0"/>
        </w:sectPr>
      </w:pPr>
    </w:p>
    <w:bookmarkStart w:id="31" w:name="page32"/>
    <w:bookmarkEnd w:id="31"/>
    <w:p>
      <w:pPr>
        <w:ind w:firstLine="432"/>
        <w:spacing w:after="0" w:line="277" w:lineRule="auto"/>
        <w:rPr>
          <w:sz w:val="20"/>
          <w:szCs w:val="20"/>
          <w:color w:val="auto"/>
        </w:rPr>
      </w:pPr>
      <w:r>
        <w:rPr>
          <w:rFonts w:ascii="Arial" w:cs="Arial" w:eastAsia="Arial" w:hAnsi="Arial"/>
          <w:sz w:val="18"/>
          <w:szCs w:val="18"/>
          <w:color w:val="auto"/>
        </w:rPr>
        <w:t>There are certain categories of assets which, unless specifically permitted by the BMA, do not automatically qualify as relevant assets, such as unquoted equity securities, investments in and advances to affiliates and real estate and collateral loans.</w:t>
      </w:r>
    </w:p>
    <w:p>
      <w:pPr>
        <w:spacing w:after="0" w:line="170"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The relevant liabilities are total general business insurance reserves and total other liabilities less deferred income tax and sundry liabilities (by interpretation, those not specifically defined).</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Supervision, Investigation and Intervention</w:t>
      </w:r>
    </w:p>
    <w:p>
      <w:pPr>
        <w:spacing w:after="0" w:line="225"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BMA may appoint an inspector with powers to investigate the affairs of an insurer if the BMA believes that an investigation is required in the interests of the insurer's policyholders or potential policyholders. In order to verify or supplement information otherwise provided to the inspector, the BMA may direct an insurer to produce documents or information relating to matters connected with its business.</w:t>
      </w:r>
    </w:p>
    <w:p>
      <w:pPr>
        <w:spacing w:after="0" w:line="181" w:lineRule="exact"/>
        <w:rPr>
          <w:sz w:val="20"/>
          <w:szCs w:val="20"/>
          <w:color w:val="auto"/>
        </w:rPr>
      </w:pPr>
    </w:p>
    <w:p>
      <w:pPr>
        <w:ind w:right="260" w:firstLine="432"/>
        <w:spacing w:after="0" w:line="297" w:lineRule="auto"/>
        <w:rPr>
          <w:sz w:val="20"/>
          <w:szCs w:val="20"/>
          <w:color w:val="auto"/>
        </w:rPr>
      </w:pPr>
      <w:r>
        <w:rPr>
          <w:rFonts w:ascii="Arial" w:cs="Arial" w:eastAsia="Arial" w:hAnsi="Arial"/>
          <w:sz w:val="16"/>
          <w:szCs w:val="16"/>
          <w:color w:val="auto"/>
        </w:rPr>
        <w:t>An inspector may examine on oath any past or present officer, employee or insurance manager of the insurer under investigation in relation to its business and apply to the court in Bermuda for an order that other persons may also be examined on any matter relevant to the investigation. It shall be the duty of any insurer in relation to whose affairs an inspector has been appointed and of any past or present officer, employee or insurance manager of such insurer, to produce to the inspector on request all books, records and documents relating to the insurer under investigation which are in its or his custody or control and otherwise to give to the inspector all assistance in connection with the investigation which it or he is reasonably able to give.</w:t>
      </w:r>
    </w:p>
    <w:p>
      <w:pPr>
        <w:spacing w:after="0" w:line="158"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If it appears to the BMA that there is a risk of an insurer becoming insolvent, or that it is in breach of the Insurance Act or any conditions imposed upon its registration, the BMA may, among other things, direct the insurer (1) not to take on any new insurance business, (2) not to vary any insurance contract if the effect would be to increase its liabilities, (3) not to make certain investments, (4) to realize certain investments, (5) to maintain or transfer to the custody of a specified bank, certain assets, (6) not to declare or pay any dividends or other distributions or to restrict the making of such payments, (7) to limit its premium income, (8) not to enter into any specified transaction with any specified persons or persons of a specified class, (9) to provide such written particulars relating to the financial circumstances of the insurer as the BMA thinks fit, (10) to obtain the opinion of a loss reserve specialist and to submit it to the BMA and (11) to remove a controller or officer.</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Disclosure of Information</w:t>
      </w:r>
    </w:p>
    <w:p>
      <w:pPr>
        <w:spacing w:after="0" w:line="22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In addition to powers under the Insurance Act to investigate the affairs of an insurer, the BMA may require certain information from an insurer (or certain other persons) to be produced to the BMA. Further, the BMA has been given powers to assist other regulatory authorities, including foreign insurance regulatory authorities, with their investigations involving insurance and reinsurance companies in Bermuda but subject to restrictions. For example, the BMA must be satisfied that the assistance being requested is in connection with the discharge of regulatory responsibilities of the foreign regulatory authority. Further, the BMA must consider whether cooperation is in the public interest. The grounds for disclosure are limited and the Insurance Act provides for sanctions for breach of the statutory duty of confidentiality.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As of December 31, 2016, we had 376 employees, including 371 employees based in the United States and 5 employees in Bermuda. None of our employees are represented by a labor union and we consider our employee relations to be good. We also periodically engage contractors who provide services to us on a temporary basis.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Structure</w:t>
      </w:r>
    </w:p>
    <w:p>
      <w:pPr>
        <w:spacing w:after="0" w:line="229" w:lineRule="exact"/>
        <w:rPr>
          <w:sz w:val="20"/>
          <w:szCs w:val="20"/>
          <w:color w:val="auto"/>
        </w:rPr>
      </w:pPr>
    </w:p>
    <w:p>
      <w:pPr>
        <w:ind w:right="760" w:firstLine="432"/>
        <w:spacing w:after="0" w:line="312" w:lineRule="auto"/>
        <w:rPr>
          <w:sz w:val="20"/>
          <w:szCs w:val="20"/>
          <w:color w:val="auto"/>
        </w:rPr>
      </w:pPr>
      <w:r>
        <w:rPr>
          <w:rFonts w:ascii="Arial" w:cs="Arial" w:eastAsia="Arial" w:hAnsi="Arial"/>
          <w:sz w:val="16"/>
          <w:szCs w:val="16"/>
          <w:color w:val="auto"/>
        </w:rPr>
        <w:t>Essent Group Ltd. was organized as a limited liability company under the laws of Bermuda on July 1, 2008. Our registered office is located at Clarendon House, 2 Church Street, Hamilton HM11, Bermuda and our telephone number is (441) 297-9901. Our corporate website address is www.essentgroup.com. The information contained on, or accessible through, our corporate website does not constitute part of this Annual Report.</w:t>
      </w:r>
    </w:p>
    <w:p>
      <w:pPr>
        <w:spacing w:after="0" w:line="147" w:lineRule="exact"/>
        <w:rPr>
          <w:sz w:val="20"/>
          <w:szCs w:val="20"/>
          <w:color w:val="auto"/>
        </w:rPr>
      </w:pPr>
    </w:p>
    <w:p>
      <w:pPr>
        <w:ind w:right="600" w:firstLine="432"/>
        <w:spacing w:after="0" w:line="264" w:lineRule="auto"/>
        <w:rPr>
          <w:sz w:val="20"/>
          <w:szCs w:val="20"/>
          <w:color w:val="auto"/>
        </w:rPr>
      </w:pPr>
      <w:r>
        <w:rPr>
          <w:rFonts w:ascii="Arial" w:cs="Arial" w:eastAsia="Arial" w:hAnsi="Arial"/>
          <w:sz w:val="18"/>
          <w:szCs w:val="18"/>
          <w:color w:val="auto"/>
        </w:rPr>
        <w:t>Our primary mortgage insurance operations are conducted through Essent Guaranty, Inc., a Pennsylvania-domiciled insurer which is a monoline insurance company licensed in all 50 states and the District of Columbia. We also have a wholly-owned Bermuda-domiciled reinsurer, Essent Reinsurance Ltd., which has a Class 3A insurance license issued by the Bermuda Monetary Authority.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We file annual reports on Form 10-K, quarterly reports on Form 10-Q and current reports on Form 8-K and other information with the SEC. Members of the public may read and copy materials that we file with the SEC at the SEC's Public Reference Room at 100 F Street, N.E., Washington, D.C. 20549. Members of the public may also obtain information on the Public Reference Room by calling the SEC at 1-800-732-0330. The SEC also maintains an Internet web site that contains reports, proxy and information statements and other information regarding issuers, including us, that file electronically with the SEC. The address of that site is http://www.sec.gov. Our annual reports on Form 10-K, quarterly reports on Form 10-Q and current reports on Form 8-K and other information filed by us with the SEC are available, without charge, on our Internet web site, http://www.essentgroup.com, as soon as reasonably practicable after they are filed electronically with the SEC. Copies are also available, without charge, by writing to Secretary, Essent Group Ltd., Clarendon House, 2 Church Street, Hamilton HM11, Bermuda. The information on our website is not a part of this Annual Report on Form 10-K.</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0" w:right="239" w:bottom="1440" w:gutter="0" w:footer="0" w:header="0"/>
        </w:sectPr>
      </w:pPr>
    </w:p>
    <w:bookmarkStart w:id="33" w:name="page34"/>
    <w:bookmarkEnd w:id="33"/>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Our current business and future results may be affected by a number of risks and uncertainties, including those described below. The risks and uncertainties described below are not the only risks and uncertainties we face. Additional risks and uncertainties not currently known to us or that we currently deem immaterial also may impair our business operations. If any of the following risks actually occur, our business, results of operations and financial condition could suffer. The risks discussed below also include forward-looking statements and our actual results may differ substantially from those discussed in these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Legislative or regulatory actions or decisions to change the role of the GSEs in the U.S. housing market generally, or changes to the charters of the GSEs with regard to the use of credit enhancements generally and private mortgage insurance specifically, could reduce our revenues or adversely affect our profitability and returns.</w:t>
      </w:r>
    </w:p>
    <w:p>
      <w:pPr>
        <w:spacing w:after="0" w:line="181"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Since 2008, the Federal government has assumed an expanded role in many key aspects of the U.S. housing finance system. In particular, the Department of the Treasury and the FHFA placed the GSEs into conservatorship in September 2008, putting regulatory and operational control of the GSEs under the auspices of the FHFA. Although we believe the FHFA's conservatorship was intended to be temporary, the GSEs have remained in conservatorship for over eight years. During that time, there have been a wide-ranging set of GSE and secondary market reform advocacy proposals put forward, including nearly complete privatization of the mortgage market and elimination of the role of the GSEs, recapitalization of the GSEs and a set of alternatives that would combine a Federal role with private capital, some of which eliminate the GSEs and others which envision an ongoing role for the GSEs. Since 2011, a number of comprehensive GSE/secondary market legislative reform bills have also been introduced or announced, differing widely with regard to the future role of the GSEs, the overall structure of the secondary market and the role of the Federal government within the mortgage market. As a result of the uncertainty regarding resolution of the conservatorship of the GSEs and the proper structure of any new secondary mortgage market, as well as the Federal government's increased role within the housing market since the start of the recent financial crisis, we cannot predict how or when the role of the GSEs may change. In addition, the size, complexity and centrality of the GSEs to the current housing finance system and the importance of housing to the nation's economy make the transition to any new housing finance system difficult and present risks to market participants, including to us.</w:t>
      </w:r>
    </w:p>
    <w:p>
      <w:pPr>
        <w:spacing w:after="0" w:line="16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charters of the GSEs currently require certain credit enhancement for low down payment mortgage loans in order for such loans to be eligible for purchase or guarantee by the GSEs, and lenders historically have relied on mortgage insurance to a significant degree in order to satisfy these credit enhancement requirements. Because the overwhelming majority of our current and expected future business is the provision of mortgage insurance on loans sold to the GSEs, if the charters of the GSEs are amended to change or eliminate the acceptability of private mortgage insurance in their purchasing practices, then our volume of new business and our revenue may decline significantly.</w:t>
      </w:r>
    </w:p>
    <w:p>
      <w:pPr>
        <w:spacing w:after="0" w:line="188"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Changes to the statutory requirements of the FHFA's conservatorship of the GSEs, the elimination of the GSEs or the replacement of the GSEs with any successor entities or structures, or changes to the GSE charters would require Federal legislative action, which makes predicting the timing or substance of such changes difficult. As a result, it is uncertain what role the GSEs, the FHFA, the government and private capital, including private mortgage insurance, will play in the U.S. housing finance system in the future or the impact and timing of any such changes on the market and our business.</w:t>
      </w:r>
    </w:p>
    <w:p>
      <w:pPr>
        <w:spacing w:after="0" w:line="15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Changes in the business practices of the GSEs, including actions or decisions to decrease or discontinue the use of mortgage insurance or changes in the GSEs' eligibility requirements for mortgage insurers, could reduce our revenues or adversely affect our profitability and returns.</w:t>
      </w:r>
    </w:p>
    <w:p>
      <w:pPr>
        <w:spacing w:after="0" w:line="124"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Changes in the business practices of the GSEs, which can be implemented by the GSEs at the FHFA's direction, could negatively impact our operating results and financial performance, including changes to:</w:t>
      </w:r>
    </w:p>
    <w:p>
      <w:pPr>
        <w:spacing w:after="0" w:line="170" w:lineRule="exact"/>
        <w:rPr>
          <w:sz w:val="20"/>
          <w:szCs w:val="20"/>
          <w:color w:val="auto"/>
        </w:rPr>
      </w:pPr>
    </w:p>
    <w:p>
      <w:pPr>
        <w:ind w:left="660" w:hanging="247"/>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level of coverage when private mortgage insurance is used to satisfy the GSEs' charter requirements on low down payment mortgages;</w:t>
      </w:r>
    </w:p>
    <w:p>
      <w:pPr>
        <w:spacing w:after="0" w:line="236" w:lineRule="exact"/>
        <w:rPr>
          <w:rFonts w:ascii="Arial" w:cs="Arial" w:eastAsia="Arial" w:hAnsi="Arial"/>
          <w:sz w:val="17"/>
          <w:szCs w:val="17"/>
          <w:color w:val="auto"/>
        </w:rPr>
      </w:pPr>
    </w:p>
    <w:p>
      <w:pPr>
        <w:ind w:left="660" w:hanging="247"/>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overall level of guaranty fees or the amount of loan level delivery fees that the GSEs assess on loans that require mortgage insurance;</w:t>
      </w:r>
    </w:p>
    <w:p>
      <w:pPr>
        <w:spacing w:after="0" w:line="236" w:lineRule="exact"/>
        <w:rPr>
          <w:rFonts w:ascii="Arial" w:cs="Arial" w:eastAsia="Arial" w:hAnsi="Arial"/>
          <w:sz w:val="17"/>
          <w:szCs w:val="17"/>
          <w:color w:val="auto"/>
        </w:rPr>
      </w:pPr>
    </w:p>
    <w:p>
      <w:pPr>
        <w:ind w:left="660" w:right="140" w:hanging="247"/>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GSEs' influence in the mortgage lender's selection of the mortgage insurer providing coverage and, if so, any transactions that are related to that selection;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0" w:right="239" w:bottom="1440" w:gutter="0" w:footer="0" w:header="0"/>
        </w:sectPr>
      </w:pPr>
    </w:p>
    <w:bookmarkStart w:id="34" w:name="page35"/>
    <w:bookmarkEnd w:id="34"/>
    <w:p>
      <w:pPr>
        <w:ind w:left="660" w:right="440" w:hanging="247"/>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underwriting standards that determine what loans are eligible for purchase by the GSEs, which can affect the volume and quality of the risk insured by the mortgage insurer;</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terms on which mortgage insurance coverage can be cancelled before reaching the cancellation thresholds established by law;</w:t>
      </w:r>
    </w:p>
    <w:p>
      <w:pPr>
        <w:spacing w:after="0" w:line="225" w:lineRule="exact"/>
        <w:rPr>
          <w:rFonts w:ascii="Arial" w:cs="Arial" w:eastAsia="Arial" w:hAnsi="Arial"/>
          <w:sz w:val="18"/>
          <w:szCs w:val="18"/>
          <w:color w:val="auto"/>
        </w:rPr>
      </w:pPr>
    </w:p>
    <w:p>
      <w:pPr>
        <w:ind w:left="660" w:right="120" w:hanging="247"/>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programs established by the GSEs intended to avoid or mitigate loss on insured mortgages and the circumstances in which mortgage servicers must implement such programs;</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extent to which the GSEs establish requirements for mortgage insurers' rescission practices or rescission settlement practices with lenders;</w:t>
      </w:r>
    </w:p>
    <w:p>
      <w:pPr>
        <w:spacing w:after="0" w:line="236" w:lineRule="exact"/>
        <w:rPr>
          <w:rFonts w:ascii="Arial" w:cs="Arial" w:eastAsia="Arial" w:hAnsi="Arial"/>
          <w:sz w:val="17"/>
          <w:szCs w:val="17"/>
          <w:color w:val="auto"/>
        </w:rPr>
      </w:pPr>
    </w:p>
    <w:p>
      <w:pPr>
        <w:ind w:left="660" w:right="580" w:hanging="247"/>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size of loans that are eligible for purchase or guaranty by the GSEs, which if reduced or otherwise limited may reduce the overall level of business and the number of low down payment loans with mortgage insurance that the GSEs purchase or guaranty; and</w:t>
      </w:r>
    </w:p>
    <w:p>
      <w:pPr>
        <w:spacing w:after="0" w:line="146" w:lineRule="exact"/>
        <w:rPr>
          <w:rFonts w:ascii="Arial" w:cs="Arial" w:eastAsia="Arial" w:hAnsi="Arial"/>
          <w:sz w:val="17"/>
          <w:szCs w:val="17"/>
          <w:color w:val="auto"/>
        </w:rPr>
      </w:pPr>
    </w:p>
    <w:p>
      <w:pPr>
        <w:ind w:left="660" w:right="340" w:hanging="247"/>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requirements for a mortgage insurer to become and remain an approved eligible insurer for the GSEs, including, among other items, minimum capital adequacy targets and the terms that the GSEs require to be included in mortgage insurance master policies for loans that they purchase or guaranty.</w:t>
      </w:r>
    </w:p>
    <w:p>
      <w:pPr>
        <w:spacing w:after="0" w:line="181"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Effective for insurance applications received after October 1, 2014, the GSEs, in coordination with the FHFA, instituted minimum standards for mortgage insurer master policies, including standards relating to rescission rights. The FHFA and GSEs have initiated a process to revise the minimum standards for mortgage insurer master policies, including with respect to rescission relief, which we have been told will be finalized in early 2017. As a result of these standards, we, along with the other private mortgage insurers, were required to make changes to our master policy, some of which may not be favorable to us and which could result in us paying more claims than required under our prior master policy or could otherwise increase our operating costs. The imposition of standardized master policies may also make it more difficult for us to distinguish ourselves from our competitors on the basis of coverage terms. See "Business—Our Products and Services—Mortgage Insurance—Master Policy" above.</w:t>
      </w:r>
    </w:p>
    <w:p>
      <w:pPr>
        <w:spacing w:after="0" w:line="178"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These eligibility requirements could negatively impact our ability to write mortgage insurance at our current levels, generate the returns we anticipate from our business or otherwise participate in the private mortgage insurance market at all. See "Business—Regulation—Direct U.S. Regulation—GSE Qualified Mortgage Insurer Requirements" above.</w:t>
      </w:r>
    </w:p>
    <w:p>
      <w:pPr>
        <w:spacing w:after="0" w:line="19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Intense competition within the private mortgage insurance industry could result in the loss of customers, lower premiums, wider credit guidelines and other changes which could lower our revenues or raise our costs.</w:t>
      </w:r>
    </w:p>
    <w:p>
      <w:pPr>
        <w:spacing w:after="0" w:line="17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private mortgage insurance industry is intensely competitive, with six private mortgage insurers currently approved and eligible to write business for the GSEs. We compete with other private mortgage insurers on the basis of pricing, terms and conditions, underwriting guidelines, loss mitigation practices, financial strength, reputation, customer relationships, service and other factors. One or more private mortgage insurers may seek increased market share from government-supported insurance programs, such as those sponsored by the FHA, or from other private mortgage insurers by reducing pricing, loosening their underwriting guidelines or relaxing their risk management practices, which could, in turn, improve their competitive position in the industry and negatively impact our level of NIW. A decline in industry NIW might result in increased competition as certain private mortgage insurance companies may seek to maintain their NIW levels within a smaller market. In addition, the perceived increase in the credit quality of loans that currently are being insured, the relative financial strength of the existing mortgage insurance companies and the possibility of the private mortgage insurance market acquiring a greater share of the overall mortgage insurance market may encourage new entrants into the private mortgage insurance industry, which could further increase competition in our business.</w:t>
      </w:r>
    </w:p>
    <w:p>
      <w:pPr>
        <w:spacing w:after="0" w:line="178"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We believe that our financial strength has been a reason that some customers have done business with us. However, this competitive advantage may be mitigated if our competitors continue to improve their capital positions, profitability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800" w:right="259" w:bottom="1440" w:gutter="0" w:footer="0" w:header="0"/>
        </w:sectPr>
      </w:pPr>
    </w:p>
    <w:bookmarkStart w:id="35" w:name="page36"/>
    <w:bookmarkEnd w:id="35"/>
    <w:p>
      <w:pPr>
        <w:ind w:right="20"/>
        <w:spacing w:after="0" w:line="342" w:lineRule="auto"/>
        <w:rPr>
          <w:sz w:val="20"/>
          <w:szCs w:val="20"/>
          <w:color w:val="auto"/>
        </w:rPr>
      </w:pPr>
      <w:r>
        <w:rPr>
          <w:rFonts w:ascii="Arial" w:cs="Arial" w:eastAsia="Arial" w:hAnsi="Arial"/>
          <w:sz w:val="16"/>
          <w:szCs w:val="16"/>
          <w:color w:val="auto"/>
        </w:rPr>
        <w:t>financial strength ratings, or if we incur losses which weaken our financial position. Our customers may choose to diversify the mortgage insurers with which they do business due to weakness in our relative financial strength or other reasons, which could negatively affect our level of NIW and our market share.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revenues, profitability and returns would decline if we lose a significant customer.</w:t>
      </w:r>
    </w:p>
    <w:p>
      <w:pPr>
        <w:spacing w:after="0" w:line="225" w:lineRule="exact"/>
        <w:rPr>
          <w:sz w:val="20"/>
          <w:szCs w:val="20"/>
          <w:color w:val="auto"/>
        </w:rPr>
      </w:pPr>
    </w:p>
    <w:p>
      <w:pPr>
        <w:ind w:right="340" w:firstLine="432"/>
        <w:spacing w:after="0" w:line="291" w:lineRule="auto"/>
        <w:rPr>
          <w:sz w:val="20"/>
          <w:szCs w:val="20"/>
          <w:color w:val="auto"/>
        </w:rPr>
      </w:pPr>
      <w:r>
        <w:rPr>
          <w:rFonts w:ascii="Arial" w:cs="Arial" w:eastAsia="Arial" w:hAnsi="Arial"/>
          <w:sz w:val="16"/>
          <w:szCs w:val="16"/>
          <w:color w:val="auto"/>
        </w:rPr>
        <w:t>Our mortgage insurance business depends on our relationships with our customers, and in particular, our relationships with our largest lending customers. Our top ten customers generated 35.1% of our new insurance written, or NIW, during year ended December 31, 2016, compared to 36.6% and</w:t>
      </w:r>
    </w:p>
    <w:p>
      <w:pPr>
        <w:ind w:right="100"/>
        <w:spacing w:after="0" w:line="255" w:lineRule="auto"/>
        <w:rPr>
          <w:sz w:val="20"/>
          <w:szCs w:val="20"/>
          <w:color w:val="auto"/>
        </w:rPr>
      </w:pPr>
      <w:r>
        <w:rPr>
          <w:rFonts w:ascii="Arial" w:cs="Arial" w:eastAsia="Arial" w:hAnsi="Arial"/>
          <w:sz w:val="18"/>
          <w:szCs w:val="18"/>
          <w:color w:val="auto"/>
        </w:rPr>
        <w:t>42.6% for the years ended December 31, 2015 and 2014, respectively. For the year ended December 31, 2016, one customer represented more than 10% of our consolidated revenues. Maintaining our business relationships and business volumes with our largest lending customers remains critical to the success of our business.</w:t>
      </w:r>
    </w:p>
    <w:p>
      <w:pPr>
        <w:spacing w:after="0" w:line="190"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Our master policies do not, and by law cannot, require our customers to do business with us. Under the terms of our master policy, our customers, or the parties they designate to service the loans we insure, have the unilateral right to cancel our insurance coverage at any time for any loan that we insure. Upon cancellation of coverage, subject to the type of coverage, we may be required to refund unearned premiums, if any.</w:t>
      </w:r>
    </w:p>
    <w:p>
      <w:pPr>
        <w:spacing w:after="0" w:line="166" w:lineRule="exact"/>
        <w:rPr>
          <w:sz w:val="20"/>
          <w:szCs w:val="20"/>
          <w:color w:val="auto"/>
        </w:rPr>
      </w:pPr>
    </w:p>
    <w:p>
      <w:pPr>
        <w:ind w:right="120" w:firstLine="432"/>
        <w:spacing w:after="0" w:line="270" w:lineRule="auto"/>
        <w:rPr>
          <w:sz w:val="20"/>
          <w:szCs w:val="20"/>
          <w:color w:val="auto"/>
        </w:rPr>
      </w:pPr>
      <w:r>
        <w:rPr>
          <w:rFonts w:ascii="Arial" w:cs="Arial" w:eastAsia="Arial" w:hAnsi="Arial"/>
          <w:sz w:val="17"/>
          <w:szCs w:val="17"/>
          <w:color w:val="auto"/>
        </w:rPr>
        <w:t>In addition, the economic downturn and challenging market conditions of the recent past adversely affected the financial condition of a number of our largest customers. If the U.S. economy enters into another recessionary period, these customers could again become subject to serious financial constraints that may jeopardize the viability of their business plans or their access to additional capital, forcing them to consider alternatives such as bankruptcy or consolidation with others in the industry. Other factors, such as rising interest rates, which could reduce mortgage origination volumes generally, rising costs associated with regulatory compliance and the relative cost of capital, may also result in consolidation among our customers. In the event our customers consolidate, they may revisit their relationships with individual mortgage insurers, such as us, which could result in a loss of customers or a reduction in our business. The loss of business from a significant customer could have a material adverse effect on the amount of new business we are able to write, and consequently, our revenue, and we can provide no assurance that any loss of business from a significant customer would be replaced from other new or existing lending customers.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amount of insurance we may be able to write could be adversely affected if lenders and investors select alternatives to private mortgage insurance.</w:t>
      </w:r>
    </w:p>
    <w:p>
      <w:pPr>
        <w:spacing w:after="0" w:line="26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We compete for business with alternatives to private mortgage insurance, consisting primarily of government-supported mortgage insurance programs as well as home purchase or refinancing alternatives that do not use any form of mortgage insurance.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Government-supported mortgage insurance programs include, but are not limited to:</w:t>
      </w:r>
    </w:p>
    <w:p>
      <w:pPr>
        <w:spacing w:after="0" w:line="225" w:lineRule="exact"/>
        <w:rPr>
          <w:sz w:val="20"/>
          <w:szCs w:val="20"/>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Federal mortgage insurance programs, including those offered by the FHA and VA; and</w:t>
      </w:r>
    </w:p>
    <w:p>
      <w:pPr>
        <w:spacing w:after="0" w:line="225" w:lineRule="exact"/>
        <w:rPr>
          <w:rFonts w:ascii="Arial" w:cs="Arial" w:eastAsia="Arial" w:hAnsi="Arial"/>
          <w:sz w:val="18"/>
          <w:szCs w:val="18"/>
          <w:color w:val="auto"/>
        </w:rPr>
      </w:pPr>
    </w:p>
    <w:p>
      <w:pPr>
        <w:ind w:left="440" w:right="920" w:hanging="27"/>
        <w:spacing w:after="0" w:line="501" w:lineRule="auto"/>
        <w:tabs>
          <w:tab w:leader="none" w:pos="656"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state-supported mortgage insurance funds, including, but not limited to, those funds supported by the states of California and New York. Alternatives to mortgage insurance include, but are not limited to:</w:t>
      </w: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lenders and other investors holding mortgages in their portfolios and self-insuring;</w:t>
      </w:r>
    </w:p>
    <w:p>
      <w:pPr>
        <w:spacing w:after="0" w:line="225" w:lineRule="exact"/>
        <w:rPr>
          <w:rFonts w:ascii="Arial" w:cs="Arial" w:eastAsia="Arial" w:hAnsi="Arial"/>
          <w:sz w:val="18"/>
          <w:szCs w:val="18"/>
          <w:color w:val="auto"/>
        </w:rPr>
      </w:pPr>
    </w:p>
    <w:p>
      <w:pPr>
        <w:ind w:left="660" w:right="160" w:hanging="247"/>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investors using other risk mitigation techniques in conjunction with reduced levels of private mortgage insurance coverage, or accepting credit risk without credit enhancement;</w:t>
      </w:r>
    </w:p>
    <w:p>
      <w:pPr>
        <w:spacing w:after="0" w:line="170" w:lineRule="exact"/>
        <w:rPr>
          <w:rFonts w:ascii="Arial" w:cs="Arial" w:eastAsia="Arial" w:hAnsi="Arial"/>
          <w:sz w:val="18"/>
          <w:szCs w:val="18"/>
          <w:color w:val="auto"/>
        </w:rPr>
      </w:pPr>
    </w:p>
    <w:p>
      <w:pPr>
        <w:ind w:left="660" w:right="20" w:hanging="247"/>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mortgage sellers retaining at least a 10% participation in a loan or mortgage sellers agreeing to repurchase or replace a loan upon an event of default; and</w:t>
      </w:r>
    </w:p>
    <w:p>
      <w:pPr>
        <w:spacing w:after="0" w:line="170" w:lineRule="exact"/>
        <w:rPr>
          <w:rFonts w:ascii="Arial" w:cs="Arial" w:eastAsia="Arial" w:hAnsi="Arial"/>
          <w:sz w:val="18"/>
          <w:szCs w:val="18"/>
          <w:color w:val="auto"/>
        </w:rPr>
      </w:pPr>
    </w:p>
    <w:p>
      <w:pPr>
        <w:ind w:left="660" w:right="60" w:hanging="247"/>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lenders originating mortgages using "piggyback structures" which avoid private mortgage insurance, such as a first mortgage with an 80% loan-to-value ratio and a second mortgage with a 10%, 15% or 20% loan-to-value ratio (referred to as 80-10-10, 80-15-5 or 80-20 loans, respectively) rather than a first mortgage with a 90%, 95% or 100% loan-to-value ratio that has private mortgage insurance.</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584" w:right="259" w:bottom="1440" w:gutter="0" w:footer="0" w:header="0"/>
        </w:sectPr>
      </w:pPr>
    </w:p>
    <w:bookmarkStart w:id="36" w:name="page37"/>
    <w:bookmarkEnd w:id="36"/>
    <w:p>
      <w:pPr>
        <w:ind w:firstLine="432"/>
        <w:spacing w:after="0" w:line="254" w:lineRule="auto"/>
        <w:rPr>
          <w:sz w:val="20"/>
          <w:szCs w:val="20"/>
          <w:color w:val="auto"/>
        </w:rPr>
      </w:pPr>
      <w:r>
        <w:rPr>
          <w:rFonts w:ascii="Arial" w:cs="Arial" w:eastAsia="Arial" w:hAnsi="Arial"/>
          <w:sz w:val="18"/>
          <w:szCs w:val="18"/>
          <w:color w:val="auto"/>
        </w:rPr>
        <w:t>Any of these alternatives to private mortgage insurance could reduce or eliminate the demand for our product, cause us to lose business or limit our ability to attract the business that we would prefer to insure. In particular, there has been substantial competition from government-sponsored mortgage insurance programs in the wake of the recent financial crisis. Government-supported mortgage insurance programs are not subject to the same capital requirements, risk tolerance or business objectives that we and other private mortgage insurance companies are, and therefore, generally have greater financial flexibility in setting their pricing, guidelines and capacity, which could put us at a competitive disadvantage. In addition, loans insured under FHA and other Federal government-supported mortgage insurance programs are eligible for securitization in Ginnie Mae securities, which may be viewed by investors as more desirable than Fannie Mae and Freddie Mac securities due to the explicit backing of Ginnie Mae securities by the full faith and credit of the U.S. Federal government.</w:t>
      </w:r>
    </w:p>
    <w:p>
      <w:pPr>
        <w:spacing w:after="0" w:line="192" w:lineRule="exact"/>
        <w:rPr>
          <w:sz w:val="20"/>
          <w:szCs w:val="20"/>
          <w:color w:val="auto"/>
        </w:rPr>
      </w:pPr>
    </w:p>
    <w:p>
      <w:pPr>
        <w:ind w:right="440" w:firstLine="432"/>
        <w:spacing w:after="0" w:line="264" w:lineRule="auto"/>
        <w:rPr>
          <w:sz w:val="20"/>
          <w:szCs w:val="20"/>
          <w:color w:val="auto"/>
        </w:rPr>
      </w:pPr>
      <w:r>
        <w:rPr>
          <w:rFonts w:ascii="Arial" w:cs="Arial" w:eastAsia="Arial" w:hAnsi="Arial"/>
          <w:sz w:val="18"/>
          <w:szCs w:val="18"/>
          <w:color w:val="auto"/>
        </w:rPr>
        <w:t>Consequently, if the FHA or other government-supported mortgage insurance programs maintain or increase their share of the mortgage insurance market, our business and industry could be affected. Factors that could cause the FHA or other government-supported mortgage insurance programs to maintain or increase their share of the mortgage insurance market include:</w:t>
      </w:r>
    </w:p>
    <w:p>
      <w:pPr>
        <w:spacing w:after="0" w:line="181" w:lineRule="exact"/>
        <w:rPr>
          <w:sz w:val="20"/>
          <w:szCs w:val="20"/>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reduction in the premiums charged for government mortgage insurance or a loosening of underwriting guidelines;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past and potential future capital constraints in the private mortgage insurance industry;</w:t>
      </w:r>
    </w:p>
    <w:p>
      <w:pPr>
        <w:spacing w:after="0" w:line="225" w:lineRule="exact"/>
        <w:rPr>
          <w:rFonts w:ascii="Arial" w:cs="Arial" w:eastAsia="Arial" w:hAnsi="Arial"/>
          <w:sz w:val="18"/>
          <w:szCs w:val="18"/>
          <w:color w:val="auto"/>
        </w:rPr>
      </w:pPr>
    </w:p>
    <w:p>
      <w:pPr>
        <w:ind w:left="660" w:right="560" w:hanging="247"/>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in premium rates or tightening of underwriting guidelines by private mortgage insurers based on past loan performance or other risk concerns;</w:t>
      </w:r>
    </w:p>
    <w:p>
      <w:pPr>
        <w:spacing w:after="0" w:line="170" w:lineRule="exact"/>
        <w:rPr>
          <w:rFonts w:ascii="Arial" w:cs="Arial" w:eastAsia="Arial" w:hAnsi="Arial"/>
          <w:sz w:val="18"/>
          <w:szCs w:val="18"/>
          <w:color w:val="auto"/>
        </w:rPr>
      </w:pPr>
    </w:p>
    <w:p>
      <w:pPr>
        <w:ind w:left="660" w:right="720" w:hanging="247"/>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levels of loss mitigation activity by private mortgage insurers on older vintage portfolios when compared to the more limited loss mitigation activities of government insurance programs;</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imposition of additional loan level delivery fees by the GSEs on loans that require mortgage insurance;</w:t>
      </w:r>
    </w:p>
    <w:p>
      <w:pPr>
        <w:spacing w:after="0" w:line="225" w:lineRule="exact"/>
        <w:rPr>
          <w:rFonts w:ascii="Arial" w:cs="Arial" w:eastAsia="Arial" w:hAnsi="Arial"/>
          <w:sz w:val="18"/>
          <w:szCs w:val="18"/>
          <w:color w:val="auto"/>
        </w:rPr>
      </w:pPr>
    </w:p>
    <w:p>
      <w:pPr>
        <w:ind w:left="660" w:right="160" w:hanging="247"/>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in GSE guaranty fees and the difference in the spread between Fannie Mae mortgage-backed securities and Ginnie Mae mortgage-backed securities;</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perceived operational ease of using government insurance compared to the products of private mortgage insurers;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differences in the enforcement of program requirements by the FHA relative to the enforcement of policy terms by private entities;</w:t>
      </w:r>
    </w:p>
    <w:p>
      <w:pPr>
        <w:spacing w:after="0" w:line="225" w:lineRule="exact"/>
        <w:rPr>
          <w:rFonts w:ascii="Arial" w:cs="Arial" w:eastAsia="Arial" w:hAnsi="Arial"/>
          <w:sz w:val="18"/>
          <w:szCs w:val="18"/>
          <w:color w:val="auto"/>
        </w:rPr>
      </w:pPr>
    </w:p>
    <w:p>
      <w:pPr>
        <w:ind w:left="660" w:right="60" w:hanging="247"/>
        <w:spacing w:after="0" w:line="272"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implementation of new regulations under the Dodd-Frank Act (particularly the Qualified Mortgage and Qualified Residential Mortgage rules) and the Basel III Rules, which may be more favorable to the FHA than to private mortgage insurers (see "</w:t>
      </w:r>
      <w:r>
        <w:rPr>
          <w:rFonts w:ascii="Arial" w:cs="Arial" w:eastAsia="Arial" w:hAnsi="Arial"/>
          <w:sz w:val="17"/>
          <w:szCs w:val="17"/>
          <w:i w:val="1"/>
          <w:iCs w:val="1"/>
          <w:color w:val="auto"/>
        </w:rPr>
        <w:t>—Our business prospects and operating</w:t>
      </w:r>
      <w:r>
        <w:rPr>
          <w:rFonts w:ascii="Arial" w:cs="Arial" w:eastAsia="Arial" w:hAnsi="Arial"/>
          <w:sz w:val="17"/>
          <w:szCs w:val="17"/>
          <w:color w:val="auto"/>
        </w:rPr>
        <w:t xml:space="preserve"> </w:t>
      </w:r>
      <w:r>
        <w:rPr>
          <w:rFonts w:ascii="Arial" w:cs="Arial" w:eastAsia="Arial" w:hAnsi="Arial"/>
          <w:sz w:val="17"/>
          <w:szCs w:val="17"/>
          <w:i w:val="1"/>
          <w:iCs w:val="1"/>
          <w:color w:val="auto"/>
        </w:rPr>
        <w:t>results could be adversely impacted if, and to the extent that, the Consumer Financial Protection Bureau's ("CFPB") final rule defining a qualified mortgage ("QM") reduces the size of the origination market or creates incentives to use government mortgage insurance programs</w:t>
      </w:r>
      <w:r>
        <w:rPr>
          <w:rFonts w:ascii="Arial" w:cs="Arial" w:eastAsia="Arial" w:hAnsi="Arial"/>
          <w:sz w:val="17"/>
          <w:szCs w:val="17"/>
          <w:color w:val="auto"/>
        </w:rPr>
        <w:t>", "—</w:t>
      </w:r>
      <w:r>
        <w:rPr>
          <w:rFonts w:ascii="Arial" w:cs="Arial" w:eastAsia="Arial" w:hAnsi="Arial"/>
          <w:sz w:val="17"/>
          <w:szCs w:val="17"/>
          <w:i w:val="1"/>
          <w:iCs w:val="1"/>
          <w:color w:val="auto"/>
        </w:rPr>
        <w:t>The amount of insurance we write could be adversely affected by the implementation of the Dodd-Frank Act's risk retention requirements and the definition of Qualified Residential Mortgage ("QRM")</w:t>
      </w:r>
      <w:r>
        <w:rPr>
          <w:rFonts w:ascii="Arial" w:cs="Arial" w:eastAsia="Arial" w:hAnsi="Arial"/>
          <w:sz w:val="17"/>
          <w:szCs w:val="17"/>
          <w:color w:val="auto"/>
        </w:rPr>
        <w:t>" and "—</w:t>
      </w:r>
      <w:r>
        <w:rPr>
          <w:rFonts w:ascii="Arial" w:cs="Arial" w:eastAsia="Arial" w:hAnsi="Arial"/>
          <w:sz w:val="17"/>
          <w:szCs w:val="17"/>
          <w:i w:val="1"/>
          <w:iCs w:val="1"/>
          <w:color w:val="auto"/>
        </w:rPr>
        <w:t>The implementation of the Basel III Capital Accord, or other changes to our customers' capital requirements, may discourage the use of mortgage insurance</w:t>
      </w:r>
      <w:r>
        <w:rPr>
          <w:rFonts w:ascii="Arial" w:cs="Arial" w:eastAsia="Arial" w:hAnsi="Arial"/>
          <w:sz w:val="17"/>
          <w:szCs w:val="17"/>
          <w:color w:val="auto"/>
        </w:rPr>
        <w:t>"); and</w:t>
      </w:r>
    </w:p>
    <w:p>
      <w:pPr>
        <w:spacing w:after="0" w:line="177" w:lineRule="exact"/>
        <w:rPr>
          <w:rFonts w:ascii="Arial" w:cs="Arial" w:eastAsia="Arial" w:hAnsi="Arial"/>
          <w:sz w:val="17"/>
          <w:szCs w:val="17"/>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in FHA loan limits above GSE loan limits.</w:t>
      </w:r>
    </w:p>
    <w:p>
      <w:pPr>
        <w:spacing w:after="0" w:line="225"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Further, at the direction of the FHFA, the GSEs have significantly expanded their credit risk sharing programs. These programs have included the use of structured finance vehicles and off-shore reinsurance. The growing success of these programs and the perception that some of these risk-sharing structures have beneficial features in comparison to private mortgage insurance (e.g. lower costs, reduced counterparty risk due to collateral on hand or more diversified insurance exposures) may create increased competition for mortgage insurance going forward on loans traditionally sold to the GSEs with private mortgage insurance. The GSEs have also shown an interest in directly placing mortgage insurance rather than having lenders place the mortgage insurance as part of their expanded risk sharing programs. No assurances can be given that these practices may not expand to loans traditionally insured by lenders with private mortgage insurance prior to sale to the GSEs, which could impact our business.</w:t>
      </w:r>
    </w:p>
    <w:p>
      <w:pPr>
        <w:spacing w:after="0" w:line="178"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In addition, in the event that a government-supported mortgage insurance program in one of our markets reduces prices significantly or alters the terms and conditions of its mortgage insurance or other credit enhancement products in furtherance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7" w:name="page38"/>
    <w:bookmarkEnd w:id="37"/>
    <w:p>
      <w:pPr>
        <w:ind w:right="120"/>
        <w:spacing w:after="0" w:line="277" w:lineRule="auto"/>
        <w:rPr>
          <w:sz w:val="20"/>
          <w:szCs w:val="20"/>
          <w:color w:val="auto"/>
        </w:rPr>
      </w:pPr>
      <w:r>
        <w:rPr>
          <w:rFonts w:ascii="Arial" w:cs="Arial" w:eastAsia="Arial" w:hAnsi="Arial"/>
          <w:sz w:val="18"/>
          <w:szCs w:val="18"/>
          <w:color w:val="auto"/>
        </w:rPr>
        <w:t>political, social or other goals rather than a profit motive, we may be unable to compete in that market effectively, which could have an adverse effect on our business, financial condition and operating results.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the volume of low down payment home mortgage originations declines, the amount of insurance that we write could decline, which would reduce our revenues.</w:t>
      </w:r>
    </w:p>
    <w:p>
      <w:pPr>
        <w:spacing w:after="0" w:line="170"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Our ability to write new business depends, among other things, on the origination volume of low down payment mortgages that require mortgage insurance. Factors that affect the volume of low down payment mortgage originations include:</w:t>
      </w:r>
    </w:p>
    <w:p>
      <w:pPr>
        <w:spacing w:after="0" w:line="170" w:lineRule="exact"/>
        <w:rPr>
          <w:sz w:val="20"/>
          <w:szCs w:val="20"/>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level of home mortgage interest rates and the deductibility of mortgage interest and mortgage insurance for income tax purposes;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health of the domestic economy as well as conditions in regional and local economies;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housing affordability;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population trends, including the rate of household formation;</w:t>
      </w:r>
    </w:p>
    <w:p>
      <w:pPr>
        <w:spacing w:after="0" w:line="225"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rate of home price appreciation, which in times of significant refinancing can affect whether refinance loans have loan-to-value ratios that require private mortgage insurance;</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government housing policies encouraging loans to borrowers that may need low down payment financing, such as first-time homebuyers;</w:t>
      </w:r>
    </w:p>
    <w:p>
      <w:pPr>
        <w:spacing w:after="0" w:line="236" w:lineRule="exact"/>
        <w:rPr>
          <w:rFonts w:ascii="Arial" w:cs="Arial" w:eastAsia="Arial" w:hAnsi="Arial"/>
          <w:sz w:val="17"/>
          <w:szCs w:val="17"/>
          <w:color w:val="auto"/>
        </w:rPr>
      </w:pPr>
    </w:p>
    <w:p>
      <w:pPr>
        <w:ind w:left="660" w:right="260" w:hanging="247"/>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to which the guaranty fees, loan-level price adjustments, credit underwriting guidelines and other business terms provided by the GSEs affect lenders' willingness to extend credit for low down payment mortgages;</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requirements for ability-to-pay determinations prior to extending credit as discussed below;</w:t>
      </w:r>
    </w:p>
    <w:p>
      <w:pPr>
        <w:spacing w:after="0" w:line="225" w:lineRule="exact"/>
        <w:rPr>
          <w:rFonts w:ascii="Arial" w:cs="Arial" w:eastAsia="Arial" w:hAnsi="Arial"/>
          <w:sz w:val="18"/>
          <w:szCs w:val="18"/>
          <w:color w:val="auto"/>
        </w:rPr>
      </w:pPr>
    </w:p>
    <w:p>
      <w:pPr>
        <w:ind w:left="660" w:right="480" w:hanging="247"/>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mortgage credit due to more stringent underwriting standards and the risk retention requirements for securitized mortgage loans affecting lenders as discussed below; and</w:t>
      </w:r>
    </w:p>
    <w:p>
      <w:pPr>
        <w:spacing w:after="0" w:line="170" w:lineRule="exact"/>
        <w:rPr>
          <w:rFonts w:ascii="Arial" w:cs="Arial" w:eastAsia="Arial" w:hAnsi="Arial"/>
          <w:sz w:val="18"/>
          <w:szCs w:val="18"/>
          <w:color w:val="auto"/>
        </w:rPr>
      </w:pPr>
    </w:p>
    <w:p>
      <w:pPr>
        <w:ind w:left="660" w:right="60" w:hanging="247"/>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credit standards, premiums or other terms of obtaining FHA, VA or USDA insurance, which competes directly with private mortgage insurance.</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If the volume of low down payment loan originations declines, then our ability to write new policies may suffer, and our revenue and results of operations may be negatively impacted.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claims to increase as our portfolio matures.</w:t>
      </w:r>
    </w:p>
    <w:p>
      <w:pPr>
        <w:spacing w:after="0" w:line="225"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We believe, based upon our experience and industry data, that claims incidence for mortgage insurance is generally highest in the third through sixth years after loan origination. Although the claims experience on new insurance written by us since we began to write coverage in 2010 has been favorable to date,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 Incurred losses and claims could be further increased in the future in the event of general economic weakness or decreases in housing values. An increase in the number or size of claims, compared to what we anticipate, could adversely affect our results of operations or financial conditions.</w:t>
      </w:r>
    </w:p>
    <w:p>
      <w:pPr>
        <w:spacing w:after="0" w:line="18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Because we establish loss reserves only upon a loan default rather than based on estimates of our ultimate losses on risk in force, losses may have a disproportionate adverse effect on our earnings in certain periods.</w:t>
      </w:r>
    </w:p>
    <w:p>
      <w:pPr>
        <w:spacing w:after="0" w:line="170"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In accordance with industry practice and statutory accounting rules applicable to mortgage guaranty insurance companies, we establish loss reserves only for loans in default. Reserves are established for reported insurance losses and loss adjustment expenses based on when notices of default on insured mortgage loans are received. Reserves are also established for estimated losses incurred in connection with defaults that have not yet been reported. We establish reserves using estimated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584" w:right="259" w:bottom="1440" w:gutter="0" w:footer="0" w:header="0"/>
        </w:sectPr>
      </w:pPr>
    </w:p>
    <w:bookmarkStart w:id="38" w:name="page39"/>
    <w:bookmarkEnd w:id="38"/>
    <w:p>
      <w:pPr>
        <w:ind w:right="80"/>
        <w:spacing w:after="0" w:line="259" w:lineRule="auto"/>
        <w:rPr>
          <w:sz w:val="20"/>
          <w:szCs w:val="20"/>
          <w:color w:val="auto"/>
        </w:rPr>
      </w:pPr>
      <w:r>
        <w:rPr>
          <w:rFonts w:ascii="Arial" w:cs="Arial" w:eastAsia="Arial" w:hAnsi="Arial"/>
          <w:sz w:val="18"/>
          <w:szCs w:val="18"/>
          <w:color w:val="auto"/>
        </w:rPr>
        <w:t>claim rates and claim amounts in estimating the ultimate loss. Because our reserving method does not account for the impact of future losses that could occur from loans that are not yet delinquent, our obligation for ultimate losses that we expect to occur under our policies in force at any period end is not reflected in our financial statements, except in the case where a premium deficiency exists. As a result, future losses may have a material impact on future results as defaults occur.</w:t>
      </w:r>
    </w:p>
    <w:p>
      <w:pPr>
        <w:spacing w:after="0" w:line="18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A downturn in the U.S. economy, a decline in the value of borrowers' homes from their value at the time their loans close and natural disasters, acts of terrorism or other catastrophic events may result in more homeowners defaulting and could increase our losses.</w:t>
      </w:r>
    </w:p>
    <w:p>
      <w:pPr>
        <w:spacing w:after="0" w:line="147"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Losses result from events that reduce a borrower's ability to continue to make mortgage payments, such as increasing unemployment and whether the home of a borrower who defaults on his or her mortgage can be sold for an amount that will cover unpaid principal and interest and the expenses of the sale. In general, favorable economic conditions reduce the likelihood that borrowers will lack sufficient income to pay their mortgages and also favorably affect the value of homes, thereby reducing and in some cases even eliminating a loss from a mortgage default. Deterioration in economic conditions generally increases the likelihood that borrowers will not have sufficient income to pay their mortgages and can also adversely affect housing values, which in turn can decrease the willingness of borrowers with sufficient resources to make mortgage payments when the mortgage balance exceeds the value of the home. Housing values may decline even absent deterioration in economic conditions due to declines in demand for homes, which may result from changes in buyers' perceptions of the potential for future appreciation, restrictions on mortgage credit due to more stringent underwriting standards, liquidity issues affecting lenders or other factors, such as the phase-out of the mortgage interest deduction, reductions or elimination in the deductibility of mortgage insurance premiums or changes in the tax treatment of residential property. The residential mortgage market in the United States has for some time experienced a variety of worsening economic conditions and housing values that have recently begun to stabilize but may not continue to do so. If our loss projections are inaccurate, our loss payments could materially exceed our expectations resulting in an adverse effect on our financial position and operating results. If economic conditions, such as employment and home prices, are less favorable than we expect, our premiums and underwriting standards may prove inadequate to shield us from a material increase in losses. In addition, natural disasters such as floods and tornadoes, acts of terrorism or other catastrophic events could result in increased claims against policies that we have written due to the impact that such events may have on the employment and income of borrowers and the value of affected homes, resulting in defaults on and claims under our policies. We cannot assure you that any strategies we may employ to mitigate the impact on us of such events, including limitations under our master policy on the payment of claims in certain circumstances where a property is damaged, the dispersal of our risk by geography and the potential use of third-party reinsurance structures, will be successful.</w:t>
      </w:r>
    </w:p>
    <w:p>
      <w:pPr>
        <w:spacing w:after="0" w:line="17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Our business prospects and operating results could be adversely impacted if, and to the extent that, the Consumer Financial Protection Bureau's ("CFPB") final rule defining a qualified mortgage ("QM") reduces the size of the origination market or creates incentives to use government mortgage insurance programs.</w:t>
      </w:r>
    </w:p>
    <w:p>
      <w:pPr>
        <w:spacing w:after="0" w:line="181"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The Dodd-Frank Act established the CFPB to regulate the offering and provision of consumer financial products and services under Federal law, including residential mortgages, and generally requires creditors to make a reasonable, good faith determination of a consumer's ability-to-repay any consumer credit transaction secured by a dwelling prior to effecting such transaction. The CFPB is authorized to issue the regulations governing a good faith determination; Dodd-Frank, however, provides a statutory presumption of eligibility of loans that satisfy the QM definition. Effective in January 2014, the CFPB adopted a final rule defining what constitutes a QM, which we refer to as the "QM Rule." Under the QM Rule, a loan is deemed to be a QM if, among other factors:</w:t>
      </w:r>
    </w:p>
    <w:p>
      <w:pPr>
        <w:spacing w:after="0" w:line="193" w:lineRule="exact"/>
        <w:rPr>
          <w:sz w:val="20"/>
          <w:szCs w:val="20"/>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 of the loan is less than or equal to 30 years;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are no negative amortization, interest only or balloon features;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lender properly documents the loan in accordance with the requirements;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total "points and fees" do not exceed certain thresholds, generally 3% of the total loan amount;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total debt-to-income ratio of the borrower does not exceed 43%.</w:t>
      </w:r>
    </w:p>
    <w:p>
      <w:pPr>
        <w:spacing w:after="0" w:line="22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QM Rule provides a "safe harbor" for QM loans with annual percentage rates, or APRs, below the threshold of 150 basis points over the Average Prime Offer Rate, or APOR, and a "rebuttable presumption" for QM loans with an APR above that threshold.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9" w:name="page40"/>
    <w:bookmarkEnd w:id="39"/>
    <w:p>
      <w:pPr>
        <w:ind w:firstLine="432"/>
        <w:spacing w:after="0" w:line="271" w:lineRule="auto"/>
        <w:rPr>
          <w:sz w:val="20"/>
          <w:szCs w:val="20"/>
          <w:color w:val="auto"/>
        </w:rPr>
      </w:pPr>
      <w:r>
        <w:rPr>
          <w:rFonts w:ascii="Arial" w:cs="Arial" w:eastAsia="Arial" w:hAnsi="Arial"/>
          <w:sz w:val="17"/>
          <w:szCs w:val="17"/>
          <w:color w:val="auto"/>
        </w:rPr>
        <w:t>The Dodd-Frank Act separately granted statutory authority to HUD (for FHA-insured loans), the VA (for VA-guaranteed loans) and certain other government agency insurance programs to develop their own definitions of a qualified mortgage in consultation with CFPB. In 2013, HUD adopted a separate definition of a qualified mortgage for loans insured by the FHA. The VA developed its QM definition in 2014. Under both the FHA's and the VA's QM standards, certain loans which would not qualify as QM loans in the conventional market would still be deemed to be QM loans if insured or guaranteed by FHA or VA. As a result, lenders may favor the use of FHA or VA insurance to achieve the legal protections of a making a QM loan through these agencies, even if the same loan could be made at the same or lower cost to the borrower using private mortgage insurance, which could adversely impact our business. To the extent that the other government agencies adopt their own definitions of a QM which are more favorable to lenders and mortgage holders than those applicable to the market in which we operate, our business may be adversely affected.</w:t>
      </w:r>
    </w:p>
    <w:p>
      <w:pPr>
        <w:spacing w:after="0" w:line="179"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QM Rule also provides for a second temporary category with more flexible requirements if the loan is eligible to be (i) purchased or guaranteed by the GSEs while they are in conservatorship, which represents the overwhelming majority of our business, or (ii) insured by the FHA, the VA, the Department of Agriculture or the Rural Housing Service. The second temporary category still requires that loans satisfy certain criteria, including the requirement that the loans are fully amortizing, have terms of 30 years or less and have points and fees representing 3% or less of the total loan amount. This temporary QM category expires on January 10, 2021, or earlier if the Federal agencies issue their own qualified mortgage rules or, with respect to GSEs, if the FHFA's conservatorship ends.</w:t>
      </w:r>
    </w:p>
    <w:p>
      <w:pPr>
        <w:spacing w:after="0" w:line="193"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Failure to comply with the ability-to-repay requirement exposes a lender to substantial potential liability. As a result, we believe that the QM regulations may cause changes in the lending standards and origination practices of our customers. Under the QM Rule, mortgage insurance premiums that are payable by the consumer at or prior to consummation of the loan may be included in the calculation of points and fees, including our borrower-paid single premium products. To the extent the use of private mortgage insurance causes a loan not to meet the definition of a QM, the volume of loans originated with mortgage insurance may decline or cause a change in the mix of premium plans and therefore our profitability.</w:t>
      </w:r>
    </w:p>
    <w:p>
      <w:pPr>
        <w:spacing w:after="0" w:line="17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The amount of insurance we write could be adversely affected by the implementation of the Dodd-Frank Act's risk retention requirements and the definition of Qualified Residential Mortgage ("QRM").</w:t>
      </w:r>
    </w:p>
    <w:p>
      <w:pPr>
        <w:spacing w:after="0" w:line="170" w:lineRule="exact"/>
        <w:rPr>
          <w:sz w:val="20"/>
          <w:szCs w:val="20"/>
          <w:color w:val="auto"/>
        </w:rPr>
      </w:pPr>
    </w:p>
    <w:p>
      <w:pPr>
        <w:ind w:right="160" w:firstLine="432"/>
        <w:spacing w:after="0" w:line="254" w:lineRule="auto"/>
        <w:rPr>
          <w:sz w:val="20"/>
          <w:szCs w:val="20"/>
          <w:color w:val="auto"/>
        </w:rPr>
      </w:pPr>
      <w:r>
        <w:rPr>
          <w:rFonts w:ascii="Arial" w:cs="Arial" w:eastAsia="Arial" w:hAnsi="Arial"/>
          <w:sz w:val="18"/>
          <w:szCs w:val="18"/>
          <w:color w:val="auto"/>
        </w:rPr>
        <w:t>The Dodd-Frank Act requires an originator or issuer to retain a specified percentage of the credit risk exposure on securitized mortgages that do not meet the definition of QRM. As required by the Dodd-Frank Act, effective December 24, 2015, the Office of the Comptroller of the Currency, the Federal Reserve Board, the Federal Deposit Insurance Commission, the Federal Housing Finance Agency, the Securities and Exchange Commission and the Department of Housing and Urban Development adopted a joint final rule implementing the Qualified Residential Mortgage, or QRM, which aligns the definition of a QRM loan with that of a QM loan. If, however, the QRM definition is changed (or if the QM definition is amended) in a manner that is unfavorable to us, such as to give no consideration to mortgage insurance in computing LTV or to require a large down payment for a loan to qualify as a QRM, the attractiveness of originating and securitizing loans with lower down payments may be reduced, which may adversely affect the future demand for mortgage insurance.</w:t>
      </w:r>
    </w:p>
    <w:p>
      <w:pPr>
        <w:spacing w:after="0" w:line="19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The implementation of the Basel III Capital Accord, or other changes to our customers' capital requirements, may discourage the use of mortgage insurance.</w:t>
      </w:r>
    </w:p>
    <w:p>
      <w:pPr>
        <w:spacing w:after="0" w:line="170"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color w:val="auto"/>
        </w:rPr>
        <w:t>In 1988, the Basel Committee on Banking Supervision, which we refer to as the "Basel Committee," developed the Basel Capital Accord, which we refer to as "Basel I," which set out international benchmarks for assessing banks' capital adequacy requirements. In 2005, the Basel Committee issued an update to Basel I, which we refer to as "Basel II," which, among other things, governs the capital treatment of mortgage insurance purchased and held on balance sheet by banks in respect of their origination and securitization activities. In July 2013, the Federal Reserve Board, the Office of the Comptroller of the Currency and the Federal Deposit Insurance Corporation approved publication of final regulatory capital rules, which we refer to as the "Basel III Rules," which govern almost all U.S. banking organizations regardless of size or business model. The Basel III Rules revise and enhance the Federal banking agencies' general risk-based capital, advanced approaches and leverage rules. The Basel III Rules became effective on January 1, 2014, with a mandatory compliance date of January 1, 2015 for banking organizations other than advanced approaches banking organizations that are not savings and loans holding companies. On January 1, 2014, most banking organizations became required to begin a multi-year transition period to the full implementation of the new capital framework.</w:t>
      </w:r>
    </w:p>
    <w:p>
      <w:pPr>
        <w:spacing w:after="0" w:line="19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Federal banking agencies' previously proposed Basel III rule would have made extensive changes to the capital requirements for residential mortgages, including eliminating capital recognition for certain low down payment mortgages covered by mortgage insurance. The Federal banking agencies decided to retain in the Basel III Rules the treatment for residential mortgage exposures that is currently set forth in the general risk-based capital rules and the treatment of mortgage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40" w:name="page41"/>
    <w:bookmarkEnd w:id="40"/>
    <w:p>
      <w:pPr>
        <w:ind w:right="360"/>
        <w:spacing w:after="0" w:line="342" w:lineRule="auto"/>
        <w:rPr>
          <w:sz w:val="20"/>
          <w:szCs w:val="20"/>
          <w:color w:val="auto"/>
        </w:rPr>
      </w:pPr>
      <w:r>
        <w:rPr>
          <w:rFonts w:ascii="Arial" w:cs="Arial" w:eastAsia="Arial" w:hAnsi="Arial"/>
          <w:sz w:val="16"/>
          <w:szCs w:val="16"/>
          <w:color w:val="auto"/>
        </w:rPr>
        <w:t>insurance. In addition, with regard to the separate Basel III Rules applicable to general credit risk mitigation for banking exposures, insurance companies engaged predominantly in the business of providing credit protection, such as private mortgage insurance companies, are not eligible guarantors.</w:t>
      </w:r>
    </w:p>
    <w:p>
      <w:pPr>
        <w:spacing w:after="0" w:line="12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If implementation of the Basel III Rules increases the capital requirements of banking organizations with respect to the residential mortgages we insure, it could adversely affect the size of the portfolio lending market, which in turn would reduce the demand for our mortgage insurance. If the Federal banking agencies revise the Basel III Rules to reduce or eliminate the capital benefit banks receive from insuring low down payment loans with private mortgage insurance, or if our bank customers believe that such adverse changes may occur at some time in the future, our current and future business may be adversely affected. Furthermore, if mortgage insurance companies do not meet the requirements to be an eligible guarantor for purposes of general credit mitigation, our future business prospects may be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in part, on our ability to manage risks in our investment portfolio.</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investment portfolio consists predominantly of investment-grade debt obligations. Our investments are subject to fluctuations in value as a result of broad changes in market conditions as well as risks inherent in particular securities. Changing market conditions could materially impact the future valuation of securities in our investment portfolio, which may cause us to impair, in the future, some portion of the value of those securities and which could have a significant adverse effect on our liquidity, financial condition and operating results.</w:t>
      </w:r>
    </w:p>
    <w:p>
      <w:pPr>
        <w:spacing w:after="0" w:line="187" w:lineRule="exact"/>
        <w:rPr>
          <w:sz w:val="20"/>
          <w:szCs w:val="20"/>
          <w:color w:val="auto"/>
        </w:rPr>
      </w:pPr>
    </w:p>
    <w:p>
      <w:pPr>
        <w:jc w:val="both"/>
        <w:ind w:right="200" w:firstLine="432"/>
        <w:spacing w:after="0" w:line="255" w:lineRule="auto"/>
        <w:rPr>
          <w:sz w:val="20"/>
          <w:szCs w:val="20"/>
          <w:color w:val="auto"/>
        </w:rPr>
      </w:pPr>
      <w:r>
        <w:rPr>
          <w:rFonts w:ascii="Arial" w:cs="Arial" w:eastAsia="Arial" w:hAnsi="Arial"/>
          <w:sz w:val="18"/>
          <w:szCs w:val="18"/>
          <w:color w:val="auto"/>
        </w:rPr>
        <w:t>Income from our investment portfolio is a source of cash flow to support our operations and make claim payments. If we, or our investment advisors, improperly structure our investments to meet those future liabilities or we have unexpected losses, including losses resulting from the forced liquidation of investments before their maturity, we may be unable to meet those obligations. Our investments and investment policies are subject to state insurance laws, which results in our portfolio being predominantly limited to highly rated fixed income securities. If interest rates rise above the rates on our fixed income securities, the market value of our investment portfolio would decrease. Any significant decrease in the value of our investment portfolio would adversely impact our financial condition.</w:t>
      </w:r>
    </w:p>
    <w:p>
      <w:pPr>
        <w:spacing w:after="0" w:line="193"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In addition, compared to historical averages, interest rates and investment yields on highly rated investments have generally been low during the period in which we purchased the securities in our portfolio, which limits the investment income we can generate. We depend on our investments as a source of revenue, and a prolonged period of low investment yields would have an adverse impact on our revenues and could adversely affect our operating results.</w:t>
      </w:r>
    </w:p>
    <w:p>
      <w:pPr>
        <w:spacing w:after="0" w:line="147"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We may be forced to change our investments or investment policies depending upon regulatory, economic and market conditions, and our existing or anticipated financial condition and operating requirements, including the tax position, of our business. Our investment objectives may not be achieved. Although our portfolio consists predominantly of investment-grade fixed income securities and complies with applicable regulatory requirements, the success of our investment activity and the value of our portfolio is affected by general economic conditions, which may adversely affect the markets for credit and interest-rate-sensitive securities, including the extent and timing of investor participation in these markets and the level and volatility of interest rates.</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interest rates decline, house prices appreciate or mortgage insurance cancellation requirements change, the length of time that our policies remain in force could decline and cause a decline in our revenue.</w:t>
      </w:r>
    </w:p>
    <w:p>
      <w:pPr>
        <w:spacing w:after="0" w:line="17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Generally, in each year, most of our premiums are from insurance that has been written in prior years. As a result, the length of time insurance remains in force, which is also generally referred to as persistency, is a significant determinant of our revenues. A lower level of persistency could reduce our future revenues. Our annual persistency rate was 77.7%, 80.2% and 86.4% at December 31, 2016, 2015 and 2014, respectively. The factors affecting the persistency of our insurance portfolio include:</w:t>
      </w:r>
    </w:p>
    <w:p>
      <w:pPr>
        <w:spacing w:after="0" w:line="187" w:lineRule="exact"/>
        <w:rPr>
          <w:sz w:val="20"/>
          <w:szCs w:val="20"/>
          <w:color w:val="auto"/>
        </w:rPr>
      </w:pPr>
    </w:p>
    <w:p>
      <w:pPr>
        <w:ind w:left="660" w:right="700" w:hanging="247"/>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level of current mortgage interest rates compared to the mortgage interest rates on the insurance in force, which affects the incentives of borrowers we have insured to refinance;</w:t>
      </w:r>
    </w:p>
    <w:p>
      <w:pPr>
        <w:spacing w:after="0" w:line="170" w:lineRule="exact"/>
        <w:rPr>
          <w:rFonts w:ascii="Arial" w:cs="Arial" w:eastAsia="Arial" w:hAnsi="Arial"/>
          <w:sz w:val="18"/>
          <w:szCs w:val="18"/>
          <w:color w:val="auto"/>
        </w:rPr>
      </w:pPr>
    </w:p>
    <w:p>
      <w:pPr>
        <w:ind w:left="660" w:right="240" w:hanging="247"/>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of equity in a home, as homeowners with more equity in their homes can generally more readily move to a new residence or refinance their existing mortgage;</w:t>
      </w:r>
    </w:p>
    <w:p>
      <w:pPr>
        <w:spacing w:after="0" w:line="170" w:lineRule="exact"/>
        <w:rPr>
          <w:rFonts w:ascii="Arial" w:cs="Arial" w:eastAsia="Arial" w:hAnsi="Arial"/>
          <w:sz w:val="18"/>
          <w:szCs w:val="18"/>
          <w:color w:val="auto"/>
        </w:rPr>
      </w:pPr>
    </w:p>
    <w:p>
      <w:pPr>
        <w:ind w:left="660" w:right="560" w:hanging="247"/>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rate at which homeowners sell their existing homes and move to new locations, generally referred to as housing turnover, with more rapid economic growth and stronger job markets tending to increase housing turnover;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584" w:right="259" w:bottom="1440" w:gutter="0" w:footer="0" w:header="0"/>
        </w:sectPr>
      </w:pPr>
    </w:p>
    <w:bookmarkStart w:id="41" w:name="page42"/>
    <w:bookmarkEnd w:id="41"/>
    <w:p>
      <w:pPr>
        <w:ind w:left="660" w:right="500" w:hanging="247"/>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mortgage insurance cancellation policies of mortgage investors along with the current values of the homes underlying the mortgages in the insurance in force; and</w:t>
      </w:r>
    </w:p>
    <w:p>
      <w:pPr>
        <w:spacing w:after="0" w:line="170" w:lineRule="exact"/>
        <w:rPr>
          <w:rFonts w:ascii="Arial" w:cs="Arial" w:eastAsia="Arial" w:hAnsi="Arial"/>
          <w:sz w:val="18"/>
          <w:szCs w:val="18"/>
          <w:color w:val="auto"/>
        </w:rPr>
      </w:pPr>
    </w:p>
    <w:p>
      <w:pPr>
        <w:ind w:left="660" w:right="480" w:hanging="247"/>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cancellation of borrower-paid mortgage insurance mandated by law based on the amortization schedule of the loan, which generally occurs sooner the lower the note rate of the insured loan.</w:t>
      </w:r>
    </w:p>
    <w:p>
      <w:pPr>
        <w:spacing w:after="0" w:line="17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Mortgage interest rates have remained at near historic lows since the financial crisis, but may rise in response to expected future changes in monetary policy by the Federal Reserve. Some portion of our insured portfolio may still be able to refinance at the current level of mortgage rates, which may reduce our future revenues. If interest rates rise, persistency is likely to increase, which may extend the average life of our insured portfolio and result in higher levels of future claims as more loans remain outstanding.</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premiums we charge may not be adequate to compensate us for our liabilities for losses and, as a result, any inadequacy could materially affect our financial condition and results of operations.</w:t>
      </w:r>
    </w:p>
    <w:p>
      <w:pPr>
        <w:spacing w:after="0" w:line="170"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Our mortgage insurance premium rates may not be adequate to cover future losses. We set premiums at the time a policy is issued based on a number of factors, including our expectations regarding likely mortgage performance over the expected life of the coverage as well as competition from other private mortgage insurers, government programs and other products. These expectations may prove to be incorrect. Generally, we cannot cancel mortgage insurance coverage or adjust renewal premiums during the life of a mortgage insurance policy. As a result, higher than anticipated claims generally cannot be offset by premium increases on policies in force or mitigated by our non-renewal or cancellation of insurance coverage. The premiums we charge, and the associated investment income, may not be adequate to compensate us for the risks and costs associated with the insurance coverage provided to customers. Should we wish to increase our premium rates, any such change would be prospectively applied to new policies written, and the changes would be subject to approval by state regulatory agencies, which may delay or limit our ability to increase our premium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delegated underwriting program may subject our mortgage insurance business to unanticipated claims.</w:t>
      </w:r>
    </w:p>
    <w:p>
      <w:pPr>
        <w:spacing w:after="0" w:line="225"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In our mortgage insurance business, we enter into agreements with our customers that commit us to insure loans made by them using pre-established underwriting guidelines. Once we accept a customer into our delegated underwriting program, we generally insure a loan originated by that customer without re-confirming the customer followed our specified underwriting guidelines. Under this program, a customer could commit us to insure a material number of loans with unacceptable risk profiles before we discover the problem and terminate that customer's delegated underwriting authority or pursue other rights that may be available to us, such as our rights to rescind coverage or deny claims, which rights are limited by the terms of our master policy.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our contract underwriting business.</w:t>
      </w:r>
    </w:p>
    <w:p>
      <w:pPr>
        <w:spacing w:after="0" w:line="225" w:lineRule="exact"/>
        <w:rPr>
          <w:sz w:val="20"/>
          <w:szCs w:val="20"/>
          <w:color w:val="auto"/>
        </w:rPr>
      </w:pPr>
    </w:p>
    <w:p>
      <w:pPr>
        <w:jc w:val="both"/>
        <w:ind w:right="380" w:firstLine="432"/>
        <w:spacing w:after="0" w:line="288" w:lineRule="auto"/>
        <w:rPr>
          <w:sz w:val="20"/>
          <w:szCs w:val="20"/>
          <w:color w:val="auto"/>
        </w:rPr>
      </w:pPr>
      <w:r>
        <w:rPr>
          <w:rFonts w:ascii="Arial" w:cs="Arial" w:eastAsia="Arial" w:hAnsi="Arial"/>
          <w:sz w:val="16"/>
          <w:szCs w:val="16"/>
          <w:color w:val="auto"/>
        </w:rPr>
        <w:t>We provide contract underwriting services for certain of our customers, including on loans for which we are not providing mortgage insurance. For substantially all of the existing loans that were originated through our contract underwriting services, we have agreed that if we make a material error in providing these services and the error leads to a loss for the customer, the customer may, subject to certain conditions and limitations, claim a remedy.</w:t>
      </w:r>
    </w:p>
    <w:p>
      <w:pPr>
        <w:spacing w:after="0"/>
        <w:rPr>
          <w:sz w:val="20"/>
          <w:szCs w:val="20"/>
          <w:color w:val="auto"/>
        </w:rPr>
      </w:pPr>
      <w:r>
        <w:rPr>
          <w:rFonts w:ascii="Arial" w:cs="Arial" w:eastAsia="Arial" w:hAnsi="Arial"/>
          <w:sz w:val="16"/>
          <w:szCs w:val="16"/>
          <w:color w:val="auto"/>
        </w:rPr>
        <w:t>Accordingly, we have assumed some risk in connection with providing these services. We also face regulatory and litigation risk in providing these services.</w:t>
      </w:r>
    </w:p>
    <w:p>
      <w:pPr>
        <w:spacing w:after="0" w:line="23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Because loss reserve estimates are subject to uncertainties and are based on assumptions that may be volatile, ultimate losses may be substantially different than our loss reserves.</w:t>
      </w:r>
    </w:p>
    <w:p>
      <w:pPr>
        <w:spacing w:after="0" w:line="170"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We establish reserves using estimated claim rates and claim amounts in estimating the ultimate loss on delinquent loans. The estimated claim rates and claim amounts represent our best estimates of what we will actually pay on the loans in default as of the reserve date. Our master policy provides us the right to rescind or deny claims under certain circumstances. Our reserve calculations do not currently include any estimate for claim rescissions, but we may be required to do so at some later time to ensure that our reserves meet the requirements of accounting principles generally accepted in the United States.</w:t>
      </w:r>
    </w:p>
    <w:p>
      <w:pPr>
        <w:spacing w:after="0" w:line="154"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The establishment of loss reserves is subject to inherent uncertainty and requires judgment by management. Our estimates of claim rates and claim sizes will be strongly influenced by prevailing economic conditions, such as current rates or trends in unemployment, housing price appreciation and/or interest rates, and our best judgments as to the future values or trends of these macroeconomic factors. If prevailing economic conditions deteriorate suddenly and/or unexpectedly, our estimates of loss reserves could be materially understated, which may adversely impact our financial condition and operating results. Changes to our estimates could result in a material impact to our results of operations, even in a stable economic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environment, and there can be no assurance that actual claims paid by us will not be substantially different than our loss reserves.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downgrade in our financial strength ratings may adversely affect the amount of business that we write.</w:t>
      </w:r>
    </w:p>
    <w:p>
      <w:pPr>
        <w:spacing w:after="0" w:line="225" w:lineRule="exact"/>
        <w:rPr>
          <w:sz w:val="20"/>
          <w:szCs w:val="20"/>
          <w:color w:val="auto"/>
        </w:rPr>
      </w:pPr>
    </w:p>
    <w:p>
      <w:pPr>
        <w:ind w:right="60" w:firstLine="432"/>
        <w:spacing w:after="0" w:line="288" w:lineRule="auto"/>
        <w:rPr>
          <w:sz w:val="20"/>
          <w:szCs w:val="20"/>
          <w:color w:val="auto"/>
        </w:rPr>
      </w:pPr>
      <w:r>
        <w:rPr>
          <w:rFonts w:ascii="Arial" w:cs="Arial" w:eastAsia="Arial" w:hAnsi="Arial"/>
          <w:sz w:val="16"/>
          <w:szCs w:val="16"/>
          <w:color w:val="auto"/>
        </w:rPr>
        <w:t>Financial strength ratings, which various ratings organizations publish as a measure of an insurance company's ability to meet contractholder and policyholder obligations, are important to maintain confidence in our products and our competitive position. A downgrade in our financial strength ratings, or the announced potential for a downgrade, could have an adverse effect on our financial condition and results of operations in many ways, including:</w:t>
      </w:r>
    </w:p>
    <w:p>
      <w:pPr>
        <w:ind w:right="160" w:firstLine="8"/>
        <w:spacing w:after="0" w:line="254" w:lineRule="auto"/>
        <w:tabs>
          <w:tab w:leader="none" w:pos="2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scrutiny of us and our financial condition by our customers, potentially resulting in a decrease in the amount of new insurance policies that we write; (ii) requiring us to reduce the premiums that we charge for mortgage insurance in order to remain competitive; and (iii) adversely affecting our ability to obtain reinsurance or to obtain reasonable pricing on reinsurance. A ratings downgrade could also increase our cost of capital and limit our access to the capital markets.</w:t>
      </w:r>
    </w:p>
    <w:p>
      <w:pPr>
        <w:spacing w:after="0" w:line="19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In addition, if the GSEs renew their historical focus on financial strength or other third-party credit ratings as components of their eligibility requirements for private mortgage insurers and do not set such requirements at a level that we can satisfy, or if as a result of a downgrade we would no longer comply with such rating requirements, our revenues and results of operations would be materially adversely affected. See "—</w:t>
      </w:r>
      <w:r>
        <w:rPr>
          <w:rFonts w:ascii="Arial" w:cs="Arial" w:eastAsia="Arial" w:hAnsi="Arial"/>
          <w:sz w:val="18"/>
          <w:szCs w:val="18"/>
          <w:i w:val="1"/>
          <w:iCs w:val="1"/>
          <w:color w:val="auto"/>
        </w:rPr>
        <w:t>Changes in 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practices of the GSEs, including actions or decisions to decrease or discontinue the use of mortgage insurance or changes in the GSEs' eligibility requirements for mortgage insurers, could reduce our revenues or adversely affect our profitability and returns" </w:t>
      </w:r>
      <w:r>
        <w:rPr>
          <w:rFonts w:ascii="Arial" w:cs="Arial" w:eastAsia="Arial" w:hAnsi="Arial"/>
          <w:sz w:val="18"/>
          <w:szCs w:val="18"/>
          <w:color w:val="auto"/>
        </w:rPr>
        <w:t>and "Business—Regulation—Direct U.S.</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Regulation—GSE Qualified Mortgage Insurer Requirements."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our senior management team and our business could be harmed if we are unable to retain qualified personnel.</w:t>
      </w:r>
    </w:p>
    <w:p>
      <w:pPr>
        <w:spacing w:after="0" w:line="225"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Our success depends, in part, on the skills, working relationships and continued services of our senior management team. We have employment agreements with each of our senior executives. The departure of any of our key executives could adversely affect the conduct of our business. In such an event, we would be required to obtain other personnel to manage and operate our business, and there can be no assurance that we would be able to employ a suitable replacement for the departing individual, or that a replacement could be hired on terms that are favorable to us. Volatility or lack of performance in our share price may affect our ability to retain our key personnel or attract replacements should key personnel depart.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servicers fail to adhere to appropriate servicing standards or experience disruptions to their businesses, our losses could unexpectedly increase.</w:t>
      </w:r>
    </w:p>
    <w:p>
      <w:pPr>
        <w:spacing w:after="0" w:line="248"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We depend on reliable, consistent third-party servicing of the loans that we insure. Among other things, our mortgage insurance policies require our policyholders and their servicers to timely submit premium and monthly insurance in force and default reports and utilize commercially reasonable efforts to limit and mitigate loss when a loan is in default. If one or more servicers were to experience adverse effects to its business, such servicers could experience delays in their reporting and premium payment requirements. Without reliable, consistent third-party servicing, our insurance subsidiaries may be unable to correctly record new loans as they are underwritten, receive and process payments on insured loans and/or properly recognize and establish loss reserves on loans when a default exists or occurs but is not reported to us. In addition, if these servicers fail to limit and mitigate losses when appropriate, our losses may unexpectedly increase. Significant failures by large servicers or disruptions in the servicing of mortgage loans covered by our insurance policies would adversely impact our business, financial condition and operating results.</w:t>
      </w:r>
    </w:p>
    <w:p>
      <w:pPr>
        <w:spacing w:after="0" w:line="17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Furthermore, we have delegated to the GSEs, who have in turn delegated to most of their servicers, authority to accept modifications, short sales and deeds-in-lieu of foreclosure on loans we insure. Servicers are required to operate under protocols established by the GSEs in accepting these loss mitigation alternatives. We are dependent upon servicers in making these decisions and mitigating our exposure to losses. In some cases, loss mitigation decisions favorable to the GSEs may not be favorable to us, and may increase the incidence of paid claims. Inappropriate delegation protocols or failure of servicers to service in accordance with the protocols may increase the magnitude of our losses and have an adverse effect on our business, financial condition and operating results. Our delegation of loss mitigation decisions to the GSEs is subject to cancellation but exercise of our cancellation rights may have an adverse impact on our relationship with the GSEs and lenders.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43" w:name="page44"/>
    <w:bookmarkEnd w:id="43"/>
    <w:p>
      <w:pPr>
        <w:spacing w:after="0"/>
        <w:rPr>
          <w:sz w:val="20"/>
          <w:szCs w:val="20"/>
          <w:color w:val="auto"/>
        </w:rPr>
      </w:pPr>
      <w:r>
        <w:rPr>
          <w:rFonts w:ascii="Arial" w:cs="Arial" w:eastAsia="Arial" w:hAnsi="Arial"/>
          <w:sz w:val="15"/>
          <w:szCs w:val="15"/>
          <w:b w:val="1"/>
          <w:bCs w:val="1"/>
          <w:i w:val="1"/>
          <w:iCs w:val="1"/>
          <w:color w:val="auto"/>
        </w:rPr>
        <w:t>Our information technology systems may become outmoded, be temporarily interrupted or fail thereby causing us to fail to meet our customers' demands.</w:t>
      </w:r>
    </w:p>
    <w:p>
      <w:pPr>
        <w:spacing w:after="0" w:line="260"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Our business is highly dependent on the effective operation of our information technology systems, which are vulnerable to damage or interruption from power outages, computer and telecommunications failures, computer viruses, cyber-attacks, security breaches, catastrophic events and errors in usage. Although we have disaster recovery and business continuity plans in place, we may not be able to adequately execute these plans in a timely fashion. Additionally, we may not satisfy our customers' requirements if we fail to invest sufficient resources in, or otherwise are unable to maintain and upgrade our information technology systems. Because we rely on our information technology systems for many critical functions, including connecting with our customers, if such systems were to fail or become outmoded, we may experience a significant disruption in our operations and in the business we receive, which could negatively affect our operating results, financial condition and profitability.</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security of our information technology systems may be compromised and confidential information, including non-public personal information that we maintain, could be improperly disclosed.</w:t>
      </w:r>
    </w:p>
    <w:p>
      <w:pPr>
        <w:spacing w:after="0" w:line="170"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Our information technology systems may be vulnerable to physical or electronic intrusions, computer viruses or other attacks. As part of our business, we maintain large amounts of confidential information, including non-public personal information on consumers and our employees. Breaches in security could result in the loss or misuse of this information, which could, in turn, result in potential regulatory actions or litigation, including material claims for damages, interruption to our operations, damage to our reputation or otherwise have a material adverse effect on our business, financial condition and operating results. Although we believe that we have appropriate information security policies and systems in place in order to prevent unauthorized use or disclosure of confidential information, including non-public personal information, there can be no assurance that such use or disclosure will not occur.</w:t>
      </w:r>
    </w:p>
    <w:p>
      <w:pPr>
        <w:spacing w:after="0" w:line="16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holding company structure and certain regulatory and other constraints, including adverse business performance, could negatively impact our liquidity and potentially require us to raise more capital.</w:t>
      </w:r>
    </w:p>
    <w:p>
      <w:pPr>
        <w:spacing w:after="0" w:line="170"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Essent Group Ltd. serves as the holding company for our insurance and other subsidiaries and does not have any significant operations of its own. As a result, its principal source of funds is income from our investment portfolio, dividends and other distributions from our insurance and other subsidiaries, including permitted payments under our expense-sharing arrangements, and funds that may be raised from time to time in the capital markets. Our dividend income is limited to upstream dividend payments from our insurance and other subsidiaries, which may be restricted by applicable state insurance laws. Under Pennsylvania law, our insurance subsidiaries may pay ordinary dividends without prior approval of the Pennsylvania Insurance Commissioner (the "Commissioner"), but are not permitted to pay extraordinary dividends without the prior approval of the Commissioner. An extraordinary dividend is a dividend or distribution which, together with other dividends and distributions made within the preceding 12 months, exceeds the greater of (i) 10% of our surplus as shown in our last annual statement on file with the Commissioner, or (ii) our net income for the period covered by such statement, but shall not include pro rata distributions of any class of our own securities. Moreover, under Pennsylvania law, dividends and other distributions may only be paid out of unassigned surplus unless approved by the Commissioner. Our primary operating subsidiary, Essent Guaranty, Inc., had unassigned surplus of approximately $13.6 million as of December 31, 2016. In addition, Essent Guaranty of PA, Inc. had unassigned surplus of approximately $8.4 million as of December 31, 2016, and paid to its parent company, Essent US Holdings, Inc., a $5.0 million dividend in February 2017. For further information, see Note 11 to our consolidated financial statements entitled "Dividends Restrictions" included elsewhere in this Annual Report. As a result of these dividend limitations, we likely will not receive dividend income from our subsidiaries for several years and, consequently, Essent Group Ltd. may have limited liquidity and may be required to raise additional capital.</w:t>
      </w:r>
    </w:p>
    <w:p>
      <w:pPr>
        <w:spacing w:after="0" w:line="18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We may need additional capital to fund our operations or expand our business, and if we are unable to obtain sufficient financing or such financing is obtained on adverse terms, we may not be able to operate or expand our business as planned, which could negatively affect our results of operations and future growth.</w:t>
      </w:r>
    </w:p>
    <w:p>
      <w:pPr>
        <w:spacing w:after="0" w:line="18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We may require incremental capital to support our growth and comply with regulatory requirements. To the extent that we require capital in the future, we may need to obtain financing from the capital markets or other third-party sources of financing. Potential investors or lenders may be unable to provide us with financing that is attractive to us. Our access to such financing will depend, in part, on:</w:t>
      </w:r>
    </w:p>
    <w:p>
      <w:pPr>
        <w:spacing w:after="0" w:line="181" w:lineRule="exact"/>
        <w:rPr>
          <w:sz w:val="20"/>
          <w:szCs w:val="20"/>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market's perception of our growth potential;</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584" w:right="279" w:bottom="1440" w:gutter="0" w:footer="0" w:header="0"/>
        </w:sectPr>
      </w:pPr>
    </w:p>
    <w:bookmarkStart w:id="44" w:name="page45"/>
    <w:bookmarkEnd w:id="44"/>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debt levels, if any;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expected results of operations;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cash flow;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market price of our common shares.</w:t>
      </w:r>
    </w:p>
    <w:p>
      <w:pPr>
        <w:spacing w:after="0" w:line="225"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Our principal capital demands include funds for (i) the expansion of our business, (ii) the payment of certain corporate operating expenses, (iii) capital support for our subsidiaries, and (iv) Federal, state and local taxes. We may need to provide additional capital support to our insurance subsidiaries if required pursuant to insurance laws and regulations or by the GSEs. If we were unable to meet our obligations, our insurance subsidiaries could lose GSE approval or be required to cease writing business in one or more states, which would adversely impact our business, financial condition and operating results.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will depend on our ability to maintain and enhance effective operating procedures and internal controls.</w:t>
      </w:r>
    </w:p>
    <w:p>
      <w:pPr>
        <w:spacing w:after="0" w:line="225"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Operational risk and losses can result from, among other things, fraud, errors, failure to document transactions properly or to obtain proper internal authorization, failure to comply with regulatory requirements, information technology failures, failure to appropriately transition new hires or external events. We continue to enhance our operating procedures and internal controls to effectively support our business and our regulatory and reporting requirements. Our management does not expect that our disclosure controls or our internal controls will prevent all potential errors and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As a result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 or mistake. Additionally, controls can be circumvented by the individual acts of some persons or by collusion of two or more people.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As a result of the inherent limitations in a cost-effective control system, misstatement due to error or fraud may occur and not be detected. Accordingly, our disclosure controls and procedures are designed to provide reasonable, not absolute, assurance that the disclosure controls and procedures are met. Any ineffectiveness in our controls or procedures could have a material adverse effect on our business.</w:t>
      </w:r>
    </w:p>
    <w:p>
      <w:pPr>
        <w:spacing w:after="0" w:line="183"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have a risk management framework designed to assess and monitor our risks. However, there can be no assurance that we can effectively review and monitor all risks or that all of our employees will operate within our risk management framework, nor can there can be any assurance that our risk management framework will result in accurately identifying all risks and accurately limiting our exposures based on our assessments. Moreover, risk management is expected to be a new and important focus of regulatory examinations of companies under supervision. There can be no assurance that our risk management framework and documentation will meet the expectations of such regulators.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mortgage insurance industry is, and as a participant in that industry we are, subject to litigation and regulatory risk generally.</w:t>
      </w:r>
    </w:p>
    <w:p>
      <w:pPr>
        <w:spacing w:after="0" w:line="225"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The mortgage insurance industry faces litigation risk in the ordinary course of operations, including the risk of class action lawsuits and administrative enforcement by Federal and state agencies. Litigation relating to capital markets transactions and securities-related matters in general has increased and is expected to continue to increase as a result of the recent financial crisis. Consumers are bringing a growing number of lawsuits against home mortgage lenders and settlement service providers. Mortgage insurers have been involved in class action litigation alleging violations of Section 8 of the Real Estate Settlement Procedures Act of 1974, or RESPA, and the Fair Credit Reporting Act, or FCRA. Section 8 of RESPA generally precludes mortgage insurers from paying referral fees to mortgage lenders for the referral of mortgage insurance business. This limitation also can prohibit providing services or products to mortgage lenders free of charge, charging fees for services that are lower than their reasonable or fair market value and paying fees for services that mortgage lenders provide that are higher than their reasonable or fair market value, in exchange for the referral of mortgage insurance business services. Violations of the referral fee limitations of RESPA may be enforced by the CFPB, HUD, the Department of Justice, state attorneys general and state insurance commissioners, as well as by private litigants in class actions. In the past, a number of lawsuits have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800" w:right="259" w:bottom="1440" w:gutter="0" w:footer="0" w:header="0"/>
        </w:sectPr>
      </w:pPr>
    </w:p>
    <w:bookmarkStart w:id="45" w:name="page46"/>
    <w:bookmarkEnd w:id="45"/>
    <w:p>
      <w:pPr>
        <w:ind w:right="80"/>
        <w:spacing w:after="0" w:line="286" w:lineRule="auto"/>
        <w:rPr>
          <w:sz w:val="20"/>
          <w:szCs w:val="20"/>
          <w:color w:val="auto"/>
        </w:rPr>
      </w:pPr>
      <w:r>
        <w:rPr>
          <w:rFonts w:ascii="Arial" w:cs="Arial" w:eastAsia="Arial" w:hAnsi="Arial"/>
          <w:sz w:val="16"/>
          <w:szCs w:val="16"/>
          <w:color w:val="auto"/>
        </w:rPr>
        <w:t>challenged the actions of private mortgage insurers under RESPA, alleging that the insurers have violated the referral fee prohibition by entering into captive reinsurance arrangements or providing products or services to mortgage lenders at improperly reduced prices in return for the referral of mortgage insurance, including the provision of contract underwriting services. In addition to these private lawsuits, other private mortgage insurance companies have received civil investigative demands from the CFPB as part of its investigation to determine whether mortgage lenders and mortgage insurance providers engaged in acts or practices in connection with their captive mortgage insurance arrangements in violation of RESPA, the Consumer Financial Protection Act and the Dodd-Frank Act. We received such an inquiry from the CFPB in January 2012; however, we do not currently have nor have we ever had any such captive reinsurance arrangements. In April 2013, the United States District Court for the Southern District of Florida approved consent orders issued by the CFPB against four other private mortgage insurers relating to captive reinsurance, and a settlement with a fifth private mortgage insurer was announced in November 2013. Under the settlements as approved, the mortgage insurers agreed to end the challenged practices, pay monetary penalties, and be subject to monitoring by the CFPB and are required to make reports to the CFPB in order to ensure their compliance with the provisions of the orders. Although we did not participate in the practices that were the subject of the CFPB investigation, the private mortgage insurance industry and our insurance subsidiaries are subject to substantial Federal and state regulation. Increased Federal or state regulatory scrutiny could lead to new legal precedents, new regulations or new practices, or regulatory actions or investigations, which could adversely affect our financial condition and operating results.</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operating insurance and reinsurance subsidiaries are subject to regulation in various jurisdictions, and material changes in the regulation of their operations could adversely affect us.</w:t>
      </w:r>
    </w:p>
    <w:p>
      <w:pPr>
        <w:spacing w:after="0" w:line="170" w:lineRule="exact"/>
        <w:rPr>
          <w:sz w:val="20"/>
          <w:szCs w:val="20"/>
          <w:color w:val="auto"/>
        </w:rPr>
      </w:pPr>
    </w:p>
    <w:p>
      <w:pPr>
        <w:jc w:val="both"/>
        <w:ind w:right="100" w:firstLine="432"/>
        <w:spacing w:after="0" w:line="302" w:lineRule="auto"/>
        <w:rPr>
          <w:sz w:val="20"/>
          <w:szCs w:val="20"/>
          <w:color w:val="auto"/>
        </w:rPr>
      </w:pPr>
      <w:r>
        <w:rPr>
          <w:rFonts w:ascii="Arial" w:cs="Arial" w:eastAsia="Arial" w:hAnsi="Arial"/>
          <w:sz w:val="16"/>
          <w:szCs w:val="16"/>
          <w:color w:val="auto"/>
        </w:rPr>
        <w:t>Our insurance and reinsurance subsidiaries are subject to government regulation in each of the jurisdictions in which they are licensed or authorized to do business. Governmental agencies have broad administrative power to regulate many aspects of the insurance business, which may include trade and claim practices, accounting methods, premium rates, marketing practices, advertising, policy forms, and capital adequacy. These agencies are concerned primarily with the protection of policyholders rather than shareholders. Moreover, insurance laws and regulations, among other things:</w:t>
      </w:r>
    </w:p>
    <w:p>
      <w:pPr>
        <w:spacing w:after="0" w:line="15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solvency requirements, including minimum reserves and capital and surplus requirements;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 the amount of dividends, tax distributions, intercompany loans and other payments our insurance subsidiaries can make without prior regulatory approval;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impose restrictions on the amount and type of investments we may hold.</w:t>
      </w:r>
    </w:p>
    <w:p>
      <w:pPr>
        <w:spacing w:after="0" w:line="225"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The NAIC examines existing state insurance laws and regulations in the United States. During 2012, the NAIC established a Mortgage Guaranty Insurance Working Group, which we refer to as the "MGIWG," to determine and make recommendations to the NAIC's Financial Condition Committee regarding what, if any, changes are deemed necessary to the solvency regulation of mortgage guaranty insurers. The MGIWG has advanced a draft revised Model Act and has engaged with certain industry members developing a risk-sensitive analytical model to assess and establish capital adequacy levels. The MGIWG is continuing its work into 2017.</w:t>
      </w:r>
    </w:p>
    <w:p>
      <w:pPr>
        <w:spacing w:after="0" w:line="188"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If the NAIC were to adopt a revised Mortgage Guaranty Insurance Model Act, it may result in state legislatures enacting and implementing the revised provisions. We cannot predict the effect that any NAIC recommendations or proposed or future legislation or rule-making in the United States or elsewhere may have on our financial condition or operations.</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If our Bermuda principal operating subsidiary becomes subject to insurance statutes and regulations in jurisdictions other than Bermuda or if there is a change in Bermuda law or regulations or the application of Bermuda law or regulations, there could be a significant and negative impact on our business.</w:t>
      </w:r>
    </w:p>
    <w:p>
      <w:pPr>
        <w:spacing w:after="0" w:line="181"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Our reinsurance subsidiary, Essent Reinsurance Ltd., is a registered Bermuda Class 3A insurer pursuant to Section 4 of the Insurance Act 1978. As such, it is subject to regulation and supervision in Bermuda and is not licensed or admitted to do business in any jurisdiction except Bermuda. Generally, Bermuda insurance statutes and regulations applicable to Essent Reinsurance Ltd. are less restrictive than those that would be applicable if they were governed by the laws of any state in the United States. We do not presently intend for Essent Reinsurance Ltd. to be admitted to do business in the United States, the U.K. or any jurisdiction other than Bermuda. However, recent scrutiny of the insurance and reinsurance industry in the United States and other countries could subject Essent Reinsurance Ltd. to additional regulation in the future that may make it unprofitable or illegal to operate a reinsurance business through our Bermuda subsidiary. We cannot assure you that insurance regulators in the United States, the U.K. or elsewhere will not review the activities of Essent Reinsurance Ltd. or its subsidiaries or agents and assert that Essent Reinsurance Ltd. is subject to such jurisdiction's licensing requirements. If in the future Essent Reinsurance Ltd. becomes subject to any insurance laws of the United States or any state thereof or of any other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6" w:name="page47"/>
    <w:bookmarkEnd w:id="46"/>
    <w:p>
      <w:pPr>
        <w:ind w:right="240"/>
        <w:spacing w:after="0" w:line="277" w:lineRule="auto"/>
        <w:rPr>
          <w:sz w:val="20"/>
          <w:szCs w:val="20"/>
          <w:color w:val="auto"/>
        </w:rPr>
      </w:pPr>
      <w:r>
        <w:rPr>
          <w:rFonts w:ascii="Arial" w:cs="Arial" w:eastAsia="Arial" w:hAnsi="Arial"/>
          <w:sz w:val="18"/>
          <w:szCs w:val="18"/>
          <w:color w:val="auto"/>
        </w:rPr>
        <w:t>jurisdiction, we cannot assure you that Essent Reinsurance Ltd. would be in compliance with such laws or that complying with such laws would not have a significant and negative effect on our business.</w:t>
      </w:r>
    </w:p>
    <w:p>
      <w:pPr>
        <w:spacing w:after="0" w:line="170"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process of obtaining licenses is very time consuming and costly, and Essent Reinsurance Ltd. may not be able to become licensed in jurisdictions other than Bermuda should we choose to do so. The modification of the conduct of our business that would result if we were required or chose to become licensed in certain jurisdictions could significantly and negatively affect our financial condition and results of operations. In addition, our inability to comply with insurance statutes and regulations could significantly and adversely affect our financial condition and results of operations by limiting our ability to conduct business as well as subject us to penalties and fines.</w:t>
      </w:r>
    </w:p>
    <w:p>
      <w:pPr>
        <w:spacing w:after="0" w:line="18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Because Essent Reinsurance Ltd. is a Bermuda company, it is subject to changes in Bermuda law and regulation that may have an adverse impact on our operations, including through the imposition of tax liability or increased regulatory supervision. Bermuda insurance statutes and the regulations, and policies of the BMA, require Essent Reinsurance Ltd. to, among other things:</w:t>
      </w:r>
    </w:p>
    <w:p>
      <w:pPr>
        <w:spacing w:after="0" w:line="181" w:lineRule="exact"/>
        <w:rPr>
          <w:sz w:val="20"/>
          <w:szCs w:val="20"/>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maintain a minimum level of capital and surplus;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maintain an enhanced capital requirement, general business solvency margins and a minimum liquidity ratio;</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 dividends and distributions;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prior approval regarding the ownership and transfer of shares;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maintain a principal office and appoint and maintain a principal representative in Bermuda;</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 annual financial statements, an annual statutory financial return and an annual capital and solvency return;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allow for the performance of certain periodic examinations of Essent Reinsurance Ltd. and its financial condition.</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These statutes and regulations may restrict Essent Reinsurance Ltd.'s ability to write insurance and reinsurance policies, distribute funds and pursue its investment strategy. In addition, Essent Reinsurance Ltd. is exposed to any changes in the political environment in Bermuda. The Bermuda insurance and reinsurance regulatory framework recently has become subject to increased scrutiny in many jurisdictions, including the U.K. As a result of the delay in implementation of Solvency II Directive 2009/138/EC ("Solvency II"), it is unclear when the European Commission will make a final decision on whether or not it will recognize the solvency regime in Bermuda to be equivalent to that laid down in Solvency II. While we cannot predict the future impact on our operations of changes in the laws and regulation to which we are or may become subject, any such changes could have a material adverse effect on our business,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banking regulations that may limit our business activities.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Goldman Sachs Group, Inc. is a bank holding company and regulated as a financial holding company under the Bank Holding Company Act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of 1956, as amended, or the BHC Act. The BHC Act imposes regulations and requirements on The Goldman Sachs Group, Inc. and on any company that 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deemed to be controlled by The Goldman Sachs Group, Inc. under the BHC Act and the regulations of the Board of Governors of the Federal Reserve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System, or the Federal Reserve. Due to the size of its voting and economic interests in us, we are deemed to be controlled by The Goldman Sachs Group,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are therefore considered to be a non-bank subsidiary of The Goldman Sachs Group, Inc. under the BHC Act and so we are subject to the supervision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regulation of the Federal Reserve and to certain banking laws, regulations and orders that apply to The Goldman Sachs Group, Inc. We will remain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regulatory regime until The Goldman Sachs Group, Inc. is no longer deemed to control us for purposes of the BHC Act, which we do not generally have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ability to control and which will not occur until The Goldman Sachs Group, Inc. has significantly reduced its voting and economic interests in us.</w:t>
      </w:r>
    </w:p>
    <w:p>
      <w:pPr>
        <w:spacing w:after="0" w:line="222"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As a controlled non-bank subsidiary of The Goldman Sachs Group, Inc., we are restricted from engaging in activities that are not permissible under the BHC Act, or the rules and regulations promulgated thereunder. Permitted activities for a financial holding company or any controlled non-bank subsidiary generally include activities that the Federal Reserve has previously determined to be closely related to banking, financial in nature, or incidental or complementary to financial activities, including insurance underwriting and selling insurance as agent or broker such as our activity of offering private mortgage insurance and reinsurance coverage for single-family mortgage loans. Further, as a result of being subject to regulation and supervision by the Federal Reserve, we may be required to obtain the prior approval of the Federal Reserve before engaging in certain new activities or businesses, whether organically or by acquisition. The Federal Reserve could exercise its power to restrict us from</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7" w:name="page48"/>
    <w:bookmarkEnd w:id="47"/>
    <w:p>
      <w:pPr>
        <w:ind w:right="120"/>
        <w:spacing w:after="0" w:line="264" w:lineRule="auto"/>
        <w:rPr>
          <w:sz w:val="20"/>
          <w:szCs w:val="20"/>
          <w:color w:val="auto"/>
        </w:rPr>
      </w:pPr>
      <w:r>
        <w:rPr>
          <w:rFonts w:ascii="Arial" w:cs="Arial" w:eastAsia="Arial" w:hAnsi="Arial"/>
          <w:sz w:val="18"/>
          <w:szCs w:val="18"/>
          <w:color w:val="auto"/>
        </w:rPr>
        <w:t>engaging in any activity that, in the Federal Reserve's opinion, is unauthorized or constitutes an unsafe or unsound business practice. To the extent that these regulations impose limitations on our business, we could be at a competitive disadvantage because some of our competitors are not subject to these limitations.</w:t>
      </w:r>
    </w:p>
    <w:p>
      <w:pPr>
        <w:spacing w:after="0" w:line="181"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As a subsidiary of a bank holding company, we are subject to examination by the Federal Reserve and required to provide information and reports for use by the Federal Reserve under the BHC Act. In addition, we are subject to the examination authority of, and may be required to submit reports to, the CFPB because we are an affiliate of Goldman Sachs Bank USA, which is an insured depository institution with more than $10 billion in assets. Further, the Dodd-Frank Act and related financial regulatory reform calls for the issuance of numerous regulations designed to increase and strengthen the regulation of bank holding companies, including The Goldman Sachs Group, Inc. and its affiliates. We cannot predict the impact of regulatory changes on our business with certainty.</w:t>
      </w:r>
    </w:p>
    <w:p>
      <w:pPr>
        <w:spacing w:after="0" w:line="19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Because of The Goldman Sachs Group, Inc.'s status as a bank holding company, we have agreed to certain restrictions on our activities imposed by The Goldman Sachs Group, Inc. that are intended to facilitate compliance with the BHC Act and that may impose certain obligations on us. Furthermore, additional restrictions placed on The Goldman Sachs Group as a result of supervisory or enforcement actions may restrict us or our activities in certain circumstances, even if these actions are unrelated to our conduct or business.</w:t>
      </w:r>
    </w:p>
    <w:p>
      <w:pPr>
        <w:spacing w:after="0" w:line="18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For further discussion of the applicability of banking regulation to our business and the risks presented by such regulation, see "Business—Regulation —Banking Regulation."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our non-U.S. subsidiaries may become subject to U.S. Federal income and branch profits taxation.</w:t>
      </w:r>
    </w:p>
    <w:p>
      <w:pPr>
        <w:spacing w:after="0" w:line="225" w:lineRule="exact"/>
        <w:rPr>
          <w:sz w:val="20"/>
          <w:szCs w:val="20"/>
          <w:color w:val="auto"/>
        </w:rPr>
      </w:pPr>
    </w:p>
    <w:p>
      <w:pPr>
        <w:ind w:right="80" w:firstLine="432"/>
        <w:spacing w:after="0" w:line="289" w:lineRule="auto"/>
        <w:rPr>
          <w:sz w:val="20"/>
          <w:szCs w:val="20"/>
          <w:color w:val="auto"/>
        </w:rPr>
      </w:pPr>
      <w:r>
        <w:rPr>
          <w:rFonts w:ascii="Arial" w:cs="Arial" w:eastAsia="Arial" w:hAnsi="Arial"/>
          <w:sz w:val="16"/>
          <w:szCs w:val="16"/>
          <w:color w:val="auto"/>
        </w:rPr>
        <w:t>Essent Group Ltd. and Essent Reinsurance Ltd. intend to operate their business in a manner that will not cause them to be treated as engaged in a trade or business in the United States and, thus, will not be required to pay U.S. Federal income and branch profits taxes (other than U.S. excise taxes on insurance and reinsurance premium and withholding taxes on certain U.S. source investment income) on their income. However, because there is uncertainty as to the activities which constitute being engaged in a trade or business in the United States, there can be no assurances that the U.S. Internal Revenue Service (the "IRS") will not contend successfully that Essent Group Ltd. or its non-U.S. subsidiaries are engaged in a trade or business in the United States. In addition, Section 845 of the Internal Revenue Code of 1986, as amended (the "Code"), was amended in 2004 to permit the IRS to reallocate, recharacterize or adjust items of income, deduction or certain other items related to a reinsurance contract between related parties to reflect the proper "amount, source or character" for each item (in contrast to prior law, which only covered "source and character"). Any U.S. Federal income and branch profits taxes levied upon earnings from our Bermuda operations could materially adversely affect our shareholders' equity and earnings.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Holders of 10% or more of our common shares may be subject to U.S. income taxation under the "controlled foreign corporation" ("CFC") rules.</w:t>
      </w:r>
    </w:p>
    <w:p>
      <w:pPr>
        <w:spacing w:after="0" w:line="248"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If you are a "10% U.S. Shareholder" of a non-U.S. corporation (defined to be a "U.S. Person" (as defined below) who owns (directly, indirectly through non-U.S. entities) or ("constructively," as defined below) at least 10% of the total combined voting power of all classes of stock entitled to vote) and such non-U.S. corporation is a CFC for an uninterrupted period of 30 days or more during a taxable year and you own shares in the non-U.S corporation directly or indirectly through non-U.S. entities on the last day of the non-U.S. corporation's taxable year on which it is a CFC, you must include in your gross income for U.S. Federal income tax purposes your pro rata share of the CFC's "subpart F income," even if the subpart F income is not distributed. "Subpart F income" of a non-U.S. insurance corporation typically includes "foreign personal holding company income" (such as interest, dividends and other types of passive income), as well as insurance and reinsurance income (including underwriting and investment income). A non-U.S. corporation is considered a CFC if "10% U.S. Shareholders" own (directly, indirectly through non-U.S. entities or by attribution by application of the constructive ownership rules of section 958(b) of the Code, (i.e., "constructively")) more than 50% of the total combined voting power of all classes of voting stock of that non-U.S. corporation, or the total value of all stock of that non-U.S. corporation. For purposes of taking into account insurance income, a CFC also includes a non-U.S. corporation earning insurance income in which more than 25% of the total combined voting power of all classes of stock (or more than 25% of the total value of the stock) is owned by 10% U.S. Shareholders on any day during the taxable year of such corporation, if the gross amount of premiums or other consideration for the reinsurance or the issuing of insurance or annuity contracts (other than certain insurance or reinsurance related to same country risks written by certain insurance companies, not applicable here) exceeds 75% of the gross amount of all premiums or other consideration in respect of all risks.</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584" w:right="259" w:bottom="1440" w:gutter="0" w:footer="0" w:header="0"/>
        </w:sectPr>
      </w:pPr>
    </w:p>
    <w:bookmarkStart w:id="48" w:name="page49"/>
    <w:bookmarkEnd w:id="48"/>
    <w:p>
      <w:pPr>
        <w:ind w:right="20" w:firstLine="432"/>
        <w:spacing w:after="0" w:line="255" w:lineRule="auto"/>
        <w:rPr>
          <w:sz w:val="20"/>
          <w:szCs w:val="20"/>
          <w:color w:val="auto"/>
        </w:rPr>
      </w:pPr>
      <w:r>
        <w:rPr>
          <w:rFonts w:ascii="Arial" w:cs="Arial" w:eastAsia="Arial" w:hAnsi="Arial"/>
          <w:sz w:val="18"/>
          <w:szCs w:val="18"/>
          <w:color w:val="auto"/>
        </w:rPr>
        <w:t>For purposes of this discussion, the term "U.S. Person" means: (i) an individual citizen or resident of the United States, (ii) a partnership or corporation, created in or organized under the laws of the United States, or organized under the laws of any political subdivision thereof, (iii) an estate the income of which is subject to U.S. Federal income taxation regardless of its source, (iv) a trust if either (x) a court within the United States is able to exercise primary supervision over the administration of such trust and one or more U.S. Persons have the authority to control all substantial decisions of such trust or (y) the trust has a valid election in effect to be treated as a U.S. Person for U.S. Federal income tax purposes; or (v) any other person or entity that is treated for U.S. Federal income tax purposes as if it were one of the foregoing.</w:t>
      </w:r>
    </w:p>
    <w:p>
      <w:pPr>
        <w:spacing w:after="0" w:line="193" w:lineRule="exact"/>
        <w:rPr>
          <w:sz w:val="20"/>
          <w:szCs w:val="20"/>
          <w:color w:val="auto"/>
        </w:rPr>
      </w:pPr>
    </w:p>
    <w:p>
      <w:pPr>
        <w:ind w:right="400" w:firstLine="432"/>
        <w:spacing w:after="0" w:line="257" w:lineRule="auto"/>
        <w:rPr>
          <w:sz w:val="20"/>
          <w:szCs w:val="20"/>
          <w:color w:val="auto"/>
        </w:rPr>
      </w:pPr>
      <w:r>
        <w:rPr>
          <w:rFonts w:ascii="Arial" w:cs="Arial" w:eastAsia="Arial" w:hAnsi="Arial"/>
          <w:sz w:val="18"/>
          <w:szCs w:val="18"/>
          <w:color w:val="auto"/>
        </w:rPr>
        <w:t>We believe that because of the dispersion of our share ownership and provisions in our organizational documents that limit voting power and other factors, no U.S. Person who owns our common shares directly or indirectly through one or more non-U.S. entities should be treated as owning (directly, indirectly through non-U.S. entities, or constructively) 10% or more of the total voting power of all classes of shares of the Company or Essent Reinsurance Ltd. See "—</w:t>
      </w:r>
      <w:r>
        <w:rPr>
          <w:rFonts w:ascii="Arial" w:cs="Arial" w:eastAsia="Arial" w:hAnsi="Arial"/>
          <w:sz w:val="18"/>
          <w:szCs w:val="18"/>
          <w:i w:val="1"/>
          <w:iCs w:val="1"/>
          <w:color w:val="auto"/>
        </w:rPr>
        <w:t>Provisions in our bye-laws may reduce or increase the voting rights of our shares.</w:t>
      </w:r>
      <w:r>
        <w:rPr>
          <w:rFonts w:ascii="Arial" w:cs="Arial" w:eastAsia="Arial" w:hAnsi="Arial"/>
          <w:sz w:val="18"/>
          <w:szCs w:val="18"/>
          <w:color w:val="auto"/>
        </w:rPr>
        <w:t>" It is possible, however, that the IRS could successfully challenge the effectiveness of these provisions.</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U.S. Persons who hold our shares may be subject to U.S. income taxation at ordinary income rates on their proportionate share of our "related party insurance income" ("RPII").</w:t>
      </w:r>
    </w:p>
    <w:p>
      <w:pPr>
        <w:spacing w:after="0" w:line="170"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If the RPII (determined on a gross basis) of Essent Reinsurance Ltd. were to equal or exceed 20% of Essent Reinsurance Ltd.'s gross insurance income in any taxable year and direct or indirect policyholders (and persons related to those policyholders) own directly or indirectly through entities 20% or more of the voting power or value of the Company, then a U.S. Person who owns any shares of Essent Reinsurance Ltd. (directly or indirectly through non-U.S. entities) on the last day of the taxable year on which it is an RPII CFC would be required to include in its income for U.S. Federal income tax purposes such person's pro rata share of Essent Reinsurance Ltd.'s RPII for the entire taxable year, determined as if such RPII were distributed proportionately only to U.S. Persons at that date regardless of whether such income is distributed, in which case your investment could be materially adversely affected. In addition, any RPII that is includible in the income of a U.S. tax-exempt organization may be treated as unrelated business taxable income. The amount of RPII earned by a non-U.S. insurance subsidiary (generally, premium and related investment income from the indirect or direct insurance or reinsurance of any direct or indirect U.S. holder of shares or any person related to such holder) will depend on a number of factors, including the identity of persons directly or indirectly insured or reinsured by the company. We do not expect gross RPII of Essent Reinsurance Ltd. to equal or exceed 20% of its gross insurance income in any taxable year for the foreseeable future, but we cannot be certain that this will be the case because some of the factors which determine the extent of RPII may be beyond our control.</w:t>
      </w:r>
    </w:p>
    <w:p>
      <w:pPr>
        <w:spacing w:after="0" w:line="18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U.S. Persons who dispose of our shares may be subject to U.S. Federal income taxation at the rates applicable to dividends on a portion of such disposition.</w:t>
      </w:r>
    </w:p>
    <w:p>
      <w:pPr>
        <w:spacing w:after="0" w:line="170"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Section 1248 of the Code in conjunction with the RPII rules provides that if a U.S. Person disposes of shares in a non-U.S. corporation that earns insurance income in which U.S. Persons own 25% or more of the shares (even if the amount of gross RPII is less than 20% of the corporation's gross insurance income and the ownership of its shares by direct or indirect policyholders and related persons is less than the 20% threshold), any gain from the disposition will generally be treated as a dividend to the extent of the holder's share of the corporation's undistributed earnings and profits that were accumulated during the period that the holder owned the shares (whether or not such earnings and profits are attributable to RPII). In addition, such a holder will be required to comply with certain reporting requirements, regardless of the amount of shares owned by the holder. These RPII rules should not apply to dispositions of our shares because the Company will not itself be directly engaged in the insurance business. The RPII provisions, however, have never been interpreted by the courts or the U.S. Treasury in final regulations, and regulations interpreting the RPII provisions of the Code exist only in proposed form. It is not certain whether these regulations will be adopted in their proposed form or what changes or clarifications might ultimately be made thereto or whether any such changes, as well as any interpretation or application of the RPII rules by the IRS, the courts, or otherwise, might have retroactive effect. The U.S. Treasury has authority to impose, among other things, additional reporting requirements with respect to RPII. Accordingly, the meaning of the RPII provisions and the application thereof to us is uncertain.</w:t>
      </w:r>
    </w:p>
    <w:p>
      <w:pPr>
        <w:spacing w:after="0" w:line="18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U.S. Persons who hold our shares will be subject to adverse tax consequences if we are considered to be a passive foreign investment company ("PFIC") for U.S. Federal income tax purposes.</w:t>
      </w:r>
    </w:p>
    <w:p>
      <w:pPr>
        <w:spacing w:after="0" w:line="17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If we are considered to be a PFIC for U.S. Federal income tax purposes, a U.S. Person who owns any of our shares could be subject to adverse tax consequences, including becoming subject to a greater tax liability than might otherwise apply and to tax on amounts in advance of when tax would otherwise be imposed, in which case your investment could be materially adversely affected. In addition, if we were considered a PFIC, upon the death of any U.S. individual owning shares, such individual's heirs or estate would not be entitled to a "step-up" in the basis of the shares that might otherwise be available under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584" w:right="259" w:bottom="1440" w:gutter="0" w:footer="0" w:header="0"/>
        </w:sectPr>
      </w:pPr>
    </w:p>
    <w:bookmarkStart w:id="49" w:name="page50"/>
    <w:bookmarkEnd w:id="49"/>
    <w:p>
      <w:pPr>
        <w:ind w:right="40"/>
        <w:spacing w:after="0" w:line="255" w:lineRule="auto"/>
        <w:rPr>
          <w:sz w:val="20"/>
          <w:szCs w:val="20"/>
          <w:color w:val="auto"/>
        </w:rPr>
      </w:pPr>
      <w:r>
        <w:rPr>
          <w:rFonts w:ascii="Arial" w:cs="Arial" w:eastAsia="Arial" w:hAnsi="Arial"/>
          <w:sz w:val="18"/>
          <w:szCs w:val="18"/>
          <w:color w:val="auto"/>
        </w:rPr>
        <w:t>U.S. Federal income tax laws. We believe that we are not, have not been, and currently do not expect to become, a PFIC for U.S. Federal income tax purposes. We cannot assure you, however, that we will not be deemed a PFIC by the IRS. If we were considered a PFIC, it could have material adverse tax consequences for an investor that is subject to U.S. Federal income taxation. New regulations or pronouncements interpreting or clarifying these rules may be forthcoming. The IRS issued proposed regulations in April 2015 which attempt to further define the insurance company exception from the existing PFIC regime; however, no final regulations have been issued to date. We cannot predict what impact, if any, such proposed regulations would have on an investor that is subject to U.S. Federal income taxation.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tax-exempt organizations who own our shares may recognize unrelated business taxable income.</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 U.S. tax-exempt organization may recognize unrelated business taxable income if a portion of the insurance income of any of our non-U.S. insurance subsidiaries is allocated to the organization, which generally would be the case if any of our non-U.S. insurance subsidiaries is a CFC and the tax-exempt shareholder is a 10% U.S. Shareholder or there is RPII, certain exceptions do not apply and the tax-exempt organization owns any of our shares. Although we do not believe that any U.S. Persons should be allocated such insurance income, we cannot be certain that this will be the case. U.S. tax-exempt investors are advised to consult their own tax advisors.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the potential foreign bank account reporting and reporting of "Specified Foreign Financial Assets."</w:t>
      </w:r>
    </w:p>
    <w:p>
      <w:pPr>
        <w:spacing w:after="0" w:line="225"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U.S. Persons holding our common shares should consider their possible obligation to file a FinCEN Form 114, Report of Foreign Bank and Financial Accounts with respect to their shares. Additionally, such U.S. and non-U.S. persons should consider their possible obligations to annually report certain information with respect to us with their U.S. Federal income tax returns. Shareholders should consult their tax advisors with respect to these or any other reporting requirement which may apply with respect to their ownership of our common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Reduced tax rates for qualified dividend income may not be available in the future.</w:t>
      </w:r>
    </w:p>
    <w:p>
      <w:pPr>
        <w:spacing w:after="0" w:line="225"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We believe that the dividends paid on the common shares should qualify as "qualified dividend income" if, as is intended, our common shares remain listed on a national securities exchange and we are not a PFIC. Qualified dividend income received by non-corporate U.S. Persons is generally eligible for long-term capital gain rates. There has been proposed legislation before the U.S. Senate and House of Representatives that would exclude shareholders of certain foreign corporations from this advantageous tax treatment. If such legislation were to become law, non-corporate U.S. Persons would no longer qualify for the reduced tax rate on the dividends paid by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U.S. tax legislation could have an adverse impact on us or holders of our common shares.</w:t>
      </w:r>
    </w:p>
    <w:p>
      <w:pPr>
        <w:spacing w:after="0" w:line="225"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It is possible that legislation could be introduced and enacted by the current Congress or future Congresses that could have an adverse impact on us or holders of our common shares. Recent legislative proposals would treat certain foreign corporations as U.S. corporations if such corporation is primarily managed and controlled within the United States. There can be no assurance that any such proposal would not apply to Essent Group Ltd. Congress also has considered legislation intended to eliminate certain perceived tax advantages of Bermuda and other non-U.S. insurance companies and U.S. insurance companies having Bermuda and other non-U.S. affiliates, including perceived tax benefits resulting principally from reinsurance between or among U.S. insurance companies and their Bermuda affiliates. Legislative proposals introduced in the House of Representatives as well as a prior Senate Finance Committee staff discussion draft and other prior proposals would limit deductions for premiums ceded to affiliated non-U.S. reinsurers above certain levels. In addition, legislation based on the Tax Reform Task Force Blueprint dated June 24, 2016, which recommends moving to a consumption or destination-based tax system and provides for border adjustments taxing imports, may be introduced and enacted and its impact on the insurance industry may adversely impact our results. Any such legislation could have a retroactive effect. Additionally, the U.S. Federal income tax laws and interpretations regarding whether a company is engaged in a trade or business within the United States or is a PFIC, or whether U.S. Persons would be required to include in their gross income the "subpart F income" or the RPII of a CFC, are subject to change, possibly on a retroactive basis. There are currently no final regulations regarding the application of the PFIC rules to insurance companies, as both the PFIC and RPII regulations are in proposed form. New regulations or pronouncements interpreting or clarifying such rules may be forthcoming. We cannot be certain if, when or in what form such regulations or pronouncements may be provided and whether such guidance will have a retroactive effect, and/or a negative impact upon an investor subject to U.S. taxation.</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584"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Risks Relating to Ownership of Our Common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be volatile or may decline regardless of operating performance.</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market price of our common shares may fluctuate significantly in the future. Some of the factors that could negatively affect the market price of our common shares include:</w:t>
      </w:r>
    </w:p>
    <w:p>
      <w:pPr>
        <w:spacing w:after="0" w:line="170" w:lineRule="exact"/>
        <w:rPr>
          <w:sz w:val="20"/>
          <w:szCs w:val="20"/>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our earnings estimates or publication of research reports about us or the real estate industry;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indebtedness we incur in the future;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credit markets and interest rates;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government policies, laws and regulations;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impacting Fannie Mae, Freddie Mac or Ginnie Mae;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additions to or departures of our key management personnel;</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actions by shareholders;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our credit ratings;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market and economic conditions;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failure to meet, or the lowering of, our earnings estimates or those of any securities analysts;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price and volume fluctuations in the stock market generally.</w:t>
      </w:r>
    </w:p>
    <w:p>
      <w:pPr>
        <w:spacing w:after="0" w:line="22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stock markets have experienced extreme volatility in recent years that has been unrelated to the operating performance of particular companies. These broad market fluctuations may adversely affect the trading price of our common shares. In the past, securities class action litigation has often been instituted against companies following periods of volatility in their stock price. This type of litigation, even if it does not result in liability for us, could result in substantial costs to us and divert management's attention and resources.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shareholders could cause our share price to decline.</w:t>
      </w:r>
    </w:p>
    <w:p>
      <w:pPr>
        <w:spacing w:after="0" w:line="225"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Sales of substantial amounts of our common shares in the public market, or the perception that these sales could occur, could cause the market price of our common shares to decline. As of February 10, 2017, we had 93,390,034 outstanding common shares. Holders of more than approximately 20 million shares have registration rights, subject to some conditions, to require us to file registration statements covering the sale of their shares or to include their shares in registration statements that we may file for ourselves or other shareholders in the future. Once we register the shares for the holders of registration rights, they can be freely sold in the public market upon issuance.</w:t>
      </w:r>
    </w:p>
    <w:p>
      <w:pPr>
        <w:spacing w:after="0" w:line="188"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 the future, we may issue additional common shares or other equity or debt securities convertible into common shares in connection with a financing, acquisition, and litigation settlement or employee arrangement or otherwise. Any of these issuances could result in substantial dilution to our existing shareholders and could cause the trading price of our common shares to decline.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0" w:right="239" w:bottom="1440" w:gutter="0" w:footer="0" w:header="0"/>
        </w:sectPr>
      </w:pPr>
    </w:p>
    <w:bookmarkStart w:id="51" w:name="page52"/>
    <w:bookmarkEnd w:id="51"/>
    <w:p>
      <w:pPr>
        <w:ind w:right="1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misleading or unfavorable research about our business, our share price and trading volume could decline.</w:t>
      </w:r>
    </w:p>
    <w:p>
      <w:pPr>
        <w:spacing w:after="0" w:line="170"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trading market for our common shares depends in part on the research and reports that securities or industry analysts publish about us or our business. If one or more of these analysts downgrades our shares or publishes misleading or unfavorable research about our business, our share price would likely decline. If one or more of these analysts ceases coverage of our Company or fails to publish reports on us regularly, demand for our shares could decrease, which could cause our share price or trading volume to decline.</w:t>
      </w:r>
    </w:p>
    <w:p>
      <w:pPr>
        <w:spacing w:after="0" w:line="18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on our common shares and, consequently, your ability to achieve a return on your investment will depend on appreciation in the price of our common shares.</w:t>
      </w:r>
    </w:p>
    <w:p>
      <w:pPr>
        <w:spacing w:after="0" w:line="170" w:lineRule="exact"/>
        <w:rPr>
          <w:sz w:val="20"/>
          <w:szCs w:val="20"/>
          <w:color w:val="auto"/>
        </w:rPr>
      </w:pPr>
    </w:p>
    <w:p>
      <w:pPr>
        <w:ind w:right="240" w:firstLine="432"/>
        <w:spacing w:after="0" w:line="273" w:lineRule="auto"/>
        <w:rPr>
          <w:sz w:val="20"/>
          <w:szCs w:val="20"/>
          <w:color w:val="auto"/>
        </w:rPr>
      </w:pPr>
      <w:r>
        <w:rPr>
          <w:rFonts w:ascii="Arial" w:cs="Arial" w:eastAsia="Arial" w:hAnsi="Arial"/>
          <w:sz w:val="17"/>
          <w:szCs w:val="17"/>
          <w:color w:val="auto"/>
        </w:rPr>
        <w:t>We do not intend to declare and pay dividends on our share capital for the foreseeable future. We currently intend to retain all our future earnings, if any, to fund our growth. Therefore, you are not likely to receive any dividends on your common shares for the foreseeable future and the success of an investment in our common shares will depend upon any future appreciation in their value. There is no guarantee that our common shares will appreciate in value or even maintain the price at which our shareholders have purchased their shares. Furthermore, our subsidiaries are restricted by state insurance laws and regulations from declaring dividends to us. See "—</w:t>
      </w:r>
      <w:r>
        <w:rPr>
          <w:rFonts w:ascii="Arial" w:cs="Arial" w:eastAsia="Arial" w:hAnsi="Arial"/>
          <w:sz w:val="17"/>
          <w:szCs w:val="17"/>
          <w:i w:val="1"/>
          <w:iCs w:val="1"/>
          <w:color w:val="auto"/>
        </w:rPr>
        <w:t>Our holding company structure and certain regulatory and other constraints, including adverse</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performance, could negatively impact our liquidity and potentially require us to raise more capital.</w:t>
      </w:r>
      <w:r>
        <w:rPr>
          <w:rFonts w:ascii="Arial" w:cs="Arial" w:eastAsia="Arial" w:hAnsi="Arial"/>
          <w:sz w:val="17"/>
          <w:szCs w:val="17"/>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our shares may have difficulty effecting service of process on us or enforcing judgments against us in the United States.</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We are a Bermuda exempted company. As a result, the rights of holders of our common shares are governed by Bermuda law and our memorandum of association and bye-laws. The rights of shareholders under Bermuda law may differ from the rights of shareholders of companies incorporated in other jurisdictions. Certain of our directors are not residents of the United States, and a substantial portion of our assets are owned by subsidiaries domiciled outside the United States. As a result, it may be difficult for investors to effect service of process on those persons in the United States or to enforce in the United States judgments obtained in U.S. courts against us or those persons based on the civil liability provisions of the U.S. securities laws. It is doubtful whether courts in Bermuda will enforce judgments obtained in other jurisdictions, including the United States, against us or our directors or officers under the securities laws of those jurisdictions or entertain actions in Bermuda against us or our directors or officers under the securities laws of other jurisdictions.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 persons who own our shares may have more difficulty in protecting their interests than U.S. persons who are shareholders of a U.S. corporation.</w:t>
      </w:r>
    </w:p>
    <w:p>
      <w:pPr>
        <w:spacing w:after="0" w:line="248"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Companies Act 1981 of Bermuda (the "Companies Act"), which applies to us, differs in certain material respects from laws generally applicable to U.S. corporations and their shareholders. Set forth below is a summary of certain significant provisions of the Companies Act and our bye-laws which differ in certain respects from provisions of Delaware corporate law. Because the following statements are summaries, they do not discuss all aspects of Bermuda law that may be relevant to us and our shareholders.</w:t>
      </w:r>
    </w:p>
    <w:p>
      <w:pPr>
        <w:spacing w:after="0" w:line="187"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i w:val="1"/>
          <w:iCs w:val="1"/>
          <w:color w:val="auto"/>
        </w:rPr>
        <w:t xml:space="preserve">Interested Directors: </w:t>
      </w:r>
      <w:r>
        <w:rPr>
          <w:rFonts w:ascii="Arial" w:cs="Arial" w:eastAsia="Arial" w:hAnsi="Arial"/>
          <w:sz w:val="17"/>
          <w:szCs w:val="17"/>
          <w:color w:val="auto"/>
        </w:rPr>
        <w:t>Bermuda law provides that if a director has an interest in a material contract or proposed material contract with us or any of our</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or has a material interest in any person that is a party to such a contract, the director must disclose the nature of that interest at the first opportunity either at a meeting of directors or in writing to the board. Under Delaware law such transaction would not be voidable if:</w:t>
      </w:r>
    </w:p>
    <w:p>
      <w:pPr>
        <w:spacing w:after="0" w:line="166" w:lineRule="exact"/>
        <w:rPr>
          <w:sz w:val="20"/>
          <w:szCs w:val="20"/>
          <w:color w:val="auto"/>
        </w:rPr>
      </w:pPr>
    </w:p>
    <w:p>
      <w:pPr>
        <w:ind w:left="660" w:right="340" w:hanging="247"/>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material facts as to such interested director's relationship or interests were disclosed or were known to the board of directors and the board of directors had in good faith authorized the transaction by the affirmative vote of a majority of the disinterested directors;</w:t>
      </w:r>
    </w:p>
    <w:p>
      <w:pPr>
        <w:spacing w:after="0" w:line="146" w:lineRule="exact"/>
        <w:rPr>
          <w:rFonts w:ascii="Arial" w:cs="Arial" w:eastAsia="Arial" w:hAnsi="Arial"/>
          <w:sz w:val="17"/>
          <w:szCs w:val="17"/>
          <w:color w:val="auto"/>
        </w:rPr>
      </w:pPr>
    </w:p>
    <w:p>
      <w:pPr>
        <w:ind w:left="660" w:right="520" w:hanging="247"/>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material facts were disclosed or were known to the shareholders entitled to vote on such transaction and the transaction were specifically approved in good faith by vote of the majority of shares entitled to vote thereon; or</w:t>
      </w:r>
    </w:p>
    <w:p>
      <w:pPr>
        <w:spacing w:after="0" w:line="170" w:lineRule="exact"/>
        <w:rPr>
          <w:rFonts w:ascii="Arial" w:cs="Arial" w:eastAsia="Arial" w:hAnsi="Arial"/>
          <w:sz w:val="18"/>
          <w:szCs w:val="18"/>
          <w:color w:val="auto"/>
        </w:rPr>
      </w:pPr>
    </w:p>
    <w:p>
      <w:pPr>
        <w:ind w:left="660" w:right="60" w:hanging="247"/>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transaction was fair as to the corporation as of the time it was authorized, approved or ratified. Under Delaware law, the interested director could be held liable for a transaction in which the director derived an improper personal benefit.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584" w:right="259" w:bottom="1440" w:gutter="0" w:footer="0" w:header="0"/>
        </w:sectPr>
      </w:pPr>
    </w:p>
    <w:bookmarkStart w:id="52" w:name="page53"/>
    <w:bookmarkEnd w:id="52"/>
    <w:p>
      <w:pPr>
        <w:ind w:right="100" w:firstLine="432"/>
        <w:spacing w:after="0" w:line="255" w:lineRule="auto"/>
        <w:rPr>
          <w:sz w:val="20"/>
          <w:szCs w:val="20"/>
          <w:color w:val="auto"/>
        </w:rPr>
      </w:pPr>
      <w:r>
        <w:rPr>
          <w:rFonts w:ascii="Arial" w:cs="Arial" w:eastAsia="Arial" w:hAnsi="Arial"/>
          <w:sz w:val="18"/>
          <w:szCs w:val="18"/>
          <w:i w:val="1"/>
          <w:iCs w:val="1"/>
          <w:color w:val="auto"/>
        </w:rPr>
        <w:t xml:space="preserve">Business Combinations with Large Shareholders or Affiliates. </w:t>
      </w:r>
      <w:r>
        <w:rPr>
          <w:rFonts w:ascii="Arial" w:cs="Arial" w:eastAsia="Arial" w:hAnsi="Arial"/>
          <w:sz w:val="18"/>
          <w:szCs w:val="18"/>
          <w:color w:val="auto"/>
        </w:rPr>
        <w:t>As a Bermuda company, we may enter into business combinations with our large</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or affiliates, including mergers, asset sales and other transactions in which a large shareholder or affiliate receives, or could receive, a financial benefit that is greater than that received, or to be received, by other shareholders, without obtaining prior approval from our board of directors or from our shareholders. If we were a Delaware company, we would need prior approval from our board of directors or a supermajority of our shareholders to enter into a business combination with an interested shareholder for a period of three years from the time the person became an interested shareholder, unless we opted out of the relevant Delaware statute. Our bye-laws also include a provision restricting business combinations with interested shareholders consistent with the corresponding Delaware statute.</w:t>
      </w:r>
    </w:p>
    <w:p>
      <w:pPr>
        <w:spacing w:after="0" w:line="189"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i w:val="1"/>
          <w:iCs w:val="1"/>
          <w:color w:val="auto"/>
        </w:rPr>
        <w:t xml:space="preserve">Shareholders' Suits. </w:t>
      </w:r>
      <w:r>
        <w:rPr>
          <w:rFonts w:ascii="Arial" w:cs="Arial" w:eastAsia="Arial" w:hAnsi="Arial"/>
          <w:sz w:val="16"/>
          <w:szCs w:val="16"/>
          <w:color w:val="auto"/>
        </w:rPr>
        <w:t>The rights of shareholders under Bermuda law are not as extensive as the rights of shareholders in many U.S. jurisdictions. Class</w:t>
      </w:r>
      <w:r>
        <w:rPr>
          <w:rFonts w:ascii="Arial" w:cs="Arial" w:eastAsia="Arial" w:hAnsi="Arial"/>
          <w:sz w:val="16"/>
          <w:szCs w:val="16"/>
          <w:i w:val="1"/>
          <w:iCs w:val="1"/>
          <w:color w:val="auto"/>
        </w:rPr>
        <w:t xml:space="preserve"> </w:t>
      </w:r>
      <w:r>
        <w:rPr>
          <w:rFonts w:ascii="Arial" w:cs="Arial" w:eastAsia="Arial" w:hAnsi="Arial"/>
          <w:sz w:val="16"/>
          <w:szCs w:val="16"/>
          <w:color w:val="auto"/>
        </w:rPr>
        <w:t>actions and derivative actions are generally not available to shareholders under the laws of Bermuda. However, the Bermuda courts ordinarily would be expected to follow English case law precedent, which would permit a shareholder to commence an action in the name of the company to remedy a wrong done to the company where an act is alleged to be beyond the corporate power of the company, is illegal or would result in the violation of our memorandum of association or bye-laws. Furthermore, a court would consider acts that are alleged to constitute a fraud against the minority shareholders or where an act requires the approval of a greater percentage of our shareholders than actually approved it. The prevailing party in such an action generally would be able to recover a portion of attorneys' fees incurred in connection with such action. Our bye-laws provide that shareholders waive all claims or rights of action that they might have, individually or in the right of the company, against any director or officer for any act or failure to act in the performance of such director's or officer's duties, except with respect to any fraud or dishonesty of such director or officer. Class actions and derivative actions generally are available to shareholders under Delaware law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173"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i w:val="1"/>
          <w:iCs w:val="1"/>
          <w:color w:val="auto"/>
        </w:rPr>
        <w:t xml:space="preserve">Indemnification of Directors. </w:t>
      </w:r>
      <w:r>
        <w:rPr>
          <w:rFonts w:ascii="Arial" w:cs="Arial" w:eastAsia="Arial" w:hAnsi="Arial"/>
          <w:sz w:val="16"/>
          <w:szCs w:val="16"/>
          <w:color w:val="auto"/>
        </w:rPr>
        <w:t>We may indemnify our directors or officers or any person appointed to any committee by the board of directors acting in</w:t>
      </w:r>
      <w:r>
        <w:rPr>
          <w:rFonts w:ascii="Arial" w:cs="Arial" w:eastAsia="Arial" w:hAnsi="Arial"/>
          <w:sz w:val="16"/>
          <w:szCs w:val="16"/>
          <w:i w:val="1"/>
          <w:iCs w:val="1"/>
          <w:color w:val="auto"/>
        </w:rPr>
        <w:t xml:space="preserve"> </w:t>
      </w:r>
      <w:r>
        <w:rPr>
          <w:rFonts w:ascii="Arial" w:cs="Arial" w:eastAsia="Arial" w:hAnsi="Arial"/>
          <w:sz w:val="16"/>
          <w:szCs w:val="16"/>
          <w:color w:val="auto"/>
        </w:rPr>
        <w:t>their capacity as such in relation to any of our affairs for any loss arising or liability attaching to them by virtue of any rule of law in respect of any negligence, default, breach of duty or breach of trust of which such person may be guilty in relation to the company other than in respect of his own fraud or dishonesty. Under Delaware law, a corporation may indemnify a director or officer of the corporation against expenses (including attorneys' fees), judgments, fines and amounts paid in settlement actually and reasonably incurred in defense of an action, suit or proceeding by reason of such position if such director or officer acted in good faith and in a manner he or she reasonably believed to be in or not be opposed to the best interests of the corporation and, with respect to any criminal action or proceeding, such director or officer had no reasonable cause to believe his or her conduct was unlawful.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repurchase a shareholder's common shares without the shareholder's consent.</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Under our bye-laws and subject to Bermuda law, we have the option, but not the obligation, to require a shareholder to sell to us at fair market value the minimum number of common shares which is necessary to avoid or cure any adverse tax consequences or materially adverse legal or regulatory treatment to us, our subsidiaries or our shareholders if our board of directors reasonably determines, in good faith, that failure to exercise our option would result in such adverse consequences or treatment.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our bye-laws may reduce or increase the voting rights of our shares.</w:t>
      </w:r>
    </w:p>
    <w:p>
      <w:pPr>
        <w:spacing w:after="0" w:line="225"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In general, and except as provided under our bye-laws and as provided below, our shareholders have one vote for each common share held by them and are entitled to vote, on a non-cumulative basis, at all meetings of shareholders. However, if, and so long as, the shares of a shareholder are treated as "controlled shares" (as determined pursuant to sections 957 and 958 of the Code) of any U.S. Person that owns shares directly or indirectly through non-U.S. entities) and such controlled shares constitute 9.5% or more of the votes conferred by our issued shares, the voting rights with respect to the controlled shares owned by such U.S. Person will be limited, in the aggregate, to a voting power of less than 9.5%, under a formula specified in our bye-laws. The formula is applied repeatedly until the voting power of all 9.5% U.S. Shareholders has been reduced to less than 9.5%. In addition, our board of directors may limit a shareholder's voting rights when it deems it appropriate to do so to (i) avoid the existence of any 9.5% U.S. Shareholder; and (ii) avoid certain material adverse tax, legal or regulatory consequences to us, any of our subsidiaries or any direct or indirect shareholder or its affiliates. "Controlled shares" include, among other things, all shares that a U.S. Person is deemed to own directly, indirectly or constructively (within the meaning of section 958 of the Code). The amount of any reduction of votes that occurs by operation of the above limitations will generally be reallocated proportionately among our other shareholders whose shares were not "controlled shares" of the 9.5% U.S. Shareholder so long as such reallocation does not cause any person to become a 9.5% U.S. Shareholder.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584" w:right="259" w:bottom="1440" w:gutter="0" w:footer="0" w:header="0"/>
        </w:sectPr>
      </w:pPr>
    </w:p>
    <w:bookmarkStart w:id="53" w:name="page54"/>
    <w:bookmarkEnd w:id="53"/>
    <w:p>
      <w:pPr>
        <w:ind w:right="20" w:firstLine="432"/>
        <w:spacing w:after="0" w:line="264" w:lineRule="auto"/>
        <w:rPr>
          <w:sz w:val="20"/>
          <w:szCs w:val="20"/>
          <w:color w:val="auto"/>
        </w:rPr>
      </w:pPr>
      <w:r>
        <w:rPr>
          <w:rFonts w:ascii="Arial" w:cs="Arial" w:eastAsia="Arial" w:hAnsi="Arial"/>
          <w:sz w:val="18"/>
          <w:szCs w:val="18"/>
          <w:color w:val="auto"/>
        </w:rPr>
        <w:t>Under these provisions, certain shareholders may have their voting rights limited, while other shareholders may have voting rights in excess of one vote per share. Moreover, these provisions could have the effect of reducing the votes of certain shareholders who would not otherwise be subject to the 9.5% limitation by virtue of their direct share ownership.</w:t>
      </w:r>
    </w:p>
    <w:p>
      <w:pPr>
        <w:spacing w:after="0" w:line="18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are authorized under our bye-laws to request information from any shareholder for the purpose of determining whether a shareholder's voting rights are to be reallocated under the bye-laws. If any holder fails to respond to this request or submits incomplete or inaccurate information, we may, in our sole discretion, eliminate the shareholder's voting rights.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regulatory limitations on the ownership and transfer of our common shares.</w:t>
      </w:r>
    </w:p>
    <w:p>
      <w:pPr>
        <w:spacing w:after="0" w:line="225"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Common shares may be offered or sold in Bermuda only in compliance with the provisions of the Companies Act and the Bermuda Investment Business Act 2003, which regulates the sale of securities in Bermuda. In addition, the BMA must approve all issues and transfers of shares of a Bermuda exempted company. However, the BMA has pursuant to its statement of June 1, 2005 given its general permission under the Exchange Control Act 1972 (and related regulations) for the issue and free transfer of our common shares to and among persons who are non-residents of Bermuda for exchange control purposes as long as the shares are listed on an appointed stock exchange, which includes the New York Stock Exchange. This general permission would cease to apply if the Company were to cease to be so listed. We have obtained consent under the Bermuda Exchange Control Act 1972 (and its related regulations) from the BMA for the issue and transfer of our common shares to and between residents and non-residents of Bermuda for exchange control purposes provided our common shares remain listed on an appointed stock exchange, which includes the NYSE. Bermuda insurance law requires that any person who becomes a holder of at least 10%, 20%, 33% or 50% of the common shares of an insurance or reinsurance company or its parent company must notify the BMA in writing within 45 days of becoming such a holder or 30 days from the date they have knowledge of having such a holding, whichever is later. The BMA may, by written notice, object to a person holding 10%, 20%, 33% or 50% of our common shares if it appears to the BMA that the person is not fit and proper to be such a holder. The BMA may require the holder to reduce their shareholding in us and may direct, among other things, that the voting rights attaching to their shares shall not be exercisable. A person that does not comply with such a notice or direction from the BMA will be guilty of an offense.</w:t>
      </w:r>
    </w:p>
    <w:p>
      <w:pPr>
        <w:spacing w:after="0" w:line="17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insurance holding company laws and regulations of the Commonwealth of Pennsylvania, the state in which our insurance subsidiaries are domiciled, require that, before a person can acquire direct or indirect control of an insurer domiciled in the state, prior written approval must be obtained from the Pennsylvania Insurance Department. The state insurance regulators are required to consider various factors, including the financial strength of the acquirer, the integrity and management experience of the acquirer's board of directors and executive officers, and the acquirer's plans for the future operations of the reinsurer or insurer. Pursuant to applicable laws and regulations, "control" over an insurer is generally presumed to exist if any person, directly or indirectly, owns, controls, holds the power to vote or holds proxies representing, 10% or more of the voting securities of that reinsurer or insurer. Indirect ownership includes ownership of our common shares.</w:t>
      </w:r>
    </w:p>
    <w:p>
      <w:pPr>
        <w:spacing w:after="0" w:line="178"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Except in connection with the settlement of trades or transactions entered into through the facilities of the NYSE, our board of directors may generally require any shareholder or any person proposing to acquire our shares to provide the information required under our bye-laws. If any such shareholder or proposed acquirer does not provide such information, or if the board of directors has reason to believe that any certification or other information provided pursuant to any such request is inaccurate or incomplete, the board of directors may decline to register any transfer or to effect any issuance or purchase of shares to which such request is related. Although these restrictions on transfer will not interfere with the settlement of trades on the NYSE, we may decline to register transfers in accordance with our bye-laws and board of directors resolutions after a settlement has taken place.</w:t>
      </w:r>
    </w:p>
    <w:p>
      <w:pPr>
        <w:spacing w:after="0" w:line="1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Future offerings of debt or equity securities, which may rank senior to our common shares, may restrict our operating flexibility and adversely affect the market price of our common shares.</w:t>
      </w:r>
    </w:p>
    <w:p>
      <w:pPr>
        <w:spacing w:after="0" w:line="170"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If we decide to issue debt securities in the future, it is likely that they will be governed by an indenture or other instrument containing covenants restricting our operating flexibility. Additionally, any equity securities or convertible or exchangeable securities that we issue in the future may have rights, preferences and privileges more favorable than those of our common shares and may adversely affect the market price of our common shares. Any such debt or preference equity securities will rank senior to our common shares and will also have priority with respect to any distributions upon a liquidation, dissolution or similar event, which could result in the loss of all or a portion of your investment. Our decision to issue such securities will depend on market conditions and other factors beyond our control, and we cannot predict or estimate the amount, timing or nature of our future offerings.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584" w:right="259" w:bottom="1440" w:gutter="0" w:footer="0" w:header="0"/>
        </w:sectPr>
      </w:pPr>
    </w:p>
    <w:bookmarkStart w:id="54" w:name="page55"/>
    <w:bookmarkEnd w:id="54"/>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jc w:val="center"/>
        <w:ind w:right="94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lease office facilities in Radnor, Pennsylvania and additional offices in Winston-Salem, North Carolina, and Irvine, California for our U.S. operations headquarters, and we lease office facilities in Bermuda for our Bermuda-based reinsurance company. We believe our current facilities are adequate for our current needs and that suitable additional space will be available as and when needed.</w:t>
      </w:r>
    </w:p>
    <w:p>
      <w:pPr>
        <w:spacing w:after="0" w:line="17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580" w:right="27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ITEM 5. MARKET FOR THE COMPANY'S COMMON EQUITY, RELATED STOCKHOLDER MATTERS AND ISSUER PURCHASES OF EQUITY SECURITIES</w:t>
      </w:r>
    </w:p>
    <w:p>
      <w:pPr>
        <w:spacing w:after="0" w:line="166" w:lineRule="exact"/>
        <w:rPr>
          <w:sz w:val="20"/>
          <w:szCs w:val="20"/>
          <w:color w:val="auto"/>
        </w:rPr>
      </w:pPr>
    </w:p>
    <w:p>
      <w:pPr>
        <w:jc w:val="both"/>
        <w:ind w:right="720" w:firstLine="432"/>
        <w:spacing w:after="0" w:line="342" w:lineRule="auto"/>
        <w:rPr>
          <w:sz w:val="20"/>
          <w:szCs w:val="20"/>
          <w:color w:val="auto"/>
        </w:rPr>
      </w:pPr>
      <w:r>
        <w:rPr>
          <w:rFonts w:ascii="Arial" w:cs="Arial" w:eastAsia="Arial" w:hAnsi="Arial"/>
          <w:sz w:val="16"/>
          <w:szCs w:val="16"/>
          <w:color w:val="auto"/>
        </w:rPr>
        <w:t>Our common shares trade on the New York Stock Exchange (NYSE) under the symbol "ESNT." The following table sets forth, for the periods indicated, the high and low intra-day sales prices of our common shares as reported by the NYSE for the years ended December 31, 2016 and 2015:</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gridSpan w:val="5"/>
          </w:tcPr>
          <w:p>
            <w:pPr>
              <w:ind w:left="60"/>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3"/>
          </w:tcPr>
          <w:p>
            <w:pPr>
              <w:ind w:left="140"/>
              <w:spacing w:after="0"/>
              <w:rPr>
                <w:sz w:val="20"/>
                <w:szCs w:val="20"/>
                <w:color w:val="auto"/>
              </w:rPr>
            </w:pPr>
            <w:r>
              <w:rPr>
                <w:rFonts w:ascii="Arial" w:cs="Arial" w:eastAsia="Arial" w:hAnsi="Arial"/>
                <w:sz w:val="14"/>
                <w:szCs w:val="14"/>
                <w:b w:val="1"/>
                <w:bCs w:val="1"/>
                <w:color w:val="auto"/>
              </w:rPr>
              <w:t>High</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54"/>
              <w:spacing w:after="0"/>
              <w:rPr>
                <w:sz w:val="20"/>
                <w:szCs w:val="20"/>
                <w:color w:val="auto"/>
              </w:rPr>
            </w:pPr>
            <w:r>
              <w:rPr>
                <w:rFonts w:ascii="Arial" w:cs="Arial" w:eastAsia="Arial" w:hAnsi="Arial"/>
                <w:sz w:val="14"/>
                <w:szCs w:val="14"/>
                <w:b w:val="1"/>
                <w:bCs w:val="1"/>
                <w:color w:val="auto"/>
              </w:rPr>
              <w:t>Low</w:t>
            </w:r>
          </w:p>
        </w:tc>
        <w:tc>
          <w:tcPr>
            <w:tcW w:w="2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86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4"/>
        </w:trPr>
        <w:tc>
          <w:tcPr>
            <w:tcW w:w="40" w:type="dxa"/>
            <w:vAlign w:val="bottom"/>
          </w:tcPr>
          <w:p>
            <w:pPr>
              <w:spacing w:after="0"/>
              <w:rPr>
                <w:sz w:val="21"/>
                <w:szCs w:val="21"/>
                <w:color w:val="auto"/>
              </w:rPr>
            </w:pPr>
          </w:p>
        </w:tc>
        <w:tc>
          <w:tcPr>
            <w:tcW w:w="89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21.66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16.48</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980" w:type="dxa"/>
            <w:vAlign w:val="bottom"/>
            <w:gridSpan w:val="4"/>
          </w:tcPr>
          <w:p>
            <w:pPr>
              <w:ind w:left="20"/>
              <w:spacing w:after="0"/>
              <w:rPr>
                <w:sz w:val="20"/>
                <w:szCs w:val="20"/>
                <w:color w:val="auto"/>
              </w:rPr>
            </w:pPr>
            <w:r>
              <w:rPr>
                <w:rFonts w:ascii="Arial" w:cs="Arial" w:eastAsia="Arial" w:hAnsi="Arial"/>
                <w:sz w:val="18"/>
                <w:szCs w:val="18"/>
                <w:color w:val="auto"/>
              </w:rPr>
              <w:t>Second Quarter</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22.33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19.30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89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28.62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20.96</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980" w:type="dxa"/>
            <w:vAlign w:val="bottom"/>
            <w:gridSpan w:val="4"/>
          </w:tcPr>
          <w:p>
            <w:pPr>
              <w:ind w:left="20"/>
              <w:spacing w:after="0"/>
              <w:rPr>
                <w:sz w:val="20"/>
                <w:szCs w:val="20"/>
                <w:color w:val="auto"/>
              </w:rPr>
            </w:pPr>
            <w:r>
              <w:rPr>
                <w:rFonts w:ascii="Arial" w:cs="Arial" w:eastAsia="Arial" w:hAnsi="Arial"/>
                <w:sz w:val="18"/>
                <w:szCs w:val="18"/>
                <w:color w:val="auto"/>
              </w:rPr>
              <w:t>Fourth Quarter</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33.94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25.84</w:t>
            </w:r>
          </w:p>
        </w:tc>
        <w:tc>
          <w:tcPr>
            <w:tcW w:w="20" w:type="dxa"/>
            <w:vAlign w:val="bottom"/>
          </w:tcPr>
          <w:p>
            <w:pPr>
              <w:spacing w:after="0"/>
              <w:rPr>
                <w:sz w:val="21"/>
                <w:szCs w:val="21"/>
                <w:color w:val="auto"/>
              </w:rPr>
            </w:pPr>
          </w:p>
        </w:tc>
      </w:tr>
      <w:tr>
        <w:trPr>
          <w:trHeight w:val="392"/>
        </w:trPr>
        <w:tc>
          <w:tcPr>
            <w:tcW w:w="340" w:type="dxa"/>
            <w:vAlign w:val="bottom"/>
            <w:gridSpan w:val="4"/>
          </w:tcPr>
          <w:p>
            <w:pPr>
              <w:ind w:left="40"/>
              <w:spacing w:after="0"/>
              <w:rPr>
                <w:sz w:val="20"/>
                <w:szCs w:val="20"/>
                <w:color w:val="auto"/>
              </w:rPr>
            </w:pPr>
            <w:r>
              <w:rPr>
                <w:rFonts w:ascii="Arial" w:cs="Arial" w:eastAsia="Arial" w:hAnsi="Arial"/>
                <w:sz w:val="14"/>
                <w:szCs w:val="14"/>
                <w:b w:val="1"/>
                <w:bCs w:val="1"/>
                <w:color w:val="auto"/>
                <w:w w:val="89"/>
              </w:rPr>
              <w:t>2015</w:t>
            </w:r>
          </w:p>
        </w:tc>
        <w:tc>
          <w:tcPr>
            <w:tcW w:w="8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3"/>
          </w:tcPr>
          <w:p>
            <w:pPr>
              <w:ind w:left="160"/>
              <w:spacing w:after="0"/>
              <w:rPr>
                <w:sz w:val="20"/>
                <w:szCs w:val="20"/>
                <w:color w:val="auto"/>
              </w:rPr>
            </w:pPr>
            <w:r>
              <w:rPr>
                <w:rFonts w:ascii="Arial" w:cs="Arial" w:eastAsia="Arial" w:hAnsi="Arial"/>
                <w:sz w:val="14"/>
                <w:szCs w:val="14"/>
                <w:b w:val="1"/>
                <w:bCs w:val="1"/>
                <w:color w:val="auto"/>
              </w:rPr>
              <w:t>High</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Low</w:t>
            </w:r>
          </w:p>
        </w:tc>
        <w:tc>
          <w:tcPr>
            <w:tcW w:w="20" w:type="dxa"/>
            <w:vAlign w:val="bottom"/>
          </w:tcPr>
          <w:p>
            <w:pPr>
              <w:spacing w:after="0"/>
              <w:rPr>
                <w:sz w:val="24"/>
                <w:szCs w:val="24"/>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6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44"/>
        </w:trPr>
        <w:tc>
          <w:tcPr>
            <w:tcW w:w="90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25.94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gridSpan w:val="5"/>
          </w:tcPr>
          <w:p>
            <w:pPr>
              <w:ind w:left="40"/>
              <w:spacing w:after="0"/>
              <w:rPr>
                <w:sz w:val="20"/>
                <w:szCs w:val="20"/>
                <w:color w:val="auto"/>
              </w:rPr>
            </w:pPr>
            <w:r>
              <w:rPr>
                <w:rFonts w:ascii="Arial" w:cs="Arial" w:eastAsia="Arial" w:hAnsi="Arial"/>
                <w:sz w:val="18"/>
                <w:szCs w:val="18"/>
                <w:color w:val="auto"/>
              </w:rPr>
              <w:t>Second Quarter</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28.06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23.48</w:t>
            </w:r>
          </w:p>
        </w:tc>
        <w:tc>
          <w:tcPr>
            <w:tcW w:w="20" w:type="dxa"/>
            <w:vAlign w:val="bottom"/>
          </w:tcPr>
          <w:p>
            <w:pPr>
              <w:spacing w:after="0"/>
              <w:rPr>
                <w:sz w:val="21"/>
                <w:szCs w:val="21"/>
                <w:color w:val="auto"/>
              </w:rPr>
            </w:pPr>
          </w:p>
        </w:tc>
      </w:tr>
      <w:tr>
        <w:trPr>
          <w:trHeight w:val="27"/>
        </w:trPr>
        <w:tc>
          <w:tcPr>
            <w:tcW w:w="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0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gridSpan w:val="5"/>
          </w:tcPr>
          <w:p>
            <w:pPr>
              <w:ind w:left="40"/>
              <w:spacing w:after="0"/>
              <w:rPr>
                <w:sz w:val="20"/>
                <w:szCs w:val="20"/>
                <w:color w:val="auto"/>
              </w:rPr>
            </w:pPr>
            <w:r>
              <w:rPr>
                <w:rFonts w:ascii="Arial" w:cs="Arial" w:eastAsia="Arial" w:hAnsi="Arial"/>
                <w:sz w:val="18"/>
                <w:szCs w:val="18"/>
                <w:color w:val="auto"/>
              </w:rPr>
              <w:t>Fourth Quarter</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26.80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21.87</w:t>
            </w:r>
          </w:p>
        </w:tc>
        <w:tc>
          <w:tcPr>
            <w:tcW w:w="20" w:type="dxa"/>
            <w:vAlign w:val="bottom"/>
          </w:tcPr>
          <w:p>
            <w:pPr>
              <w:spacing w:after="0"/>
              <w:rPr>
                <w:sz w:val="21"/>
                <w:szCs w:val="21"/>
                <w:color w:val="auto"/>
              </w:rPr>
            </w:pP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February 10, 2017, we had approximately 14 holders of record of our common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ind w:right="260" w:firstLine="432"/>
        <w:spacing w:after="0" w:line="302" w:lineRule="auto"/>
        <w:rPr>
          <w:sz w:val="20"/>
          <w:szCs w:val="20"/>
          <w:color w:val="auto"/>
        </w:rPr>
      </w:pPr>
      <w:r>
        <w:rPr>
          <w:rFonts w:ascii="Arial" w:cs="Arial" w:eastAsia="Arial" w:hAnsi="Arial"/>
          <w:sz w:val="16"/>
          <w:szCs w:val="16"/>
          <w:color w:val="auto"/>
        </w:rPr>
        <w:t>The following performance graph compares, for the period from October 31, 2013 (the date our common shares commenced trading on the NYSE) through December 31, 2016, the cumulative total shareholder return of an investment in (i) our common shares, (ii) the S&amp;P 500 and (iii) a composite peer group selected by us consisting of Arch Capital Group Ltd., Genworth Financial, Inc., MGIC Investment Corporation, NMI Holdings, Inc. and Radian Group Inc. We selected the members of this peer group because each is a direct competitor of ours in the private mortgage insurance industry.</w:t>
      </w:r>
    </w:p>
    <w:p>
      <w:pPr>
        <w:spacing w:after="0" w:line="154"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The graph assumes an initial investment of $100 and the reinvestment of dividends, if any.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254635</wp:posOffset>
            </wp:positionV>
            <wp:extent cx="5848985" cy="2847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8985" cy="284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0"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92"/>
        </w:trPr>
        <w:tc>
          <w:tcPr>
            <w:tcW w:w="58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10/31/2013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12/31/2013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4"/>
              </w:rPr>
              <w:t>12/31/2014</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4"/>
              </w:rPr>
              <w:t>12/31/2015</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12/31/2016</w:t>
            </w: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S&amp;P 500</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117.21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116.36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127.46</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Peer Index</w:t>
            </w:r>
          </w:p>
        </w:tc>
        <w:tc>
          <w:tcPr>
            <w:tcW w:w="104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100.90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101.24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133.32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166.77</w:t>
            </w:r>
          </w:p>
        </w:tc>
      </w:tr>
      <w:tr>
        <w:trPr>
          <w:trHeight w:val="27"/>
        </w:trPr>
        <w:tc>
          <w:tcPr>
            <w:tcW w:w="5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5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ESNT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114.57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122.43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104.24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154.14</w:t>
            </w:r>
          </w:p>
        </w:tc>
      </w:tr>
      <w:tr>
        <w:trPr>
          <w:trHeight w:val="27"/>
        </w:trPr>
        <w:tc>
          <w:tcPr>
            <w:tcW w:w="58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performance graph and related information shall not be deemed "soliciting material" or to be "filed" with the Securities and Exchange Commission for purposes of Section 18 of the Securities Exchange Act of 1934, as amended, or the Exchange Act, or otherwise subject to the liabilities under that Section, and shall not be deemed to be incorporated by reference into any future filing under the Securities Act of 1933, as amended, or the Exchange Act, except to the extent that we specifically incorporate it by reference into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We have not declared or paid any dividends during the past two fiscal years, and we do not currently expect to declare or pay dividends on our Common Shares for the foreseeable future. Instead, we intend to retain earnings to finance the growth and development of our business and general corporate purposes. Any payment of dividends will be at the discretion of our board of directors and will depend upon various factors then existing, including earnings, financial condition, results of operations, capital requirements, level of indebtedness, contractual restrictions with respect to payment of dividends, restrictions imposed by applicable law, general business conditions and other factors that our board of directors may deem relevant. In addition, the ability of our insurance subsidiaries to pay dividends to Essent Group Ltd. is limited by state insurance laws and under certain agreements with counterparties. See "Management's Discussion and Analysis of Financial Condition and Results of Operations—Liquidity and Capital Resources" and "Risk Factors—Risks Relating to Our Business—</w:t>
      </w:r>
      <w:r>
        <w:rPr>
          <w:rFonts w:ascii="Arial" w:cs="Arial" w:eastAsia="Arial" w:hAnsi="Arial"/>
          <w:sz w:val="16"/>
          <w:szCs w:val="16"/>
          <w:i w:val="1"/>
          <w:iCs w:val="1"/>
          <w:color w:val="auto"/>
        </w:rPr>
        <w:t>Our holding company structure and certain regulatory and other constraints, including adverse business performance, could negatively impact</w:t>
      </w:r>
      <w:r>
        <w:rPr>
          <w:rFonts w:ascii="Arial" w:cs="Arial" w:eastAsia="Arial" w:hAnsi="Arial"/>
          <w:sz w:val="16"/>
          <w:szCs w:val="16"/>
          <w:color w:val="auto"/>
        </w:rPr>
        <w:t xml:space="preserve"> </w:t>
      </w:r>
      <w:r>
        <w:rPr>
          <w:rFonts w:ascii="Arial" w:cs="Arial" w:eastAsia="Arial" w:hAnsi="Arial"/>
          <w:sz w:val="16"/>
          <w:szCs w:val="16"/>
          <w:i w:val="1"/>
          <w:iCs w:val="1"/>
          <w:color w:val="auto"/>
        </w:rPr>
        <w:t>our liquidity and potentially require us to raise more capital.</w:t>
      </w:r>
      <w:r>
        <w:rPr>
          <w:rFonts w:ascii="Arial" w:cs="Arial" w:eastAsia="Arial" w:hAnsi="Arial"/>
          <w:sz w:val="16"/>
          <w:szCs w:val="16"/>
          <w:color w:val="auto"/>
        </w:rPr>
        <w:t>" In addition, under the Bermuda Companies Act, we may only declare or pay a dividend if,</w:t>
      </w:r>
      <w:r>
        <w:rPr>
          <w:rFonts w:ascii="Arial" w:cs="Arial" w:eastAsia="Arial" w:hAnsi="Arial"/>
          <w:sz w:val="16"/>
          <w:szCs w:val="16"/>
          <w:i w:val="1"/>
          <w:iCs w:val="1"/>
          <w:color w:val="auto"/>
        </w:rPr>
        <w:t xml:space="preserve"> </w:t>
      </w:r>
      <w:r>
        <w:rPr>
          <w:rFonts w:ascii="Arial" w:cs="Arial" w:eastAsia="Arial" w:hAnsi="Arial"/>
          <w:sz w:val="16"/>
          <w:szCs w:val="16"/>
          <w:color w:val="auto"/>
        </w:rPr>
        <w:t>among other matters, there are reasonable grounds for believing that we are, and would after the payment be, able to pay our respective liabilities as they become due and that the realizable value of our assets will, and after the payment would, exceed our liabilities.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 as of December 31, 2016</w:t>
      </w:r>
    </w:p>
    <w:p>
      <w:pPr>
        <w:spacing w:after="0" w:line="229"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following table sets forth, as of December 31, 2016, information concerning equity compensation plans under which our securities are authorized for issuance. The table does not reflect grants, awards, exercises, terminations or expirations since that date.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2"/>
              </w:rPr>
              <w:t>Number of Securities</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260" w:type="dxa"/>
            <w:vAlign w:val="bottom"/>
            <w:vMerge w:val="restart"/>
          </w:tcPr>
          <w:p>
            <w:pPr>
              <w:jc w:val="center"/>
              <w:ind w:right="362"/>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2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to be Issued Upon</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260" w:type="dxa"/>
            <w:vAlign w:val="bottom"/>
          </w:tcPr>
          <w:p>
            <w:pPr>
              <w:jc w:val="center"/>
              <w:ind w:right="382"/>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Options,</w:t>
            </w:r>
          </w:p>
        </w:tc>
        <w:tc>
          <w:tcPr>
            <w:tcW w:w="2260" w:type="dxa"/>
            <w:vAlign w:val="bottom"/>
          </w:tcPr>
          <w:p>
            <w:pPr>
              <w:jc w:val="center"/>
              <w:ind w:right="362"/>
              <w:spacing w:after="0" w:line="149" w:lineRule="exact"/>
              <w:rPr>
                <w:sz w:val="20"/>
                <w:szCs w:val="20"/>
                <w:color w:val="auto"/>
              </w:rPr>
            </w:pPr>
            <w:r>
              <w:rPr>
                <w:rFonts w:ascii="Arial" w:cs="Arial" w:eastAsia="Arial" w:hAnsi="Arial"/>
                <w:sz w:val="14"/>
                <w:szCs w:val="14"/>
                <w:b w:val="1"/>
                <w:bCs w:val="1"/>
                <w:color w:val="auto"/>
                <w:w w:val="93"/>
              </w:rPr>
              <w:t>for Future Issuance</w:t>
            </w:r>
          </w:p>
        </w:tc>
        <w:tc>
          <w:tcPr>
            <w:tcW w:w="0" w:type="dxa"/>
            <w:vAlign w:val="bottom"/>
          </w:tcPr>
          <w:p>
            <w:pPr>
              <w:spacing w:after="0"/>
              <w:rPr>
                <w:sz w:val="1"/>
                <w:szCs w:val="1"/>
                <w:color w:val="auto"/>
              </w:rPr>
            </w:pPr>
          </w:p>
        </w:tc>
      </w:tr>
      <w:tr>
        <w:trPr>
          <w:trHeight w:val="149"/>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24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2260" w:type="dxa"/>
            <w:vAlign w:val="bottom"/>
          </w:tcPr>
          <w:p>
            <w:pPr>
              <w:jc w:val="center"/>
              <w:ind w:right="362"/>
              <w:spacing w:after="0" w:line="149" w:lineRule="exact"/>
              <w:rPr>
                <w:sz w:val="20"/>
                <w:szCs w:val="20"/>
                <w:color w:val="auto"/>
              </w:rPr>
            </w:pPr>
            <w:r>
              <w:rPr>
                <w:rFonts w:ascii="Arial" w:cs="Arial" w:eastAsia="Arial" w:hAnsi="Arial"/>
                <w:sz w:val="14"/>
                <w:szCs w:val="14"/>
                <w:b w:val="1"/>
                <w:bCs w:val="1"/>
                <w:color w:val="auto"/>
                <w:w w:val="98"/>
              </w:rPr>
              <w:t>Under Equity</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300" w:type="dxa"/>
            <w:vAlign w:val="bottom"/>
            <w:tcBorders>
              <w:bottom w:val="single" w:sz="8" w:color="auto"/>
            </w:tcBorders>
          </w:tcPr>
          <w:p>
            <w:pPr>
              <w:jc w:val="center"/>
              <w:ind w:right="362"/>
              <w:spacing w:after="0"/>
              <w:rPr>
                <w:sz w:val="20"/>
                <w:szCs w:val="20"/>
                <w:color w:val="auto"/>
              </w:rPr>
            </w:pPr>
            <w:r>
              <w:rPr>
                <w:rFonts w:ascii="Arial" w:cs="Arial" w:eastAsia="Arial" w:hAnsi="Arial"/>
                <w:sz w:val="14"/>
                <w:szCs w:val="14"/>
                <w:b w:val="1"/>
                <w:bCs w:val="1"/>
                <w:color w:val="auto"/>
                <w:w w:val="94"/>
              </w:rPr>
              <w:t>Warrants and Rights</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Rights</w:t>
            </w:r>
          </w:p>
        </w:tc>
        <w:tc>
          <w:tcPr>
            <w:tcW w:w="100" w:type="dxa"/>
            <w:vAlign w:val="bottom"/>
          </w:tcPr>
          <w:p>
            <w:pPr>
              <w:spacing w:after="0"/>
              <w:rPr>
                <w:sz w:val="16"/>
                <w:szCs w:val="16"/>
                <w:color w:val="auto"/>
              </w:rPr>
            </w:pPr>
          </w:p>
        </w:tc>
        <w:tc>
          <w:tcPr>
            <w:tcW w:w="2260" w:type="dxa"/>
            <w:vAlign w:val="bottom"/>
            <w:tcBorders>
              <w:bottom w:val="single" w:sz="8" w:color="auto"/>
            </w:tcBorders>
          </w:tcPr>
          <w:p>
            <w:pPr>
              <w:jc w:val="center"/>
              <w:ind w:right="362"/>
              <w:spacing w:after="0"/>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(a)</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(b)</w:t>
            </w:r>
          </w:p>
        </w:tc>
        <w:tc>
          <w:tcPr>
            <w:tcW w:w="2260" w:type="dxa"/>
            <w:vAlign w:val="bottom"/>
          </w:tcPr>
          <w:p>
            <w:pPr>
              <w:jc w:val="center"/>
              <w:ind w:right="382"/>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56"/>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230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8"/>
                <w:szCs w:val="18"/>
                <w:color w:val="auto"/>
              </w:rPr>
              <w:t>493,161  (1)</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w:t>
            </w:r>
          </w:p>
        </w:tc>
        <w:tc>
          <w:tcPr>
            <w:tcW w:w="10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8"/>
                <w:szCs w:val="18"/>
                <w:color w:val="auto"/>
              </w:rPr>
              <w:t>14,106,355  (3)</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24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70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48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300" w:type="dxa"/>
            <w:vAlign w:val="bottom"/>
            <w:tcBorders>
              <w:bottom w:val="single" w:sz="8" w:color="auto"/>
            </w:tcBorders>
            <w:shd w:val="clear" w:color="auto" w:fill="CCEEFF"/>
          </w:tcPr>
          <w:p>
            <w:pPr>
              <w:jc w:val="right"/>
              <w:ind w:right="502"/>
              <w:spacing w:after="0"/>
              <w:rPr>
                <w:sz w:val="20"/>
                <w:szCs w:val="20"/>
                <w:color w:val="auto"/>
              </w:rPr>
            </w:pPr>
            <w:r>
              <w:rPr>
                <w:rFonts w:ascii="Arial" w:cs="Arial" w:eastAsia="Arial" w:hAnsi="Arial"/>
                <w:sz w:val="18"/>
                <w:szCs w:val="18"/>
                <w:color w:val="auto"/>
              </w:rPr>
              <w:t>493,161</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auto"/>
            </w:tcBorders>
            <w:shd w:val="clear" w:color="auto" w:fill="CCEEFF"/>
          </w:tcPr>
          <w:p>
            <w:pPr>
              <w:jc w:val="right"/>
              <w:ind w:right="482"/>
              <w:spacing w:after="0"/>
              <w:rPr>
                <w:sz w:val="20"/>
                <w:szCs w:val="20"/>
                <w:color w:val="auto"/>
              </w:rPr>
            </w:pPr>
            <w:r>
              <w:rPr>
                <w:rFonts w:ascii="Arial" w:cs="Arial" w:eastAsia="Arial" w:hAnsi="Arial"/>
                <w:sz w:val="18"/>
                <w:szCs w:val="18"/>
                <w:color w:val="auto"/>
              </w:rPr>
              <w:t>14,106,355</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-98425</wp:posOffset>
            </wp:positionV>
            <wp:extent cx="4047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1" w:lineRule="exact"/>
        <w:rPr>
          <w:sz w:val="20"/>
          <w:szCs w:val="20"/>
          <w:color w:val="auto"/>
        </w:rPr>
      </w:pPr>
    </w:p>
    <w:p>
      <w:pPr>
        <w:ind w:left="420" w:right="120" w:hanging="412"/>
        <w:spacing w:after="0" w:line="254" w:lineRule="auto"/>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of these shares are subject to outstanding restricted common share unit awards. This number does not include 2,107,876 shares that are subject to then-outstanding, but unvested, restricted common share awards because those securities have been subtracted from the number of securities remaining available for future issuance under Column (c).</w:t>
      </w:r>
    </w:p>
    <w:p>
      <w:pPr>
        <w:spacing w:after="0" w:line="191" w:lineRule="exact"/>
        <w:rPr>
          <w:rFonts w:ascii="Arial" w:cs="Arial" w:eastAsia="Arial" w:hAnsi="Arial"/>
          <w:sz w:val="18"/>
          <w:szCs w:val="18"/>
          <w:color w:val="auto"/>
        </w:rPr>
      </w:pPr>
    </w:p>
    <w:p>
      <w:pPr>
        <w:ind w:left="420" w:hanging="412"/>
        <w:spacing w:after="0"/>
        <w:tabs>
          <w:tab w:leader="none" w:pos="4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Not applicable because all outstanding awards reflected in column (a) will be issued upon the vesting of outstanding restricted common share units.</w:t>
      </w:r>
    </w:p>
    <w:p>
      <w:pPr>
        <w:spacing w:after="0" w:line="248" w:lineRule="exact"/>
        <w:rPr>
          <w:rFonts w:ascii="Arial" w:cs="Arial" w:eastAsia="Arial" w:hAnsi="Arial"/>
          <w:sz w:val="16"/>
          <w:szCs w:val="16"/>
          <w:color w:val="auto"/>
        </w:rPr>
      </w:pPr>
    </w:p>
    <w:p>
      <w:pPr>
        <w:ind w:left="420" w:right="180" w:hanging="412"/>
        <w:spacing w:after="0" w:line="259" w:lineRule="auto"/>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of the shares that remained available for future issuance as of December 31, 2016, were available under the 2013 Essent Group Ltd. Long-Term Incentive Plan (the "2013 Plan"). Subject to certain express limits of the 2013 Plan, shares available for award purposes under the 2013 Plan generally may be used for any type of award authorized under that plan including options, stock appreciation rights, and other forms of awards granted or denominated in our common shares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806" w:right="239" w:bottom="1440" w:gutter="0" w:footer="0" w:header="0"/>
        </w:sectPr>
      </w:pPr>
    </w:p>
    <w:bookmarkStart w:id="57" w:name="page58"/>
    <w:bookmarkEnd w:id="57"/>
    <w:p>
      <w:pPr>
        <w:ind w:left="420" w:right="100"/>
        <w:spacing w:after="0" w:line="334" w:lineRule="auto"/>
        <w:rPr>
          <w:sz w:val="20"/>
          <w:szCs w:val="20"/>
          <w:color w:val="auto"/>
        </w:rPr>
      </w:pPr>
      <w:r>
        <w:rPr>
          <w:rFonts w:ascii="Arial" w:cs="Arial" w:eastAsia="Arial" w:hAnsi="Arial"/>
          <w:sz w:val="16"/>
          <w:szCs w:val="16"/>
          <w:color w:val="auto"/>
        </w:rPr>
        <w:t>including, without limitation, stock bonuses, restricted stock, restricted stock units and performance shares. A total of 14,700,000 common shares were originally reserved and available for delivery under the 2013 Plan. The total number of common shares reserved and available for delivery under the 2013 Plan is increased on the first day of each of our fiscal years beginning with 2014 in an amount equal to the lesser of (i) 1,500,000 common shares,</w:t>
      </w:r>
    </w:p>
    <w:p>
      <w:pPr>
        <w:spacing w:after="0" w:line="2" w:lineRule="exact"/>
        <w:rPr>
          <w:sz w:val="20"/>
          <w:szCs w:val="20"/>
          <w:color w:val="auto"/>
        </w:rPr>
      </w:pPr>
    </w:p>
    <w:p>
      <w:pPr>
        <w:ind w:left="420" w:right="20" w:hanging="7"/>
        <w:spacing w:after="0" w:line="323" w:lineRule="auto"/>
        <w:tabs>
          <w:tab w:leader="none" w:pos="685" w:val="left"/>
        </w:tabs>
        <w:numPr>
          <w:ilvl w:val="0"/>
          <w:numId w:val="33"/>
        </w:numPr>
        <w:rPr>
          <w:rFonts w:ascii="Arial" w:cs="Arial" w:eastAsia="Arial" w:hAnsi="Arial"/>
          <w:sz w:val="17"/>
          <w:szCs w:val="17"/>
          <w:color w:val="auto"/>
        </w:rPr>
      </w:pPr>
      <w:r>
        <w:rPr>
          <w:rFonts w:ascii="Arial" w:cs="Arial" w:eastAsia="Arial" w:hAnsi="Arial"/>
          <w:sz w:val="17"/>
          <w:szCs w:val="17"/>
          <w:color w:val="auto"/>
        </w:rPr>
        <w:t>2% of our outstanding common shares on the last day of the immediately preceding fiscal year, or (iii) such number of common shares as determined by our board of directors. The number of common shares reserved and available for delivery under the 2013 Plan is subject to adjustment, as described below. The maximum number of common shares that may be issued in respect of incentive share options under the 2013 Plan is 14,700,000. Common shares underlying awards that are settled in cash, cancelled, forfeited, or otherwise terminated without delivery to a participant will again be available for issuance under the 2013 Plan. Common shares withheld or surrendered in connection with the payment of an exercise price of an award or to satisfy tax withholding will not again become available for issuance under the 2013 Plan.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 of Equity Securities</w:t>
      </w:r>
    </w:p>
    <w:p>
      <w:pPr>
        <w:spacing w:after="0" w:line="22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table below sets forth information regarding repurchases of our common shares during the fourth quarter of 2016. All of the shares represent common shares that were tendered to the Company by employees in connection with the vesting of restricted shares to satisfy tax withholding obligations. We do not consider these transactions to be a share buyback program.</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94"/>
              </w:rPr>
              <w:t>Total Number of</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restart"/>
          </w:tcPr>
          <w:p>
            <w:pPr>
              <w:jc w:val="center"/>
              <w:ind w:left="408"/>
              <w:spacing w:after="0"/>
              <w:rPr>
                <w:sz w:val="20"/>
                <w:szCs w:val="20"/>
                <w:color w:val="auto"/>
              </w:rPr>
            </w:pPr>
            <w:r>
              <w:rPr>
                <w:rFonts w:ascii="Arial" w:cs="Arial" w:eastAsia="Arial" w:hAnsi="Arial"/>
                <w:sz w:val="14"/>
                <w:szCs w:val="14"/>
                <w:b w:val="1"/>
                <w:bCs w:val="1"/>
                <w:color w:val="auto"/>
                <w:w w:val="89"/>
              </w:rPr>
              <w:t>Total</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Shares that</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left="408"/>
              <w:spacing w:after="0" w:line="149" w:lineRule="exact"/>
              <w:rPr>
                <w:sz w:val="20"/>
                <w:szCs w:val="20"/>
                <w:color w:val="auto"/>
              </w:rPr>
            </w:pPr>
            <w:r>
              <w:rPr>
                <w:rFonts w:ascii="Arial" w:cs="Arial" w:eastAsia="Arial" w:hAnsi="Arial"/>
                <w:sz w:val="14"/>
                <w:szCs w:val="14"/>
                <w:b w:val="1"/>
                <w:bCs w:val="1"/>
                <w:color w:val="auto"/>
                <w:w w:val="94"/>
              </w:rPr>
              <w:t>Number of</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w w:val="92"/>
              </w:rPr>
              <w:t>Average Price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49"/>
        </w:trPr>
        <w:tc>
          <w:tcPr>
            <w:tcW w:w="3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40" w:type="dxa"/>
            <w:vAlign w:val="bottom"/>
            <w:vMerge w:val="restart"/>
          </w:tcPr>
          <w:p>
            <w:pPr>
              <w:spacing w:after="0"/>
              <w:rPr>
                <w:sz w:val="12"/>
                <w:szCs w:val="12"/>
                <w:color w:val="auto"/>
              </w:rPr>
            </w:pPr>
          </w:p>
        </w:tc>
        <w:tc>
          <w:tcPr>
            <w:tcW w:w="1340" w:type="dxa"/>
            <w:vAlign w:val="bottom"/>
          </w:tcPr>
          <w:p>
            <w:pPr>
              <w:jc w:val="center"/>
              <w:ind w:left="408"/>
              <w:spacing w:after="0" w:line="149" w:lineRule="exact"/>
              <w:rPr>
                <w:sz w:val="20"/>
                <w:szCs w:val="20"/>
                <w:color w:val="auto"/>
              </w:rPr>
            </w:pPr>
            <w:r>
              <w:rPr>
                <w:rFonts w:ascii="Arial" w:cs="Arial" w:eastAsia="Arial" w:hAnsi="Arial"/>
                <w:sz w:val="14"/>
                <w:szCs w:val="14"/>
                <w:b w:val="1"/>
                <w:bCs w:val="1"/>
                <w:color w:val="auto"/>
                <w:w w:val="89"/>
              </w:rPr>
              <w:t>Shares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89"/>
              </w:rPr>
              <w:t>Announced Plans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b w:val="1"/>
                <w:bCs w:val="1"/>
                <w:color w:val="auto"/>
                <w:w w:val="92"/>
              </w:rPr>
              <w:t>Purchased</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3"/>
              </w:rPr>
              <w:t>Paid Per Share</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3"/>
              </w:rPr>
              <w:t>or Programs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1 - October 31, 2016</w:t>
            </w:r>
          </w:p>
        </w:tc>
        <w:tc>
          <w:tcPr>
            <w:tcW w:w="1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555</w:t>
            </w:r>
          </w:p>
        </w:tc>
        <w:tc>
          <w:tcPr>
            <w:tcW w:w="1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November 1 - November 30, 2016</w:t>
            </w:r>
          </w:p>
        </w:tc>
        <w:tc>
          <w:tcPr>
            <w:tcW w:w="13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960" w:type="dxa"/>
            <w:vAlign w:val="bottom"/>
            <w:gridSpan w:val="3"/>
          </w:tcPr>
          <w:p>
            <w:pPr>
              <w:jc w:val="right"/>
              <w:ind w:right="1548"/>
              <w:spacing w:after="0"/>
              <w:rPr>
                <w:sz w:val="20"/>
                <w:szCs w:val="20"/>
                <w:color w:val="auto"/>
              </w:rPr>
            </w:pPr>
            <w:r>
              <w:rPr>
                <w:rFonts w:ascii="Arial" w:cs="Arial" w:eastAsia="Arial" w:hAnsi="Arial"/>
                <w:sz w:val="18"/>
                <w:szCs w:val="18"/>
                <w:color w:val="auto"/>
              </w:rPr>
              <w:t>N/A</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20" w:type="dxa"/>
            <w:vAlign w:val="bottom"/>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1 - December 31, 2016</w:t>
            </w:r>
          </w:p>
        </w:tc>
        <w:tc>
          <w:tcPr>
            <w:tcW w:w="13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gridSpan w:val="3"/>
            <w:shd w:val="clear" w:color="auto" w:fill="CCEEFF"/>
          </w:tcPr>
          <w:p>
            <w:pPr>
              <w:jc w:val="right"/>
              <w:ind w:right="1548"/>
              <w:spacing w:after="0"/>
              <w:rPr>
                <w:sz w:val="20"/>
                <w:szCs w:val="20"/>
                <w:color w:val="auto"/>
              </w:rPr>
            </w:pPr>
            <w:r>
              <w:rPr>
                <w:rFonts w:ascii="Arial" w:cs="Arial" w:eastAsia="Arial" w:hAnsi="Arial"/>
                <w:sz w:val="18"/>
                <w:szCs w:val="18"/>
                <w:color w:val="auto"/>
              </w:rPr>
              <w:t>N/A</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20" w:type="dxa"/>
            <w:vAlign w:val="bottom"/>
            <w:tcBorders>
              <w:top w:val="single" w:sz="8" w:color="auto"/>
            </w:tcBorders>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611" w:right="239" w:bottom="1440" w:gutter="0" w:footer="0" w:header="0"/>
        </w:sectPr>
      </w:pPr>
    </w:p>
    <w:bookmarkStart w:id="58" w:name="page59"/>
    <w:bookmarkEnd w:id="58"/>
    <w:p>
      <w:pPr>
        <w:spacing w:after="0"/>
        <w:tabs>
          <w:tab w:leader="none" w:pos="82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ind w:left="620"/>
              <w:spacing w:after="0"/>
              <w:rPr>
                <w:sz w:val="20"/>
                <w:szCs w:val="20"/>
                <w:color w:val="auto"/>
              </w:rPr>
            </w:pPr>
            <w:r>
              <w:rPr>
                <w:rFonts w:ascii="Arial" w:cs="Arial" w:eastAsia="Arial" w:hAnsi="Arial"/>
                <w:sz w:val="14"/>
                <w:szCs w:val="14"/>
                <w:b w:val="1"/>
                <w:bCs w:val="1"/>
                <w:color w:val="auto"/>
                <w:w w:val="96"/>
              </w:rPr>
              <w:t>Year Ended December 31,</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640" w:type="dxa"/>
            <w:vAlign w:val="bottom"/>
            <w:gridSpan w:val="3"/>
          </w:tcPr>
          <w:p>
            <w:pPr>
              <w:ind w:left="40"/>
              <w:spacing w:after="0" w:line="139" w:lineRule="exact"/>
              <w:rPr>
                <w:sz w:val="20"/>
                <w:szCs w:val="20"/>
                <w:color w:val="auto"/>
              </w:rPr>
            </w:pPr>
            <w:r>
              <w:rPr>
                <w:rFonts w:ascii="Arial" w:cs="Arial" w:eastAsia="Arial" w:hAnsi="Arial"/>
                <w:sz w:val="14"/>
                <w:szCs w:val="14"/>
                <w:b w:val="1"/>
                <w:bCs w:val="1"/>
                <w:color w:val="auto"/>
              </w:rPr>
              <w:t>Summary of Operations</w:t>
            </w: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58"/>
        </w:trPr>
        <w:tc>
          <w:tcPr>
            <w:tcW w:w="464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(In thousands, except per share amounts)</w:t>
            </w: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520" w:type="dxa"/>
            <w:vAlign w:val="bottom"/>
            <w:tcBorders>
              <w:top w:val="single" w:sz="8" w:color="auto"/>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40" w:type="dxa"/>
            <w:vAlign w:val="bottom"/>
            <w:gridSpan w:val="3"/>
          </w:tcPr>
          <w:p>
            <w:pPr>
              <w:ind w:left="40"/>
              <w:spacing w:after="0"/>
              <w:rPr>
                <w:sz w:val="20"/>
                <w:szCs w:val="20"/>
                <w:color w:val="auto"/>
              </w:rPr>
            </w:pPr>
            <w:r>
              <w:rPr>
                <w:rFonts w:ascii="Arial" w:cs="Arial" w:eastAsia="Arial" w:hAnsi="Arial"/>
                <w:sz w:val="18"/>
                <w:szCs w:val="18"/>
                <w:color w:val="auto"/>
              </w:rPr>
              <w:t>Net premiums written</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441,278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370,568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276,778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186,200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72,668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Increase in unearned premiums</w:t>
            </w:r>
          </w:p>
        </w:tc>
        <w:tc>
          <w:tcPr>
            <w:tcW w:w="1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(18,571)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(44,097)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(53,549)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(62,829)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(30,875)</w:t>
            </w:r>
          </w:p>
        </w:tc>
        <w:tc>
          <w:tcPr>
            <w:tcW w:w="0" w:type="dxa"/>
            <w:vAlign w:val="bottom"/>
          </w:tcPr>
          <w:p>
            <w:pPr>
              <w:spacing w:after="0"/>
              <w:rPr>
                <w:sz w:val="1"/>
                <w:szCs w:val="1"/>
                <w:color w:val="auto"/>
              </w:rPr>
            </w:pPr>
          </w:p>
        </w:tc>
      </w:tr>
      <w:tr>
        <w:trPr>
          <w:trHeight w:val="237"/>
        </w:trPr>
        <w:tc>
          <w:tcPr>
            <w:tcW w:w="4640" w:type="dxa"/>
            <w:vAlign w:val="bottom"/>
            <w:gridSpan w:val="3"/>
          </w:tcPr>
          <w:p>
            <w:pPr>
              <w:ind w:left="40"/>
              <w:spacing w:after="0"/>
              <w:rPr>
                <w:sz w:val="20"/>
                <w:szCs w:val="20"/>
                <w:color w:val="auto"/>
              </w:rPr>
            </w:pPr>
            <w:r>
              <w:rPr>
                <w:rFonts w:ascii="Arial" w:cs="Arial" w:eastAsia="Arial" w:hAnsi="Arial"/>
                <w:sz w:val="18"/>
                <w:szCs w:val="18"/>
                <w:color w:val="auto"/>
              </w:rPr>
              <w:t>Net premiums earned</w:t>
            </w:r>
          </w:p>
        </w:tc>
        <w:tc>
          <w:tcPr>
            <w:tcW w:w="1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422,707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326,471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223,229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8"/>
              </w:rPr>
              <w:t>123,371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41,793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43"/>
        </w:trPr>
        <w:tc>
          <w:tcPr>
            <w:tcW w:w="4640" w:type="dxa"/>
            <w:vAlign w:val="bottom"/>
            <w:gridSpan w:val="3"/>
          </w:tcPr>
          <w:p>
            <w:pPr>
              <w:ind w:left="40"/>
              <w:spacing w:after="0"/>
              <w:rPr>
                <w:sz w:val="20"/>
                <w:szCs w:val="20"/>
                <w:color w:val="auto"/>
              </w:rPr>
            </w:pPr>
            <w:r>
              <w:rPr>
                <w:rFonts w:ascii="Arial" w:cs="Arial" w:eastAsia="Arial" w:hAnsi="Arial"/>
                <w:sz w:val="18"/>
                <w:szCs w:val="18"/>
                <w:color w:val="auto"/>
              </w:rPr>
              <w:t>Realized investment gains, net</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1,934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2,554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1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600" w:type="dxa"/>
            <w:vAlign w:val="bottom"/>
            <w:gridSpan w:val="2"/>
          </w:tcPr>
          <w:p>
            <w:pPr>
              <w:ind w:left="140"/>
              <w:spacing w:after="0"/>
              <w:rPr>
                <w:sz w:val="20"/>
                <w:szCs w:val="20"/>
                <w:color w:val="auto"/>
              </w:rPr>
            </w:pPr>
            <w:r>
              <w:rPr>
                <w:rFonts w:ascii="Arial" w:cs="Arial" w:eastAsia="Arial" w:hAnsi="Arial"/>
                <w:sz w:val="18"/>
                <w:szCs w:val="18"/>
                <w:color w:val="auto"/>
              </w:rPr>
              <w:t>Total revenues</w:t>
            </w:r>
          </w:p>
        </w:tc>
        <w:tc>
          <w:tcPr>
            <w:tcW w:w="1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458,258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353,290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239,467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8"/>
              </w:rPr>
              <w:t>131,403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48,716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40" w:type="dxa"/>
            <w:vAlign w:val="bottom"/>
            <w:gridSpan w:val="3"/>
          </w:tcPr>
          <w:p>
            <w:pPr>
              <w:ind w:left="40"/>
              <w:spacing w:after="0"/>
              <w:rPr>
                <w:sz w:val="20"/>
                <w:szCs w:val="20"/>
                <w:color w:val="auto"/>
              </w:rPr>
            </w:pPr>
            <w:r>
              <w:rPr>
                <w:rFonts w:ascii="Arial" w:cs="Arial" w:eastAsia="Arial" w:hAnsi="Arial"/>
                <w:sz w:val="18"/>
                <w:szCs w:val="18"/>
                <w:color w:val="auto"/>
              </w:rPr>
              <w:t>Provision for losses and LAE</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15,525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11,905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6,308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2,321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1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130,851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112,987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97,232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71,055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61,126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600" w:type="dxa"/>
            <w:vAlign w:val="bottom"/>
            <w:gridSpan w:val="2"/>
          </w:tcPr>
          <w:p>
            <w:pPr>
              <w:ind w:left="140"/>
              <w:spacing w:after="0"/>
              <w:rPr>
                <w:sz w:val="20"/>
                <w:szCs w:val="20"/>
                <w:color w:val="auto"/>
              </w:rPr>
            </w:pPr>
            <w:r>
              <w:rPr>
                <w:rFonts w:ascii="Arial" w:cs="Arial" w:eastAsia="Arial" w:hAnsi="Arial"/>
                <w:sz w:val="18"/>
                <w:szCs w:val="18"/>
                <w:color w:val="auto"/>
              </w:rPr>
              <w:t>Total losses and expenses</w:t>
            </w:r>
          </w:p>
        </w:tc>
        <w:tc>
          <w:tcPr>
            <w:tcW w:w="1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146,376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124,892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103,540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73,376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62,592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311,882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228,398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135,927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(13,876)</w:t>
            </w:r>
          </w:p>
        </w:tc>
        <w:tc>
          <w:tcPr>
            <w:tcW w:w="0" w:type="dxa"/>
            <w:vAlign w:val="bottom"/>
          </w:tcPr>
          <w:p>
            <w:pPr>
              <w:spacing w:after="0"/>
              <w:rPr>
                <w:sz w:val="1"/>
                <w:szCs w:val="1"/>
                <w:color w:val="auto"/>
              </w:rPr>
            </w:pPr>
          </w:p>
        </w:tc>
      </w:tr>
      <w:tr>
        <w:trPr>
          <w:trHeight w:val="243"/>
        </w:trPr>
        <w:tc>
          <w:tcPr>
            <w:tcW w:w="4640" w:type="dxa"/>
            <w:vAlign w:val="bottom"/>
            <w:gridSpan w:val="3"/>
          </w:tcPr>
          <w:p>
            <w:pPr>
              <w:ind w:left="40"/>
              <w:spacing w:after="0"/>
              <w:rPr>
                <w:sz w:val="20"/>
                <w:szCs w:val="20"/>
                <w:color w:val="auto"/>
              </w:rPr>
            </w:pPr>
            <w:r>
              <w:rPr>
                <w:rFonts w:ascii="Arial" w:cs="Arial" w:eastAsia="Arial" w:hAnsi="Arial"/>
                <w:sz w:val="18"/>
                <w:szCs w:val="18"/>
                <w:color w:val="auto"/>
              </w:rPr>
              <w:t>Income tax expense (benefit)</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89,276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71,067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47,430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222,606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157,331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88,497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65,413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(13,543)</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b w:val="1"/>
                <w:bCs w:val="1"/>
                <w:color w:val="auto"/>
              </w:rPr>
              <w:t>Earnings (loss) per share (EPS)(1):</w:t>
            </w:r>
          </w:p>
        </w:tc>
        <w:tc>
          <w:tcPr>
            <w:tcW w:w="1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40" w:type="dxa"/>
            <w:vAlign w:val="bottom"/>
            <w:gridSpan w:val="3"/>
            <w:vMerge w:val="continue"/>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00" w:type="dxa"/>
            <w:vAlign w:val="bottom"/>
            <w:gridSpan w:val="2"/>
          </w:tcPr>
          <w:p>
            <w:pPr>
              <w:ind w:left="340"/>
              <w:spacing w:after="0"/>
              <w:rPr>
                <w:sz w:val="20"/>
                <w:szCs w:val="20"/>
                <w:color w:val="auto"/>
              </w:rPr>
            </w:pPr>
            <w:r>
              <w:rPr>
                <w:rFonts w:ascii="Arial" w:cs="Arial" w:eastAsia="Arial" w:hAnsi="Arial"/>
                <w:sz w:val="18"/>
                <w:szCs w:val="18"/>
                <w:color w:val="auto"/>
              </w:rPr>
              <w:t>Common Shares(2)</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0.90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Class A common shares</w:t>
            </w: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00" w:type="dxa"/>
            <w:vAlign w:val="bottom"/>
            <w:gridSpan w:val="2"/>
          </w:tcPr>
          <w:p>
            <w:pPr>
              <w:ind w:left="340"/>
              <w:spacing w:after="0"/>
              <w:rPr>
                <w:sz w:val="20"/>
                <w:szCs w:val="20"/>
                <w:color w:val="auto"/>
              </w:rPr>
            </w:pPr>
            <w:r>
              <w:rPr>
                <w:rFonts w:ascii="Arial" w:cs="Arial" w:eastAsia="Arial" w:hAnsi="Arial"/>
                <w:sz w:val="18"/>
                <w:szCs w:val="18"/>
                <w:color w:val="auto"/>
              </w:rPr>
              <w:t>Class B-2 common shares</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1"/>
                <w:szCs w:val="21"/>
                <w:color w:val="auto"/>
              </w:rPr>
            </w:pP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1"/>
                <w:szCs w:val="21"/>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1"/>
                <w:szCs w:val="21"/>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00" w:type="dxa"/>
            <w:vAlign w:val="bottom"/>
            <w:gridSpan w:val="2"/>
          </w:tcPr>
          <w:p>
            <w:pPr>
              <w:ind w:left="340"/>
              <w:spacing w:after="0"/>
              <w:rPr>
                <w:sz w:val="20"/>
                <w:szCs w:val="20"/>
                <w:color w:val="auto"/>
              </w:rPr>
            </w:pPr>
            <w:r>
              <w:rPr>
                <w:rFonts w:ascii="Arial" w:cs="Arial" w:eastAsia="Arial" w:hAnsi="Arial"/>
                <w:sz w:val="18"/>
                <w:szCs w:val="18"/>
                <w:color w:val="auto"/>
              </w:rPr>
              <w:t>Common Shares(2)</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Class A common shares</w:t>
            </w: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00" w:type="dxa"/>
            <w:vAlign w:val="bottom"/>
            <w:gridSpan w:val="2"/>
          </w:tcPr>
          <w:p>
            <w:pPr>
              <w:ind w:left="340"/>
              <w:spacing w:after="0"/>
              <w:rPr>
                <w:sz w:val="20"/>
                <w:szCs w:val="20"/>
                <w:color w:val="auto"/>
              </w:rPr>
            </w:pPr>
            <w:r>
              <w:rPr>
                <w:rFonts w:ascii="Arial" w:cs="Arial" w:eastAsia="Arial" w:hAnsi="Arial"/>
                <w:sz w:val="18"/>
                <w:szCs w:val="18"/>
                <w:color w:val="auto"/>
              </w:rPr>
              <w:t>Class B-2 common shares</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1"/>
                <w:szCs w:val="21"/>
                <w:color w:val="auto"/>
              </w:rPr>
            </w:pP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1"/>
                <w:szCs w:val="21"/>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1"/>
                <w:szCs w:val="21"/>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common shares outstanding:</w:t>
            </w: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0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Common Shares(2)</w:t>
            </w: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90,913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90,351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83,986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00" w:type="dxa"/>
            <w:vAlign w:val="bottom"/>
            <w:gridSpan w:val="2"/>
          </w:tcPr>
          <w:p>
            <w:pPr>
              <w:ind w:left="340"/>
              <w:spacing w:after="0"/>
              <w:rPr>
                <w:sz w:val="20"/>
                <w:szCs w:val="20"/>
                <w:color w:val="auto"/>
              </w:rPr>
            </w:pPr>
            <w:r>
              <w:rPr>
                <w:rFonts w:ascii="Arial" w:cs="Arial" w:eastAsia="Arial" w:hAnsi="Arial"/>
                <w:sz w:val="18"/>
                <w:szCs w:val="18"/>
                <w:color w:val="auto"/>
              </w:rPr>
              <w:t>Class A common shares</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1"/>
                <w:szCs w:val="21"/>
                <w:color w:val="auto"/>
              </w:rPr>
            </w:pP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1"/>
                <w:szCs w:val="21"/>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1"/>
                <w:szCs w:val="21"/>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27,445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Class B-2 common shares</w:t>
            </w: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00" w:type="dxa"/>
            <w:vAlign w:val="bottom"/>
            <w:gridSpan w:val="2"/>
          </w:tcPr>
          <w:p>
            <w:pPr>
              <w:ind w:left="140"/>
              <w:spacing w:after="0"/>
              <w:rPr>
                <w:sz w:val="20"/>
                <w:szCs w:val="20"/>
                <w:color w:val="auto"/>
              </w:rPr>
            </w:pPr>
            <w:r>
              <w:rPr>
                <w:rFonts w:ascii="Arial" w:cs="Arial" w:eastAsia="Arial" w:hAnsi="Arial"/>
                <w:sz w:val="18"/>
                <w:szCs w:val="18"/>
                <w:color w:val="auto"/>
              </w:rPr>
              <w:t>Diluted:</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Common Shares(2)</w:t>
            </w: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92,245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91,738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85,602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00" w:type="dxa"/>
            <w:vAlign w:val="bottom"/>
            <w:gridSpan w:val="2"/>
          </w:tcPr>
          <w:p>
            <w:pPr>
              <w:ind w:left="340"/>
              <w:spacing w:after="0"/>
              <w:rPr>
                <w:sz w:val="20"/>
                <w:szCs w:val="20"/>
                <w:color w:val="auto"/>
              </w:rPr>
            </w:pPr>
            <w:r>
              <w:rPr>
                <w:rFonts w:ascii="Arial" w:cs="Arial" w:eastAsia="Arial" w:hAnsi="Arial"/>
                <w:sz w:val="18"/>
                <w:szCs w:val="18"/>
                <w:color w:val="auto"/>
              </w:rPr>
              <w:t>Class A common shares</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1"/>
                <w:szCs w:val="21"/>
                <w:color w:val="auto"/>
              </w:rPr>
            </w:pP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1"/>
                <w:szCs w:val="21"/>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1"/>
                <w:szCs w:val="21"/>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27,445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Class B-2 common shares</w:t>
            </w: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675"/>
        </w:trPr>
        <w:tc>
          <w:tcPr>
            <w:tcW w:w="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5" w:right="239"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00" w:type="dxa"/>
            <w:vAlign w:val="bottom"/>
            <w:gridSpan w:val="3"/>
          </w:tcPr>
          <w:p>
            <w:pPr>
              <w:ind w:left="40"/>
              <w:spacing w:after="0" w:line="139" w:lineRule="exact"/>
              <w:rPr>
                <w:sz w:val="20"/>
                <w:szCs w:val="20"/>
                <w:color w:val="auto"/>
              </w:rPr>
            </w:pPr>
            <w:r>
              <w:rPr>
                <w:rFonts w:ascii="Arial" w:cs="Arial" w:eastAsia="Arial" w:hAnsi="Arial"/>
                <w:sz w:val="14"/>
                <w:szCs w:val="14"/>
                <w:b w:val="1"/>
                <w:bCs w:val="1"/>
                <w:color w:val="auto"/>
              </w:rPr>
              <w:t>Balance sheet data</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vMerge w:val="restart"/>
          </w:tcPr>
          <w:p>
            <w:pPr>
              <w:jc w:val="right"/>
              <w:ind w:right="57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58"/>
        </w:trPr>
        <w:tc>
          <w:tcPr>
            <w:tcW w:w="280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4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1,615,102</w:t>
            </w:r>
          </w:p>
        </w:tc>
        <w:tc>
          <w:tcPr>
            <w:tcW w:w="4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1,276,634</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1,057,613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332,555</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247,414</w:t>
            </w:r>
          </w:p>
        </w:tc>
        <w:tc>
          <w:tcPr>
            <w:tcW w:w="0" w:type="dxa"/>
            <w:vAlign w:val="bottom"/>
          </w:tcPr>
          <w:p>
            <w:pPr>
              <w:spacing w:after="0"/>
              <w:rPr>
                <w:sz w:val="1"/>
                <w:szCs w:val="1"/>
                <w:color w:val="auto"/>
              </w:rPr>
            </w:pPr>
          </w:p>
        </w:tc>
      </w:tr>
      <w:tr>
        <w:trPr>
          <w:trHeight w:val="243"/>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Cash</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27,531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24,606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24,411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477,655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22,315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1,882,998</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1,469,099</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1,181,461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853,970</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283,332</w:t>
            </w:r>
          </w:p>
        </w:tc>
        <w:tc>
          <w:tcPr>
            <w:tcW w:w="0" w:type="dxa"/>
            <w:vAlign w:val="bottom"/>
          </w:tcPr>
          <w:p>
            <w:pPr>
              <w:spacing w:after="0"/>
              <w:rPr>
                <w:sz w:val="1"/>
                <w:szCs w:val="1"/>
                <w:color w:val="auto"/>
              </w:rPr>
            </w:pPr>
          </w:p>
        </w:tc>
      </w:tr>
      <w:tr>
        <w:trPr>
          <w:trHeight w:val="243"/>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Reserve for losses and LAE</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28,142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17,760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8,427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3,070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Unearned premium reserve</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219,616</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201,045</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156,948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103,399</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40,570</w:t>
            </w:r>
          </w:p>
        </w:tc>
        <w:tc>
          <w:tcPr>
            <w:tcW w:w="0" w:type="dxa"/>
            <w:vAlign w:val="bottom"/>
          </w:tcPr>
          <w:p>
            <w:pPr>
              <w:spacing w:after="0"/>
              <w:rPr>
                <w:sz w:val="1"/>
                <w:szCs w:val="1"/>
                <w:color w:val="auto"/>
              </w:rPr>
            </w:pPr>
          </w:p>
        </w:tc>
      </w:tr>
      <w:tr>
        <w:trPr>
          <w:trHeight w:val="243"/>
        </w:trPr>
        <w:tc>
          <w:tcPr>
            <w:tcW w:w="2800" w:type="dxa"/>
            <w:vAlign w:val="bottom"/>
            <w:gridSpan w:val="3"/>
          </w:tcPr>
          <w:p>
            <w:pPr>
              <w:ind w:left="40"/>
              <w:spacing w:after="0"/>
              <w:rPr>
                <w:sz w:val="20"/>
                <w:szCs w:val="20"/>
                <w:color w:val="auto"/>
              </w:rPr>
            </w:pPr>
            <w:r>
              <w:rPr>
                <w:rFonts w:ascii="Arial" w:cs="Arial" w:eastAsia="Arial" w:hAnsi="Arial"/>
                <w:sz w:val="18"/>
                <w:szCs w:val="18"/>
                <w:color w:val="auto"/>
                <w:w w:val="99"/>
              </w:rPr>
              <w:t>Revolving credit facility borrowings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5"/>
          </w:tcPr>
          <w:p>
            <w:pPr>
              <w:ind w:left="9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3"/>
          </w:tcPr>
          <w:p>
            <w:pPr>
              <w:ind w:left="98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3"/>
          </w:tcPr>
          <w:p>
            <w:pPr>
              <w:ind w:left="84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5"/>
              </w:rPr>
              <w:t>Amounts due under Asset Purchase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27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Agreement</w:t>
            </w: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9,841</w:t>
            </w:r>
          </w:p>
        </w:tc>
        <w:tc>
          <w:tcPr>
            <w:tcW w:w="0" w:type="dxa"/>
            <w:vAlign w:val="bottom"/>
          </w:tcPr>
          <w:p>
            <w:pPr>
              <w:spacing w:after="0"/>
              <w:rPr>
                <w:sz w:val="1"/>
                <w:szCs w:val="1"/>
                <w:color w:val="auto"/>
              </w:rPr>
            </w:pPr>
          </w:p>
        </w:tc>
      </w:tr>
      <w:tr>
        <w:trPr>
          <w:trHeight w:val="243"/>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Total stockholders' equity</w:t>
            </w:r>
          </w:p>
        </w:tc>
        <w:tc>
          <w:tcPr>
            <w:tcW w:w="4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1,343,773</w:t>
            </w:r>
          </w:p>
        </w:tc>
        <w:tc>
          <w:tcPr>
            <w:tcW w:w="46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1,119,241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955,738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722,141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219,123</w:t>
            </w:r>
          </w:p>
        </w:tc>
        <w:tc>
          <w:tcPr>
            <w:tcW w:w="0" w:type="dxa"/>
            <w:vAlign w:val="bottom"/>
          </w:tcPr>
          <w:p>
            <w:pPr>
              <w:spacing w:after="0"/>
              <w:rPr>
                <w:sz w:val="1"/>
                <w:szCs w:val="1"/>
                <w:color w:val="auto"/>
              </w:rPr>
            </w:pPr>
          </w:p>
        </w:tc>
      </w:tr>
      <w:tr>
        <w:trPr>
          <w:trHeight w:val="426"/>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800" w:type="dxa"/>
            <w:vAlign w:val="bottom"/>
            <w:gridSpan w:val="3"/>
          </w:tcPr>
          <w:p>
            <w:pPr>
              <w:ind w:left="40"/>
              <w:spacing w:after="0" w:line="139" w:lineRule="exact"/>
              <w:rPr>
                <w:sz w:val="20"/>
                <w:szCs w:val="20"/>
                <w:color w:val="auto"/>
              </w:rPr>
            </w:pPr>
            <w:r>
              <w:rPr>
                <w:rFonts w:ascii="Arial" w:cs="Arial" w:eastAsia="Arial" w:hAnsi="Arial"/>
                <w:sz w:val="14"/>
                <w:szCs w:val="14"/>
                <w:b w:val="1"/>
                <w:bCs w:val="1"/>
                <w:color w:val="auto"/>
              </w:rPr>
              <w:t>Selected additional data</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vMerge w:val="restart"/>
          </w:tcPr>
          <w:p>
            <w:pPr>
              <w:jc w:val="right"/>
              <w:ind w:right="592"/>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vMerge w:val="restart"/>
          </w:tcPr>
          <w:p>
            <w:pPr>
              <w:jc w:val="right"/>
              <w:ind w:right="592"/>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vMerge w:val="restart"/>
          </w:tcPr>
          <w:p>
            <w:pPr>
              <w:jc w:val="center"/>
              <w:ind w:right="254"/>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vMerge w:val="restart"/>
          </w:tcPr>
          <w:p>
            <w:pPr>
              <w:jc w:val="right"/>
              <w:ind w:right="572"/>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vMerge w:val="restart"/>
          </w:tcPr>
          <w:p>
            <w:pPr>
              <w:jc w:val="right"/>
              <w:ind w:right="59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58"/>
        </w:trPr>
        <w:tc>
          <w:tcPr>
            <w:tcW w:w="280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New insurance written(3)</w:t>
            </w: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34,949,319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26,193,656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24,799,434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21,152,638</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11,241,161</w:t>
            </w:r>
          </w:p>
        </w:tc>
        <w:tc>
          <w:tcPr>
            <w:tcW w:w="0" w:type="dxa"/>
            <w:vAlign w:val="bottom"/>
          </w:tcPr>
          <w:p>
            <w:pPr>
              <w:spacing w:after="0"/>
              <w:rPr>
                <w:sz w:val="1"/>
                <w:szCs w:val="1"/>
                <w:color w:val="auto"/>
              </w:rPr>
            </w:pPr>
          </w:p>
        </w:tc>
      </w:tr>
      <w:tr>
        <w:trPr>
          <w:trHeight w:val="243"/>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Loss ratio(4)</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Expense ratio(5)</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57"/>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Combined ratio</w:t>
            </w:r>
          </w:p>
        </w:tc>
        <w:tc>
          <w:tcPr>
            <w:tcW w:w="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800" w:type="dxa"/>
            <w:vAlign w:val="bottom"/>
            <w:gridSpan w:val="3"/>
          </w:tcPr>
          <w:p>
            <w:pPr>
              <w:ind w:left="40"/>
              <w:spacing w:after="0" w:line="139" w:lineRule="exact"/>
              <w:rPr>
                <w:sz w:val="20"/>
                <w:szCs w:val="20"/>
                <w:color w:val="auto"/>
              </w:rPr>
            </w:pPr>
            <w:r>
              <w:rPr>
                <w:rFonts w:ascii="Arial" w:cs="Arial" w:eastAsia="Arial" w:hAnsi="Arial"/>
                <w:sz w:val="14"/>
                <w:szCs w:val="14"/>
                <w:b w:val="1"/>
                <w:bCs w:val="1"/>
                <w:color w:val="auto"/>
              </w:rPr>
              <w:t>Insurance portfolio</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vMerge w:val="restart"/>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vMerge w:val="restart"/>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vMerge w:val="restart"/>
          </w:tcPr>
          <w:p>
            <w:pPr>
              <w:jc w:val="center"/>
              <w:ind w:right="214"/>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vMerge w:val="restart"/>
          </w:tcPr>
          <w:p>
            <w:pPr>
              <w:jc w:val="right"/>
              <w:ind w:right="572"/>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vMerge w:val="restart"/>
          </w:tcPr>
          <w:p>
            <w:pPr>
              <w:jc w:val="right"/>
              <w:ind w:right="59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58"/>
        </w:trPr>
        <w:tc>
          <w:tcPr>
            <w:tcW w:w="280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Insurance in force</w:t>
            </w: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83,265,522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65,242,453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50,762,594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32,028,196</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13,628,980</w:t>
            </w:r>
          </w:p>
        </w:tc>
        <w:tc>
          <w:tcPr>
            <w:tcW w:w="0" w:type="dxa"/>
            <w:vAlign w:val="bottom"/>
          </w:tcPr>
          <w:p>
            <w:pPr>
              <w:spacing w:after="0"/>
              <w:rPr>
                <w:sz w:val="1"/>
                <w:szCs w:val="1"/>
                <w:color w:val="auto"/>
              </w:rPr>
            </w:pPr>
          </w:p>
        </w:tc>
      </w:tr>
      <w:tr>
        <w:trPr>
          <w:trHeight w:val="243"/>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Risk in force</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20,627,317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16,073,174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12,227,270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7,768,605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3,221,631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Policies in force</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375,898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297,437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229,721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141,417</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59,764</w:t>
            </w:r>
          </w:p>
        </w:tc>
        <w:tc>
          <w:tcPr>
            <w:tcW w:w="0" w:type="dxa"/>
            <w:vAlign w:val="bottom"/>
          </w:tcPr>
          <w:p>
            <w:pPr>
              <w:spacing w:after="0"/>
              <w:rPr>
                <w:sz w:val="1"/>
                <w:szCs w:val="1"/>
                <w:color w:val="auto"/>
              </w:rPr>
            </w:pPr>
          </w:p>
        </w:tc>
      </w:tr>
      <w:tr>
        <w:trPr>
          <w:trHeight w:val="243"/>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Loans in default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1,757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1,028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457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Percentage of loans in default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800" w:type="dxa"/>
            <w:vAlign w:val="bottom"/>
            <w:gridSpan w:val="3"/>
            <w:shd w:val="clear" w:color="auto" w:fill="CCEEFF"/>
          </w:tcPr>
          <w:p>
            <w:pPr>
              <w:ind w:left="40"/>
              <w:spacing w:after="0" w:line="153" w:lineRule="exact"/>
              <w:rPr>
                <w:sz w:val="20"/>
                <w:szCs w:val="20"/>
                <w:color w:val="auto"/>
              </w:rPr>
            </w:pPr>
            <w:r>
              <w:rPr>
                <w:rFonts w:ascii="Arial" w:cs="Arial" w:eastAsia="Arial" w:hAnsi="Arial"/>
                <w:sz w:val="14"/>
                <w:szCs w:val="14"/>
                <w:b w:val="1"/>
                <w:bCs w:val="1"/>
                <w:color w:val="auto"/>
              </w:rPr>
              <w:t>Insurance company capital</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800" w:type="dxa"/>
            <w:vAlign w:val="bottom"/>
            <w:gridSpan w:val="3"/>
            <w:shd w:val="clear" w:color="auto" w:fill="CCEEFF"/>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800" w:type="dxa"/>
            <w:vAlign w:val="bottom"/>
            <w:gridSpan w:val="3"/>
          </w:tcPr>
          <w:p>
            <w:pPr>
              <w:ind w:left="40"/>
              <w:spacing w:after="0"/>
              <w:rPr>
                <w:sz w:val="20"/>
                <w:szCs w:val="20"/>
                <w:color w:val="auto"/>
              </w:rPr>
            </w:pPr>
            <w:r>
              <w:rPr>
                <w:rFonts w:ascii="Arial" w:cs="Arial" w:eastAsia="Arial" w:hAnsi="Arial"/>
                <w:sz w:val="18"/>
                <w:szCs w:val="18"/>
                <w:i w:val="1"/>
                <w:iCs w:val="1"/>
                <w:color w:val="auto"/>
              </w:rPr>
              <w:t>U.S. Mortgage Insurance</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Subsidiaries</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Combined statutory capital(6)</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1,144,279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913,182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705,890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469,424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203,611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Risk-to-capital ratios:</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760" w:type="dxa"/>
            <w:vAlign w:val="bottom"/>
            <w:gridSpan w:val="2"/>
          </w:tcPr>
          <w:p>
            <w:pPr>
              <w:ind w:left="140"/>
              <w:spacing w:after="0"/>
              <w:rPr>
                <w:sz w:val="20"/>
                <w:szCs w:val="20"/>
                <w:color w:val="auto"/>
              </w:rPr>
            </w:pPr>
            <w:r>
              <w:rPr>
                <w:rFonts w:ascii="Arial" w:cs="Arial" w:eastAsia="Arial" w:hAnsi="Arial"/>
                <w:sz w:val="18"/>
                <w:szCs w:val="18"/>
                <w:color w:val="auto"/>
              </w:rPr>
              <w:t>Essent Guaranty, Inc.</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15.3:1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15.7:1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16.4:1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16.6:1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Essent Guaranty of PA, Inc.</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6.8:1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9.7:1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14.6:1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17.1:1</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760" w:type="dxa"/>
            <w:vAlign w:val="bottom"/>
            <w:gridSpan w:val="2"/>
          </w:tcPr>
          <w:p>
            <w:pPr>
              <w:ind w:left="140"/>
              <w:spacing w:after="0"/>
              <w:rPr>
                <w:sz w:val="20"/>
                <w:szCs w:val="20"/>
                <w:color w:val="auto"/>
              </w:rPr>
            </w:pPr>
            <w:r>
              <w:rPr>
                <w:rFonts w:ascii="Arial" w:cs="Arial" w:eastAsia="Arial" w:hAnsi="Arial"/>
                <w:sz w:val="18"/>
                <w:szCs w:val="18"/>
                <w:color w:val="auto"/>
              </w:rPr>
              <w:t>Combined(7)</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14.7:1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15.2:1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16.2:1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16.5:1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800" w:type="dxa"/>
            <w:vAlign w:val="bottom"/>
            <w:gridSpan w:val="3"/>
          </w:tcPr>
          <w:p>
            <w:pPr>
              <w:ind w:left="40"/>
              <w:spacing w:after="0"/>
              <w:rPr>
                <w:sz w:val="20"/>
                <w:szCs w:val="20"/>
                <w:color w:val="auto"/>
              </w:rPr>
            </w:pPr>
            <w:r>
              <w:rPr>
                <w:rFonts w:ascii="Arial" w:cs="Arial" w:eastAsia="Arial" w:hAnsi="Arial"/>
                <w:sz w:val="18"/>
                <w:szCs w:val="18"/>
                <w:i w:val="1"/>
                <w:iCs w:val="1"/>
                <w:color w:val="auto"/>
              </w:rPr>
              <w:t>Essent Reinsurance Ltd.</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38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9"/>
              </w:rPr>
              <w:t>Stockholder's equity (GAAP basis)</w:t>
            </w: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401,273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220,178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155,123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389</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43"/>
        </w:trPr>
        <w:tc>
          <w:tcPr>
            <w:tcW w:w="2800" w:type="dxa"/>
            <w:vAlign w:val="bottom"/>
            <w:gridSpan w:val="3"/>
          </w:tcPr>
          <w:p>
            <w:pPr>
              <w:ind w:left="40"/>
              <w:spacing w:after="0"/>
              <w:rPr>
                <w:sz w:val="20"/>
                <w:szCs w:val="20"/>
                <w:color w:val="auto"/>
              </w:rPr>
            </w:pPr>
            <w:r>
              <w:rPr>
                <w:rFonts w:ascii="Arial" w:cs="Arial" w:eastAsia="Arial" w:hAnsi="Arial"/>
                <w:sz w:val="18"/>
                <w:szCs w:val="18"/>
                <w:color w:val="auto"/>
              </w:rPr>
              <w:t>Net risk in force(8)</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4,181,737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2,364,692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835,976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3"/>
          </w:tcPr>
          <w:p>
            <w:pPr>
              <w:ind w:left="72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1" w:lineRule="exact"/>
        <w:rPr>
          <w:sz w:val="20"/>
          <w:szCs w:val="20"/>
          <w:color w:val="auto"/>
        </w:rPr>
      </w:pPr>
    </w:p>
    <w:p>
      <w:pPr>
        <w:ind w:left="420" w:right="40" w:hanging="412"/>
        <w:spacing w:after="0" w:line="295" w:lineRule="auto"/>
        <w:tabs>
          <w:tab w:leader="none" w:pos="4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Prior to the initial public offering ("IPO") which was completed on November 5, 2013, the Company had two classes of common shares outstanding: Class A common shares and Class B-2 common shares. The Class A common shares accrued a 10% cumulative dividend and the Class B-2 common shares had no stated dividend rate with any dividends being declared at the discretion of the Company's Board of Directors. Accordingly, earnings (loss) per common share was calculated using the "two-class" method which provides that earnings and losses be allocated to each class of common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806" w:right="239" w:bottom="1440" w:gutter="0" w:footer="0" w:header="0"/>
        </w:sectPr>
      </w:pPr>
    </w:p>
    <w:bookmarkStart w:id="60" w:name="page61"/>
    <w:bookmarkEnd w:id="60"/>
    <w:p>
      <w:pPr>
        <w:ind w:left="412"/>
        <w:spacing w:after="0" w:line="336" w:lineRule="auto"/>
        <w:rPr>
          <w:sz w:val="20"/>
          <w:szCs w:val="20"/>
          <w:color w:val="auto"/>
        </w:rPr>
      </w:pPr>
      <w:r>
        <w:rPr>
          <w:rFonts w:ascii="Arial" w:cs="Arial" w:eastAsia="Arial" w:hAnsi="Arial"/>
          <w:sz w:val="17"/>
          <w:szCs w:val="17"/>
          <w:color w:val="auto"/>
        </w:rPr>
        <w:t>shares according to dividends declared and their respective participation rights. Substantially all of the net income (loss) for the periods prior to the IPO was allocated to the Class A common shares for purposes of determining earnings per share. Upon the completion of the IPO, all of the Class A common shares and the Class B-2 common shares converted into a single class of common shares (the "Common Shares").</w:t>
      </w:r>
    </w:p>
    <w:p>
      <w:pPr>
        <w:spacing w:after="0" w:line="138" w:lineRule="exact"/>
        <w:rPr>
          <w:sz w:val="20"/>
          <w:szCs w:val="20"/>
          <w:color w:val="auto"/>
        </w:rPr>
      </w:pPr>
    </w:p>
    <w:p>
      <w:pPr>
        <w:ind w:left="412" w:hanging="412"/>
        <w:spacing w:after="0" w:line="257" w:lineRule="auto"/>
        <w:tabs>
          <w:tab w:leader="none" w:pos="41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weighted average Common Shares outstanding for 2013 in the table above includes: (a) the weighted average Common Shares outstanding for the period from November 5, 2013 until December 31, 2013, and (b) the weighted average Class B-2 common shares outstanding (adjusted for the 2 for 3 share split) for the period from January 1, 2013 until the date of the conversion to Common Shares at the IPO. For purposes of determining EPS in 2013, the net income allocated to the Class B-2 common shares and all net income of the Company for the period following the IPO are allocated to the Common Shares.</w:t>
      </w:r>
    </w:p>
    <w:p>
      <w:pPr>
        <w:spacing w:after="0" w:line="188" w:lineRule="exact"/>
        <w:rPr>
          <w:rFonts w:ascii="Arial" w:cs="Arial" w:eastAsia="Arial" w:hAnsi="Arial"/>
          <w:sz w:val="18"/>
          <w:szCs w:val="18"/>
          <w:color w:val="auto"/>
        </w:rPr>
      </w:pPr>
    </w:p>
    <w:p>
      <w:pPr>
        <w:ind w:left="412" w:right="120" w:hanging="412"/>
        <w:spacing w:after="0" w:line="277" w:lineRule="auto"/>
        <w:tabs>
          <w:tab w:leader="none" w:pos="412"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New insurance written ("NIW") includes NIW on a flow basis (in which loans are insured in individual, loan-by-loan transactions) and bulk insurance that we write (in which each loan in a portfolio of loans is insured in a single transaction).</w:t>
      </w:r>
    </w:p>
    <w:p>
      <w:pPr>
        <w:spacing w:after="0" w:line="170" w:lineRule="exact"/>
        <w:rPr>
          <w:rFonts w:ascii="Arial" w:cs="Arial" w:eastAsia="Arial" w:hAnsi="Arial"/>
          <w:sz w:val="18"/>
          <w:szCs w:val="18"/>
          <w:color w:val="auto"/>
        </w:rPr>
      </w:pPr>
    </w:p>
    <w:p>
      <w:pPr>
        <w:ind w:left="412" w:hanging="412"/>
        <w:spacing w:after="0"/>
        <w:tabs>
          <w:tab w:leader="none" w:pos="412"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 ratio is calculated by dividing the provision for losses and loss adjustment expenses ("LAE") by net premiums earned.</w:t>
      </w:r>
    </w:p>
    <w:p>
      <w:pPr>
        <w:spacing w:after="0" w:line="225" w:lineRule="exact"/>
        <w:rPr>
          <w:rFonts w:ascii="Arial" w:cs="Arial" w:eastAsia="Arial" w:hAnsi="Arial"/>
          <w:sz w:val="18"/>
          <w:szCs w:val="18"/>
          <w:color w:val="auto"/>
        </w:rPr>
      </w:pPr>
    </w:p>
    <w:p>
      <w:pPr>
        <w:ind w:left="412" w:hanging="412"/>
        <w:spacing w:after="0"/>
        <w:tabs>
          <w:tab w:leader="none" w:pos="412"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Expense ratio is calculated by dividing other underwriting and operating expenses, excluding interest expense, by net premiums earned.</w:t>
      </w:r>
    </w:p>
    <w:p>
      <w:pPr>
        <w:spacing w:after="0" w:line="225" w:lineRule="exact"/>
        <w:rPr>
          <w:rFonts w:ascii="Arial" w:cs="Arial" w:eastAsia="Arial" w:hAnsi="Arial"/>
          <w:sz w:val="18"/>
          <w:szCs w:val="18"/>
          <w:color w:val="auto"/>
        </w:rPr>
      </w:pPr>
    </w:p>
    <w:p>
      <w:pPr>
        <w:ind w:left="412" w:right="20" w:hanging="412"/>
        <w:spacing w:after="0" w:line="277" w:lineRule="auto"/>
        <w:tabs>
          <w:tab w:leader="none" w:pos="412"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Combined statutory capital equals the sum of statutory capital of Essent Guaranty, Inc. plus Essent Guaranty of PA, Inc., after eliminating the impact of intercompany transactions.</w:t>
      </w:r>
    </w:p>
    <w:p>
      <w:pPr>
        <w:spacing w:after="0" w:line="170" w:lineRule="exact"/>
        <w:rPr>
          <w:rFonts w:ascii="Arial" w:cs="Arial" w:eastAsia="Arial" w:hAnsi="Arial"/>
          <w:sz w:val="18"/>
          <w:szCs w:val="18"/>
          <w:color w:val="auto"/>
        </w:rPr>
      </w:pPr>
    </w:p>
    <w:p>
      <w:pPr>
        <w:ind w:left="412" w:right="560" w:hanging="412"/>
        <w:spacing w:after="0" w:line="277" w:lineRule="auto"/>
        <w:tabs>
          <w:tab w:leader="none" w:pos="412"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Combined risk-to-capital ratio equals the sum of net risk in force of Essent Guaranty, Inc. and Essent Guaranty of PA, Inc. divided by combined statutory capital.</w:t>
      </w:r>
    </w:p>
    <w:p>
      <w:pPr>
        <w:spacing w:after="0" w:line="170" w:lineRule="exact"/>
        <w:rPr>
          <w:rFonts w:ascii="Arial" w:cs="Arial" w:eastAsia="Arial" w:hAnsi="Arial"/>
          <w:sz w:val="18"/>
          <w:szCs w:val="18"/>
          <w:color w:val="auto"/>
        </w:rPr>
      </w:pPr>
    </w:p>
    <w:p>
      <w:pPr>
        <w:ind w:left="412" w:hanging="412"/>
        <w:spacing w:after="0"/>
        <w:tabs>
          <w:tab w:leader="none" w:pos="412" w:val="left"/>
        </w:tabs>
        <w:numPr>
          <w:ilvl w:val="0"/>
          <w:numId w:val="35"/>
        </w:numPr>
        <w:rPr>
          <w:rFonts w:ascii="Arial" w:cs="Arial" w:eastAsia="Arial" w:hAnsi="Arial"/>
          <w:sz w:val="16"/>
          <w:szCs w:val="16"/>
          <w:color w:val="auto"/>
        </w:rPr>
      </w:pPr>
      <w:r>
        <w:rPr>
          <w:rFonts w:ascii="Arial" w:cs="Arial" w:eastAsia="Arial" w:hAnsi="Arial"/>
          <w:sz w:val="16"/>
          <w:szCs w:val="16"/>
          <w:color w:val="auto"/>
        </w:rPr>
        <w:t>Net risk in force represents total risk in force, net of reinsurance ceded and net of exposures on policies for which loss reserves have been established.</w:t>
      </w:r>
    </w:p>
    <w:p>
      <w:pPr>
        <w:spacing w:after="0" w:line="275" w:lineRule="exact"/>
        <w:rPr>
          <w:rFonts w:ascii="Arial" w:cs="Arial" w:eastAsia="Arial" w:hAnsi="Arial"/>
          <w:sz w:val="16"/>
          <w:szCs w:val="16"/>
          <w:color w:val="auto"/>
        </w:rPr>
      </w:pPr>
    </w:p>
    <w:p>
      <w:pPr>
        <w:ind w:left="5612"/>
        <w:spacing w:after="0"/>
        <w:rPr>
          <w:rFonts w:ascii="Arial" w:cs="Arial" w:eastAsia="Arial" w:hAnsi="Arial"/>
          <w:sz w:val="16"/>
          <w:szCs w:val="16"/>
          <w:color w:val="auto"/>
        </w:rPr>
      </w:pPr>
      <w:r>
        <w:rPr>
          <w:rFonts w:ascii="Arial" w:cs="Arial" w:eastAsia="Arial" w:hAnsi="Arial"/>
          <w:sz w:val="18"/>
          <w:szCs w:val="18"/>
          <w:color w:val="auto"/>
        </w:rPr>
        <w:t>56</w:t>
      </w:r>
    </w:p>
    <w:p>
      <w:pPr>
        <w:sectPr>
          <w:pgSz w:w="11900" w:h="16838" w:orient="portrait"/>
          <w:cols w:equalWidth="0" w:num="1">
            <w:col w:w="11332"/>
          </w:cols>
          <w:pgMar w:left="248" w:top="611" w:right="319" w:bottom="1440" w:gutter="0" w:footer="0" w:header="0"/>
        </w:sectPr>
      </w:pPr>
    </w:p>
    <w:bookmarkStart w:id="61" w:name="page62"/>
    <w:bookmarkEnd w:id="61"/>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60" w:firstLine="360"/>
        <w:spacing w:after="0" w:line="293" w:lineRule="auto"/>
        <w:rPr>
          <w:sz w:val="20"/>
          <w:szCs w:val="20"/>
          <w:color w:val="auto"/>
        </w:rPr>
      </w:pPr>
      <w:r>
        <w:rPr>
          <w:rFonts w:ascii="Arial" w:cs="Arial" w:eastAsia="Arial" w:hAnsi="Arial"/>
          <w:sz w:val="16"/>
          <w:szCs w:val="16"/>
          <w:i w:val="1"/>
          <w:iCs w:val="1"/>
          <w:color w:val="auto"/>
        </w:rPr>
        <w:t>The following discussion should be read in conjunction with the "Selected Financial Data" and our financial statements and related notes thereto included elsewhere in this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and "Risk Factors."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65"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i w:val="1"/>
          <w:iCs w:val="1"/>
          <w:color w:val="auto"/>
        </w:rPr>
        <w:t>Except as otherwise indicated, “Market Share” means our market share as measured by our share of total new insurance written (“NIW”) on a flow basis (in which loans are insured in individual, loan-by-loan transactions) in the U.S. private mortgage insurance industry, and excludes both NIW under the Home Affordable Refinance Program (“HARP” and such NIW, the “HARP NIW”) and bulk insurance (in which each loan in a portfolio of loans is insured in a single transaction).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We are an established and growing private mortgage insurance company. We were formed to serve the U.S. housing finance industry at a time when the demands of the financial crisis and a rapidly changing business environment created the need for a new, privately funded mortgage insurance company. We had an estimated 12.9% Market Share for the year ended December 31, 2016. We believe that our success in acquiring customers and growing our insurance in force has been driven by the unique opportunity we offer lenders to partner with a well-capitalized mortgage insurer, unencumbered by business originated prior to the financial crisis, that provides fair and transparent claims payment practices, and consistency and speed of service.</w:t>
      </w:r>
    </w:p>
    <w:p>
      <w:pPr>
        <w:spacing w:after="0" w:line="158"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2010, Essent became the first private mortgage insurer to be approved by the GSEs since 1995, and we are licensed to write coverage in all 50 states and the District of Columbia. We completed our initial public offering ("IPO") in November 2013. The financial strength of Essent Guaranty, Inc., our wholly-owned insurance subsidiary, is rated Baa2 with a stable outlook by Moody's Investors Service ("Moody's") and BBB+ with a stable outlook by S&amp;P Global Ratings ("S&amp;P").</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had master policy relationships with approximately 1,360 customers as of December 31, 2016. Our holding company is domiciled in Bermuda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our U.S. insurance business is headquartered in Radnor, Pennsylvania. We operate additional underwriting and service centers in Winston-Salem, North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Carolina and Irvine, California. We have a highly experienced, talented team with 376 employees as of December 31, 2016. For the years ended</w:t>
      </w:r>
    </w:p>
    <w:p>
      <w:pPr>
        <w:spacing w:after="0" w:line="2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December 31, 2016, 2015 and 2014, we generated NIW of approximately $34.9 billion (including approximately $0.1 billion in NIW written on a bulk basis), $26.2 billion (including approximately $0.3 billion in NIW written on a bulk basis) and $24.8 billion (including approximately $1.8 billion in NIW written on a bulk basis), respectively. As of December 31, 2016, we had approximately $83.3 billion of insurance in force.</w:t>
      </w:r>
    </w:p>
    <w:p>
      <w:pPr>
        <w:spacing w:after="0" w:line="190" w:lineRule="exact"/>
        <w:rPr>
          <w:sz w:val="20"/>
          <w:szCs w:val="20"/>
          <w:color w:val="auto"/>
        </w:rPr>
      </w:pPr>
    </w:p>
    <w:p>
      <w:pPr>
        <w:ind w:right="260" w:firstLine="432"/>
        <w:spacing w:after="0" w:line="255" w:lineRule="auto"/>
        <w:rPr>
          <w:sz w:val="20"/>
          <w:szCs w:val="20"/>
          <w:color w:val="auto"/>
        </w:rPr>
      </w:pPr>
      <w:r>
        <w:rPr>
          <w:rFonts w:ascii="Arial" w:cs="Arial" w:eastAsia="Arial" w:hAnsi="Arial"/>
          <w:sz w:val="18"/>
          <w:szCs w:val="18"/>
          <w:color w:val="auto"/>
        </w:rPr>
        <w:t>We also offer mortgage-related insurance and reinsurance through our wholly-owned Bermuda-based subsidiary, Essent Reinsurance Ltd., which we refer to as "Essent Re." As of December 31, 2016, Essent Re provided insurance or reinsurance relating to the risk in force on loans in reference pools acquired by Freddie Mac and Fannie Mae covering approximately $384.1 million of risk, including in connection with Freddie Mac's Agency Credit Insurance Structure ("ACIS") and Fannie Mae's Credit Insurance Risk Transfer ("CIRT") programs. Essent Re has also reinsured 25% of Essent Guaranty, Inc.'s GSE-eligible mortgage insurance NIW originated since July 1, 2014 under a quota share reinsurance agreement. In 2016, S&amp;P assigned a financial strength rating of BBB+ with a stable outlook to Essent 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Developments</w:t>
      </w:r>
    </w:p>
    <w:p>
      <w:pPr>
        <w:spacing w:after="0" w:line="229"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Our results are significantly impacted by, and our future success may be affected by, legislative and regulatory developments affecting the housing finance industry. Key regulatory and legislative developments that may affect us include: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Housing Finance, GSE Reform and GSE Qualified Mortgage Insurer Requirements</w:t>
      </w:r>
    </w:p>
    <w:p>
      <w:pPr>
        <w:spacing w:after="0" w:line="225" w:lineRule="exact"/>
        <w:rPr>
          <w:sz w:val="20"/>
          <w:szCs w:val="20"/>
          <w:color w:val="auto"/>
        </w:rPr>
      </w:pPr>
    </w:p>
    <w:p>
      <w:pPr>
        <w:jc w:val="both"/>
        <w:ind w:right="460" w:firstLine="432"/>
        <w:spacing w:after="0" w:line="264" w:lineRule="auto"/>
        <w:rPr>
          <w:sz w:val="20"/>
          <w:szCs w:val="20"/>
          <w:color w:val="auto"/>
        </w:rPr>
      </w:pPr>
      <w:r>
        <w:rPr>
          <w:rFonts w:ascii="Arial" w:cs="Arial" w:eastAsia="Arial" w:hAnsi="Arial"/>
          <w:sz w:val="18"/>
          <w:szCs w:val="18"/>
          <w:color w:val="auto"/>
        </w:rPr>
        <w:t>Because an overwhelming majority of our current and expected future business is the provision of mortgage insurance on loans sold to the GSEs, changes to the business practices of the GSEs or any regulation relating to the GSEs may impact our business and our results of operations. The Federal Housing Finance Agency ("FHFA") is the regulator and conservator of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580" w:right="259" w:bottom="1440" w:gutter="0" w:footer="0" w:header="0"/>
        </w:sectPr>
      </w:pPr>
    </w:p>
    <w:bookmarkStart w:id="62" w:name="page63"/>
    <w:bookmarkEnd w:id="62"/>
    <w:p>
      <w:pPr>
        <w:ind w:right="20"/>
        <w:spacing w:after="0" w:line="277" w:lineRule="auto"/>
        <w:rPr>
          <w:sz w:val="20"/>
          <w:szCs w:val="20"/>
          <w:color w:val="auto"/>
        </w:rPr>
      </w:pPr>
      <w:r>
        <w:rPr>
          <w:rFonts w:ascii="Arial" w:cs="Arial" w:eastAsia="Arial" w:hAnsi="Arial"/>
          <w:sz w:val="18"/>
          <w:szCs w:val="18"/>
          <w:color w:val="auto"/>
        </w:rPr>
        <w:t>GSEs with authority to control and direct their operations. The FHFA has directed, and is likely to continue to direct, changes to the business operations of the GSEs in ways that affect the mortgage insurance industry.</w:t>
      </w:r>
    </w:p>
    <w:p>
      <w:pPr>
        <w:spacing w:after="0" w:line="170"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It is likely that Federal legislation will be necessary to resolve the conservatorship of the GSEs, and such legislation could materially affect the role and charter of the GSEs and the operation of the housing finance system. In 2011, the U.S. Department of the Treasury recommended options for winding down the GSEs and using a combination of Federal housing policy changes to contract the government's footprint in housing finance and restore a larger role for private capital. Since 2011, members of Congress have introduced several bills intended to reform the secondary market and the role of the GSEs, although no comprehensive housing finance or GSE reform legislation has been enacted to date. See "Business—Regulation—Federal Mortgage-Related Laws and Regulations—Housing Finance Reform," "Risk Factors—Risks Relating to Our Business—</w:t>
      </w:r>
      <w:r>
        <w:rPr>
          <w:rFonts w:ascii="Arial" w:cs="Arial" w:eastAsia="Arial" w:hAnsi="Arial"/>
          <w:sz w:val="16"/>
          <w:szCs w:val="16"/>
          <w:i w:val="1"/>
          <w:iCs w:val="1"/>
          <w:color w:val="auto"/>
        </w:rPr>
        <w:t>Legislative or regulatory actions or decisions to change the role</w:t>
      </w:r>
      <w:r>
        <w:rPr>
          <w:rFonts w:ascii="Arial" w:cs="Arial" w:eastAsia="Arial" w:hAnsi="Arial"/>
          <w:sz w:val="16"/>
          <w:szCs w:val="16"/>
          <w:color w:val="auto"/>
        </w:rPr>
        <w:t xml:space="preserve"> </w:t>
      </w:r>
      <w:r>
        <w:rPr>
          <w:rFonts w:ascii="Arial" w:cs="Arial" w:eastAsia="Arial" w:hAnsi="Arial"/>
          <w:sz w:val="16"/>
          <w:szCs w:val="16"/>
          <w:i w:val="1"/>
          <w:iCs w:val="1"/>
          <w:color w:val="auto"/>
        </w:rPr>
        <w:t>of the GSEs in the U.S. housing market generally, or changes to the charters of the GSEs with regard to the use of credit enhancements generally and private mortgage insurance specifically, could reduce our revenues or adversely affect our profitability and returns,</w:t>
      </w:r>
      <w:r>
        <w:rPr>
          <w:rFonts w:ascii="Arial" w:cs="Arial" w:eastAsia="Arial" w:hAnsi="Arial"/>
          <w:sz w:val="16"/>
          <w:szCs w:val="16"/>
          <w:color w:val="auto"/>
        </w:rPr>
        <w:t>" and "—</w:t>
      </w:r>
      <w:r>
        <w:rPr>
          <w:rFonts w:ascii="Arial" w:cs="Arial" w:eastAsia="Arial" w:hAnsi="Arial"/>
          <w:sz w:val="16"/>
          <w:szCs w:val="16"/>
          <w:i w:val="1"/>
          <w:iCs w:val="1"/>
          <w:color w:val="auto"/>
        </w:rPr>
        <w:t>Changes in the business practices of the GSEs, including actions or decisions to decrease or discontinue the use of mortgage insurance or changes in the GSEs' eligibility requirements for mortgage insurers, could reduce our revenues or adversely affect our profitability and returns.</w:t>
      </w:r>
      <w:r>
        <w:rPr>
          <w:rFonts w:ascii="Arial" w:cs="Arial" w:eastAsia="Arial" w:hAnsi="Arial"/>
          <w:sz w:val="16"/>
          <w:szCs w:val="16"/>
          <w:color w:val="auto"/>
        </w:rPr>
        <w:t>"</w:t>
      </w:r>
    </w:p>
    <w:p>
      <w:pPr>
        <w:spacing w:after="0" w:line="169"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As of December 31, 2016, Essent Guaranty, Inc., our GSE-approved mortgage insurance company, was in compliance with the PMIERs.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Dodd-Frank Act</w:t>
      </w:r>
    </w:p>
    <w:p>
      <w:pPr>
        <w:spacing w:after="0" w:line="22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Various regulatory agencies have produced, and are now in the process of developing additional, new rules under the Dodd-Frank Act that are expected to have a significant impact on the housing finance industry, including the Qualified Mortgage, or QM, definition and the risk retention requirement and related Qualified Residential Mortgage, or QRM, definition.</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QM Definition</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Under the Dodd-Frank Act, the Consumer Financial Protection Bureau ("CFPB") is authorized to issue regulations governing a loan originator's determination that, at the time a loan is originated, the consumer has a reasonable ability to repay the loan. The Dodd-Frank Act provides a statutory presumption that a borrower will have the ability to repay a loan if the loan has characteristics satisfying the QM definition. On January 10, 2014, the CFPB implemented a final rule regarding QMs, which we refer to as the "QM Rule." Under the QM Rule, a loan is deemed to be a QM if it has certain loan features, satisfies extensive documentation requirements and meets limitations on fees and points and APRs. The QM Rule provides a "safe harbor" for QM loans with annual percentage rates, or APRs, below the threshold of 150 basis points over the Average Prime Offer Rate, or APOR, and a "rebuttable presumption" for QM loans with an APR above that threshold.</w:t>
      </w:r>
    </w:p>
    <w:p>
      <w:pPr>
        <w:spacing w:after="0" w:line="189"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expect that most lenders will be reluctant to make non-QM loans because they will not be entitled to the presumption against civil liability under the Dodd-Frank Act, and mortgage investors may be reluctant to purchase mortgages or mortgage-backed securities that are not QMs due to potential assignee liability for such loans. As a result, we believe that the QM regulations have a direct impact on establishing a subset of borrowers who can meet the regulatory standards and directly affect the willingness of lenders and mortgage investors to extend mortgage credit and therefore the size of the residential mortgage market. To the extent the use of private mortgage insurance causes a loan not to meet the definition of a QM, the volume of loans originated with mortgage insurance may decline. In addition, the impact of the mortgage insurance premiums on the calculation of points and fees for purposes of QM may influence the use of mortgage insurance, as well as our mix of premium plans and therefore our profitability. See "—Factors Affecting Our Results of Operations— Persistency and Business Mix" and "Risk Factors—Risks Relating to Our Business—</w:t>
      </w:r>
      <w:r>
        <w:rPr>
          <w:rFonts w:ascii="Arial" w:cs="Arial" w:eastAsia="Arial" w:hAnsi="Arial"/>
          <w:sz w:val="16"/>
          <w:szCs w:val="16"/>
          <w:i w:val="1"/>
          <w:iCs w:val="1"/>
          <w:color w:val="auto"/>
        </w:rPr>
        <w:t>Our business prospects and operating results could be adversely</w:t>
      </w:r>
      <w:r>
        <w:rPr>
          <w:rFonts w:ascii="Arial" w:cs="Arial" w:eastAsia="Arial" w:hAnsi="Arial"/>
          <w:sz w:val="16"/>
          <w:szCs w:val="16"/>
          <w:color w:val="auto"/>
        </w:rPr>
        <w:t xml:space="preserve"> </w:t>
      </w:r>
      <w:r>
        <w:rPr>
          <w:rFonts w:ascii="Arial" w:cs="Arial" w:eastAsia="Arial" w:hAnsi="Arial"/>
          <w:sz w:val="16"/>
          <w:szCs w:val="16"/>
          <w:i w:val="1"/>
          <w:iCs w:val="1"/>
          <w:color w:val="auto"/>
        </w:rPr>
        <w:t>impacted if, and to the extent that, the Consumer Financial Protection Bureau's ("CFPB") final rule defining a qualified mortgage ("QM") reduces the size of the origination market or creates incentives to use government mortgage insurance programs."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84" w:right="239" w:bottom="1440" w:gutter="0" w:footer="0" w:header="0"/>
        </w:sectPr>
      </w:pPr>
    </w:p>
    <w:bookmarkStart w:id="63" w:name="page64"/>
    <w:bookmarkEnd w:id="63"/>
    <w:p>
      <w:pPr>
        <w:ind w:left="420"/>
        <w:spacing w:after="0"/>
        <w:rPr>
          <w:sz w:val="20"/>
          <w:szCs w:val="20"/>
          <w:color w:val="auto"/>
        </w:rPr>
      </w:pPr>
      <w:r>
        <w:rPr>
          <w:rFonts w:ascii="Arial" w:cs="Arial" w:eastAsia="Arial" w:hAnsi="Arial"/>
          <w:sz w:val="18"/>
          <w:szCs w:val="18"/>
          <w:i w:val="1"/>
          <w:iCs w:val="1"/>
          <w:color w:val="auto"/>
        </w:rPr>
        <w:t>Risk Retention Requirements and QRM Definition</w:t>
      </w:r>
    </w:p>
    <w:p>
      <w:pPr>
        <w:spacing w:after="0" w:line="225"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The Dodd-Frank Act provides for an originator or issuer risk retention requirement on securitized mortgage loans that do not meet the definition of a QRM. The QRM regulations, which became effective on December 24, 2015, align the definition of a QRM loan with that of a QM loan. Given the alignment of the QRM definition to QM, unless the QRM or QM definitions are revised we expect little or no adverse impact to our current business from the final QRM standards. If, however, the QRM definition is changed (or the QM definition is amended) in a manner that is unfavorable to us, such as to give no consideration to mortgage insurance in computing LTV or to require a large down payment for a loan to qualify as a QRM, the attractiveness of originating and securitizing loans with lower down payments may be reduced, which may adversely affect the future demand for mortgage insurance. See "Business— Regulation—Federal Mortgage-Related Laws and Regulation—Dodd-Frank Act—Qualified Residential Mortgage Regulations—Risk Retention Requirements" and "Risk Factors—Risks Relating to Our Business—</w:t>
      </w:r>
      <w:r>
        <w:rPr>
          <w:rFonts w:ascii="Arial" w:cs="Arial" w:eastAsia="Arial" w:hAnsi="Arial"/>
          <w:sz w:val="17"/>
          <w:szCs w:val="17"/>
          <w:i w:val="1"/>
          <w:iCs w:val="1"/>
          <w:color w:val="auto"/>
        </w:rPr>
        <w:t>The amount of insurance we write could be adversely affected by the implementation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the Dodd-Frank Act's risk retention requirements and the definition of Qualified Residential Mortgage ("QRM")</w:t>
      </w:r>
      <w:r>
        <w:rPr>
          <w:rFonts w:ascii="Arial" w:cs="Arial" w:eastAsia="Arial" w:hAnsi="Arial"/>
          <w:sz w:val="17"/>
          <w:szCs w:val="17"/>
          <w:color w:val="auto"/>
        </w:rPr>
        <w:t>."</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FHA Reform</w:t>
      </w:r>
    </w:p>
    <w:p>
      <w:pPr>
        <w:spacing w:after="0" w:line="225"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We compete with the single-family mortgage insurance programs of the FHA, which is part of the Department of Housing and Urban Development. The most recent FHA report to Congress dated November 15, 2016 on the financial status of the FHA's Mutual Mortgage Insurance Fund, or MMIF, showed the capital reserve ratio of the MMIF at 2.32%, above the Congressionally mandated required minimum level of 2%. As a result of the financial improvements in the condition of the MMIF over the past few years and the stated desire to support the housing recovery, the FHA reduced its mortgage insurance premiums by 50 basis points in January 2015. See "Risk Factors—Risks Relating to Our Business—</w:t>
      </w:r>
      <w:r>
        <w:rPr>
          <w:rFonts w:ascii="Arial" w:cs="Arial" w:eastAsia="Arial" w:hAnsi="Arial"/>
          <w:sz w:val="17"/>
          <w:szCs w:val="17"/>
          <w:i w:val="1"/>
          <w:iCs w:val="1"/>
          <w:color w:val="auto"/>
        </w:rPr>
        <w:t>The amount of insurance we may be able to</w:t>
      </w:r>
      <w:r>
        <w:rPr>
          <w:rFonts w:ascii="Arial" w:cs="Arial" w:eastAsia="Arial" w:hAnsi="Arial"/>
          <w:sz w:val="17"/>
          <w:szCs w:val="17"/>
          <w:color w:val="auto"/>
        </w:rPr>
        <w:t xml:space="preserve"> </w:t>
      </w:r>
      <w:r>
        <w:rPr>
          <w:rFonts w:ascii="Arial" w:cs="Arial" w:eastAsia="Arial" w:hAnsi="Arial"/>
          <w:sz w:val="17"/>
          <w:szCs w:val="17"/>
          <w:i w:val="1"/>
          <w:iCs w:val="1"/>
          <w:color w:val="auto"/>
        </w:rPr>
        <w:t>write could be adversely affected if lenders and investors select alternatives to private mortgage insurance.</w:t>
      </w:r>
      <w:r>
        <w:rPr>
          <w:rFonts w:ascii="Arial" w:cs="Arial" w:eastAsia="Arial" w:hAnsi="Arial"/>
          <w:sz w:val="17"/>
          <w:szCs w:val="17"/>
          <w:color w:val="auto"/>
        </w:rPr>
        <w:t>"</w:t>
      </w:r>
    </w:p>
    <w:p>
      <w:pPr>
        <w:spacing w:after="0" w:line="174" w:lineRule="exact"/>
        <w:rPr>
          <w:sz w:val="20"/>
          <w:szCs w:val="20"/>
          <w:color w:val="auto"/>
        </w:rPr>
      </w:pPr>
    </w:p>
    <w:p>
      <w:pPr>
        <w:jc w:val="center"/>
        <w:ind w:right="8000"/>
        <w:spacing w:after="0"/>
        <w:rPr>
          <w:sz w:val="20"/>
          <w:szCs w:val="20"/>
          <w:color w:val="auto"/>
        </w:rPr>
      </w:pPr>
      <w:r>
        <w:rPr>
          <w:rFonts w:ascii="Arial" w:cs="Arial" w:eastAsia="Arial" w:hAnsi="Arial"/>
          <w:sz w:val="16"/>
          <w:szCs w:val="16"/>
          <w:b w:val="1"/>
          <w:bCs w:val="1"/>
          <w:color w:val="auto"/>
        </w:rPr>
        <w:t>Factors Affecting Our Results of Operations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Premiums associated with our U.S. mortgage insurance business are based on insurance in force, or IIF, during all or a portion of a period. A change in the average IIF during a period causes premiums to increase or decrease as compared to prior periods. Average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spacing w:after="0" w:line="154" w:lineRule="exact"/>
        <w:rPr>
          <w:sz w:val="20"/>
          <w:szCs w:val="20"/>
          <w:color w:val="auto"/>
        </w:rPr>
      </w:pPr>
    </w:p>
    <w:p>
      <w:pPr>
        <w:ind w:left="660" w:right="320" w:hanging="247"/>
        <w:spacing w:after="0" w:line="342"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NIW, which is the aggregate principal amount of the new mortgages that are insured during a period. Many factors affect NIW, including, among others, the volume of low down payment home mortgage originations and the competition to provide credit enhancement on those mortgages;</w:t>
      </w:r>
    </w:p>
    <w:p>
      <w:pPr>
        <w:spacing w:after="0" w:line="123" w:lineRule="exact"/>
        <w:rPr>
          <w:rFonts w:ascii="Arial" w:cs="Arial" w:eastAsia="Arial" w:hAnsi="Arial"/>
          <w:sz w:val="16"/>
          <w:szCs w:val="16"/>
          <w:color w:val="auto"/>
        </w:rPr>
      </w:pPr>
    </w:p>
    <w:p>
      <w:pPr>
        <w:ind w:left="660" w:right="160" w:hanging="247"/>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spacing w:after="0" w:line="146" w:lineRule="exact"/>
        <w:rPr>
          <w:rFonts w:ascii="Arial" w:cs="Arial" w:eastAsia="Arial" w:hAnsi="Arial"/>
          <w:sz w:val="17"/>
          <w:szCs w:val="17"/>
          <w:color w:val="auto"/>
        </w:rPr>
      </w:pPr>
    </w:p>
    <w:p>
      <w:pPr>
        <w:ind w:left="660" w:right="400" w:hanging="247"/>
        <w:spacing w:after="0" w:line="342"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123" w:lineRule="exact"/>
        <w:rPr>
          <w:rFonts w:ascii="Arial" w:cs="Arial" w:eastAsia="Arial" w:hAnsi="Arial"/>
          <w:sz w:val="16"/>
          <w:szCs w:val="16"/>
          <w:color w:val="auto"/>
        </w:rPr>
      </w:pPr>
    </w:p>
    <w:p>
      <w:pPr>
        <w:ind w:left="660" w:hanging="247"/>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Premiums ceded or assumed under reinsurance arrangements. To date, we have not ceded any premiums under third-party reinsurance contracts.</w:t>
      </w:r>
    </w:p>
    <w:p>
      <w:pPr>
        <w:spacing w:after="0" w:line="248" w:lineRule="exact"/>
        <w:rPr>
          <w:sz w:val="20"/>
          <w:szCs w:val="20"/>
          <w:color w:val="auto"/>
        </w:rPr>
      </w:pPr>
    </w:p>
    <w:p>
      <w:pPr>
        <w:jc w:val="both"/>
        <w:ind w:right="360" w:firstLine="432"/>
        <w:spacing w:after="0" w:line="256" w:lineRule="auto"/>
        <w:rPr>
          <w:sz w:val="20"/>
          <w:szCs w:val="20"/>
          <w:color w:val="auto"/>
        </w:rPr>
      </w:pPr>
      <w:r>
        <w:rPr>
          <w:rFonts w:ascii="Arial" w:cs="Arial" w:eastAsia="Arial" w:hAnsi="Arial"/>
          <w:sz w:val="18"/>
          <w:szCs w:val="18"/>
          <w:color w:val="auto"/>
        </w:rPr>
        <w:t>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Monthly premium payments are based on the</w:t>
      </w:r>
    </w:p>
    <w:p>
      <w:pPr>
        <w:jc w:val="both"/>
        <w:spacing w:after="0" w:line="290" w:lineRule="auto"/>
        <w:rPr>
          <w:sz w:val="20"/>
          <w:szCs w:val="20"/>
          <w:color w:val="auto"/>
        </w:rPr>
      </w:pPr>
      <w:r>
        <w:rPr>
          <w:rFonts w:ascii="Arial" w:cs="Arial" w:eastAsia="Arial" w:hAnsi="Arial"/>
          <w:sz w:val="16"/>
          <w:szCs w:val="16"/>
          <w:color w:val="auto"/>
        </w:rPr>
        <w:t>original mortgage amount rather than the amortized loan balance.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December 31, 2016 were non-refundable. Premiums collected on annual policies are recognized as net premiums earned on a straight-line basis over the year of coverage.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84"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For the year ended December 31, 2016, monthly and single premium policies comprised 82.8% and 17.2% of our NIW, respectively.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Premiums associated with our GSE risk share transactions are based on the level of risk in force.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Persistency and Business Mix</w:t>
      </w:r>
    </w:p>
    <w:p>
      <w:pPr>
        <w:spacing w:after="0" w:line="22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portfolio was 77.7% at December 31, 2016. Generally, higher prepayment speeds lead to lower persistency.</w:t>
      </w:r>
    </w:p>
    <w:p>
      <w:pPr>
        <w:spacing w:after="0" w:line="181"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Our investment portfolio was predominantly comprised of investment-grade fixed income securities and money market funds as of December 31, 2016. The principal factors that influence investment income are the size of the investment 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"other-than-temporary" impairments recognized in earnings. The amount received on the sale of fixed income securities is affected by the coupon rate of the security compared to the yield of comparable securities at the time of sale.</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fee which is recorded in other income. This fee is adjusted monthly based on the number of Triad’s mortgage insurance policies in force and, accordingly, will decrease over time as Triad’s existing policies are cancelled. The services agreement was automatically extended until November 30, 2017 and provides for two subsequent one-year renewals at Triad’s option. See Note 5 to our consolidated financial statements.</w:t>
      </w:r>
    </w:p>
    <w:p>
      <w:pPr>
        <w:spacing w:after="0" w:line="193"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Other income also includes revenues associated with contract underwriting services and changes in the fair value of derivative instruments. The level of contract underwriting revenue is dependent upon the number of customers who have engaged us for this service and the number of loans underwritten for these customers. Through June 30, 2016, the insurance and certain of the reinsurance policies issued by Essent Re in connection with the ACIS program were previously accounted for as derivatives under U.S. generally accepted accounting principles ("GAAP") with the fair value of these policies reported as an asset or liability and changes in the fair value of these policies reported in earnings. Changes in the fair value of these policies were impacted by changes in market observable factors. In the quarter ended September 30, 2016, these policies were amended and are now accounted for as insurance rather than as derivatives. See Note 16 to our consolidated financial statements.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The provision for losses and loss adjustment expenses reflects the current expense that is recorded within a particular period to reflect actual and estimated loss payments that we believe will ultimately be made as a result of insured loans that are in default.</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584" w:right="259" w:bottom="1440" w:gutter="0" w:footer="0" w:header="0"/>
        </w:sectPr>
      </w:pPr>
    </w:p>
    <w:bookmarkStart w:id="65" w:name="page66"/>
    <w:bookmarkEnd w:id="65"/>
    <w:p>
      <w:pPr>
        <w:ind w:left="440"/>
        <w:spacing w:after="0"/>
        <w:rPr>
          <w:sz w:val="20"/>
          <w:szCs w:val="20"/>
          <w:color w:val="auto"/>
        </w:rPr>
      </w:pPr>
      <w:r>
        <w:rPr>
          <w:rFonts w:ascii="Arial" w:cs="Arial" w:eastAsia="Arial" w:hAnsi="Arial"/>
          <w:sz w:val="18"/>
          <w:szCs w:val="18"/>
          <w:color w:val="auto"/>
        </w:rPr>
        <w:t>Losses incurred are generally affected by:</w:t>
      </w:r>
    </w:p>
    <w:p>
      <w:pPr>
        <w:spacing w:after="0" w:line="225" w:lineRule="exact"/>
        <w:rPr>
          <w:sz w:val="20"/>
          <w:szCs w:val="20"/>
          <w:color w:val="auto"/>
        </w:rPr>
      </w:pPr>
    </w:p>
    <w:p>
      <w:pPr>
        <w:ind w:left="660" w:right="400" w:hanging="247"/>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overall state of the economy, which broadly affects the likelihood that borrowers may default on their loans and have the ability to cure such defaults;</w:t>
      </w:r>
    </w:p>
    <w:p>
      <w:pPr>
        <w:spacing w:after="0" w:line="170" w:lineRule="exact"/>
        <w:rPr>
          <w:rFonts w:ascii="Arial" w:cs="Arial" w:eastAsia="Arial" w:hAnsi="Arial"/>
          <w:sz w:val="18"/>
          <w:szCs w:val="18"/>
          <w:color w:val="auto"/>
        </w:rPr>
      </w:pPr>
    </w:p>
    <w:p>
      <w:pPr>
        <w:ind w:left="660" w:right="400" w:hanging="247"/>
        <w:spacing w:after="0" w:line="34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123" w:lineRule="exact"/>
        <w:rPr>
          <w:rFonts w:ascii="Arial" w:cs="Arial" w:eastAsia="Arial" w:hAnsi="Arial"/>
          <w:sz w:val="16"/>
          <w:szCs w:val="16"/>
          <w:color w:val="auto"/>
        </w:rPr>
      </w:pPr>
    </w:p>
    <w:p>
      <w:pPr>
        <w:ind w:left="660" w:hanging="247"/>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product mix of IIF, with loans having higher risk characteristics generally resulting in higher defaults and claims;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size of loans insured, with higher average loan amounts tending to increase losses incurred;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loan-to-value ratio, with higher average loan-to-value ratios tending to increase losses incurred;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percentage of coverage on insured loans, with deeper average coverage tending to increase losses incurred;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credit quality of borrowers, including higher debt-to-income ratios and lower FICO scores, which tend to increase incurred losses;</w:t>
      </w:r>
    </w:p>
    <w:p>
      <w:pPr>
        <w:spacing w:after="0" w:line="225" w:lineRule="exact"/>
        <w:rPr>
          <w:rFonts w:ascii="Arial" w:cs="Arial" w:eastAsia="Arial" w:hAnsi="Arial"/>
          <w:sz w:val="18"/>
          <w:szCs w:val="18"/>
          <w:color w:val="auto"/>
        </w:rPr>
      </w:pPr>
    </w:p>
    <w:p>
      <w:pPr>
        <w:ind w:left="660" w:right="80" w:hanging="247"/>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spacing w:after="0" w:line="181" w:lineRule="exact"/>
        <w:rPr>
          <w:rFonts w:ascii="Arial" w:cs="Arial" w:eastAsia="Arial" w:hAnsi="Arial"/>
          <w:sz w:val="18"/>
          <w:szCs w:val="18"/>
          <w:color w:val="auto"/>
        </w:rPr>
      </w:pPr>
    </w:p>
    <w:p>
      <w:pPr>
        <w:ind w:left="660" w:right="60" w:hanging="247"/>
        <w:spacing w:after="0" w:line="259"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distribution of claims over the life of a book. The average age of our insurance portfolio is young with 83% of our IIF as of December 31, 2016 having been originated since January 1, 2014. As a result, based on historical industry performance, we expect the number of defaults and claims we experience, as well as our provision for losses and loss adjustment expenses, to increase as our portfolio seasons. See "—Mortgage Insurance Earnings and Cash Flow Cycle" below.</w:t>
      </w:r>
    </w:p>
    <w:p>
      <w:pPr>
        <w:spacing w:after="0" w:line="187"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("LAE"), consisting of the estimated cost of the claims administration process, including legal and other fees. Using both internal and external information, we establish our reserves based on the likelihood that a default will reach claim status and estimated claim severity. See "—Critical Accounting Policies" for further information.</w:t>
      </w:r>
    </w:p>
    <w:p>
      <w:pPr>
        <w:spacing w:after="0" w:line="188"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We believe, based upon our experience and industry data, that claims incidence for mortgage insurance is generally highest in the third through sixth years after loan origination. As of December 31, 2016, 83% of our IIF relates to business written since January 1, 2014 and was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Our other underwriting and operating expenses include components that are substantially fixed, as well as expenses that generally increase or decrease in line with the level of NIW.</w:t>
      </w:r>
    </w:p>
    <w:p>
      <w:pPr>
        <w:spacing w:after="0" w:line="170"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Our most significant expense is compensation and benefits for our employees, which represented 64%, 64% and 66% of other underwriting and operating expenses for the years ended December 31, 2016, 2015 and 2014, respectively. Compensation and benefits expense includes base and incentive cash compensation, stock compensation expense, benefits and payroll taxes. Compensation and benefits expense has steadily increased as we have increased our staffing from 289 employees at January 1, 2014 to 376 at December 31, 2016, primarily in our business development and operations functions to support the growth of our business. The growth in our sales organization contributed to the growth of our active customers and NIW. We also expanded our underwriting and customer service teams to support this new business.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84" w:right="239" w:bottom="1440" w:gutter="0" w:footer="0" w:header="0"/>
        </w:sectPr>
      </w:pPr>
    </w:p>
    <w:bookmarkStart w:id="66" w:name="page67"/>
    <w:bookmarkEnd w:id="66"/>
    <w:p>
      <w:pPr>
        <w:jc w:val="both"/>
        <w:ind w:right="40" w:firstLine="432"/>
        <w:spacing w:after="0" w:line="279" w:lineRule="auto"/>
        <w:rPr>
          <w:sz w:val="20"/>
          <w:szCs w:val="20"/>
          <w:color w:val="auto"/>
        </w:rPr>
      </w:pPr>
      <w:r>
        <w:rPr>
          <w:rFonts w:ascii="Arial" w:cs="Arial" w:eastAsia="Arial" w:hAnsi="Arial"/>
          <w:sz w:val="17"/>
          <w:szCs w:val="17"/>
          <w:color w:val="auto"/>
        </w:rPr>
        <w:t>Underwriting and other expenses include legal, consulting, other professional fees, premium taxes, travel, entertainment, marketing, licensing, supplies, hardware, software, rent, utilities, depreciation and amortization and other expenses. We anticipate that as we continue to add customers and increase our IIF, our expenses will also continue to increase. In addition, as a result of the increase in our IIF, we expect that our net premiums earned will grow faster than our underwriting and other expenses resulting in a decline in our expense ratio for the full year 2017 as compared to 2016.</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Income taxes are incurred based on the amount of earnings or losses generated in the jurisdictions in which we operate and the applicable tax rates and regulations in those jurisdictions. Through December 31, 2014, substantially all of our business activity had been conducted in the United States where we are subject to corporate level Federal income taxes. Our U.S. insurance subsidiaries are generally not subject to income taxes in the states in which we operate; however, our non-insurance subsidiaries are subject to state income taxes. In lieu of state income taxes, our insurance subsidiaries pay premium taxes that are recorded in other underwriting and operating expenses.</w:t>
      </w:r>
    </w:p>
    <w:p>
      <w:pPr>
        <w:spacing w:after="0" w:line="188" w:lineRule="exact"/>
        <w:rPr>
          <w:sz w:val="20"/>
          <w:szCs w:val="20"/>
          <w:color w:val="auto"/>
        </w:rPr>
      </w:pPr>
    </w:p>
    <w:p>
      <w:pPr>
        <w:jc w:val="both"/>
        <w:ind w:right="140" w:firstLine="432"/>
        <w:spacing w:after="0" w:line="312" w:lineRule="auto"/>
        <w:rPr>
          <w:sz w:val="20"/>
          <w:szCs w:val="20"/>
          <w:color w:val="auto"/>
        </w:rPr>
      </w:pPr>
      <w:r>
        <w:rPr>
          <w:rFonts w:ascii="Arial" w:cs="Arial" w:eastAsia="Arial" w:hAnsi="Arial"/>
          <w:sz w:val="16"/>
          <w:szCs w:val="16"/>
          <w:color w:val="auto"/>
        </w:rPr>
        <w:t>Essent Group Ltd. and its wholly-owned subsidiary, Essent Re, are domiciled in Bermuda, which does not have a corporate income tax. Prior to 2014, these entities incurred expenses and generated limited amounts of investment income. Effective July 2014, Essent Re began to reinsure 25% of GSE-eligible new insurance written of Essent Guaranty, Inc., an affiliate. Essent Re also provides insurance and reinsurance to Freddie Mac and Fannie Mae.</w:t>
      </w:r>
    </w:p>
    <w:p>
      <w:pPr>
        <w:spacing w:after="0" w:line="14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amount of income tax expense or benefit recorded in future periods will be dependent on the jurisdictions in which we operate and the tax laws and regulations in effect.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Mortgage Insurance Earnings and Cash Flow Cycle</w:t>
      </w:r>
    </w:p>
    <w:p>
      <w:pPr>
        <w:spacing w:after="0" w:line="225"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Insurance In Force</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As discussed above, premiums we collect and earn are generated based on our IIF, which is a function of our NIW and cancellations. From 2010, when we first began writing policies, through December 31, 2016, we have increased our NIW annually. We have also grown the number of customers who have approved us to provide mortgage insurance over this period, as well as increased our NIW from certain customers. The following table includes a summary of the change in our IIF for the years ended December 31, 2016, 2015 and 2014 for our U.S. mortgage insurance portfolio. In addition, this table includes our risk in force ("RIF") at the end of each period.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20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2014</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IIF, beginning of period</w:t>
            </w:r>
          </w:p>
        </w:tc>
        <w:tc>
          <w:tcPr>
            <w:tcW w:w="260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65,242,453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50,762,594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32,028,196</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NIW</w:t>
            </w:r>
          </w:p>
        </w:tc>
        <w:tc>
          <w:tcPr>
            <w:tcW w:w="2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34,949,319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26,193,656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24,799,434</w:t>
            </w:r>
          </w:p>
        </w:tc>
      </w:tr>
      <w:tr>
        <w:trPr>
          <w:trHeight w:val="27"/>
        </w:trPr>
        <w:tc>
          <w:tcPr>
            <w:tcW w:w="39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Cancellations</w:t>
            </w:r>
          </w:p>
        </w:tc>
        <w:tc>
          <w:tcPr>
            <w:tcW w:w="2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(16,926,250)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(11,713,797)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(6,065,036)</w:t>
            </w:r>
          </w:p>
        </w:tc>
      </w:tr>
      <w:tr>
        <w:trPr>
          <w:trHeight w:val="297"/>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IIF, end of period</w:t>
            </w:r>
          </w:p>
        </w:tc>
        <w:tc>
          <w:tcPr>
            <w:tcW w:w="2180" w:type="dxa"/>
            <w:vAlign w:val="bottom"/>
            <w:tcBorders>
              <w:bottom w:val="single" w:sz="8" w:color="CCEEFF"/>
            </w:tcBorders>
            <w:gridSpan w:val="2"/>
          </w:tcPr>
          <w:p>
            <w:pPr>
              <w:spacing w:after="0"/>
              <w:rPr>
                <w:sz w:val="24"/>
                <w:szCs w:val="24"/>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83,265,522</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65,242,453</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50,762,594</w:t>
            </w: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IIF during the period</w:t>
            </w:r>
          </w:p>
        </w:tc>
        <w:tc>
          <w:tcPr>
            <w:tcW w:w="260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72,970,600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57,754,846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40,577,996</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RIF, end of period</w:t>
            </w:r>
          </w:p>
        </w:tc>
        <w:tc>
          <w:tcPr>
            <w:tcW w:w="260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20,627,317</w:t>
            </w:r>
          </w:p>
        </w:tc>
        <w:tc>
          <w:tcPr>
            <w:tcW w:w="100" w:type="dxa"/>
            <w:vAlign w:val="bottom"/>
          </w:tcPr>
          <w:p>
            <w:pPr>
              <w:spacing w:after="0"/>
              <w:rPr>
                <w:sz w:val="21"/>
                <w:szCs w:val="21"/>
                <w:color w:val="auto"/>
              </w:rPr>
            </w:pPr>
          </w:p>
        </w:tc>
        <w:tc>
          <w:tcPr>
            <w:tcW w:w="420" w:type="dxa"/>
            <w:vAlign w:val="bottom"/>
          </w:tcPr>
          <w:p>
            <w:pPr>
              <w:jc w:val="right"/>
              <w:ind w:right="214"/>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16,073,174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12,227,270</w:t>
            </w:r>
          </w:p>
        </w:tc>
      </w:tr>
      <w:tr>
        <w:trPr>
          <w:trHeight w:val="702"/>
        </w:trPr>
        <w:tc>
          <w:tcPr>
            <w:tcW w:w="3900" w:type="dxa"/>
            <w:vAlign w:val="bottom"/>
          </w:tcPr>
          <w:p>
            <w:pPr>
              <w:spacing w:after="0"/>
              <w:rPr>
                <w:sz w:val="24"/>
                <w:szCs w:val="24"/>
                <w:color w:val="auto"/>
              </w:rPr>
            </w:pPr>
          </w:p>
        </w:tc>
        <w:tc>
          <w:tcPr>
            <w:tcW w:w="2060" w:type="dxa"/>
            <w:vAlign w:val="bottom"/>
          </w:tcPr>
          <w:p>
            <w:pPr>
              <w:jc w:val="right"/>
              <w:ind w:right="7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67" w:name="page68"/>
    <w:bookmarkEnd w:id="67"/>
    <w:p>
      <w:pPr>
        <w:ind w:left="440"/>
        <w:spacing w:after="0"/>
        <w:rPr>
          <w:sz w:val="20"/>
          <w:szCs w:val="20"/>
          <w:color w:val="auto"/>
        </w:rPr>
      </w:pPr>
      <w:r>
        <w:rPr>
          <w:rFonts w:ascii="Arial" w:cs="Arial" w:eastAsia="Arial" w:hAnsi="Arial"/>
          <w:sz w:val="18"/>
          <w:szCs w:val="18"/>
          <w:color w:val="auto"/>
        </w:rPr>
        <w:t>The following is a summary of our IIF at December 31, 2016 by vintage: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thousands)</w:t>
            </w:r>
          </w:p>
        </w:tc>
        <w:tc>
          <w:tcPr>
            <w:tcW w:w="460" w:type="dxa"/>
            <w:vAlign w:val="bottom"/>
          </w:tcPr>
          <w:p>
            <w:pPr>
              <w:spacing w:after="0"/>
              <w:rPr>
                <w:sz w:val="16"/>
                <w:szCs w:val="16"/>
                <w:color w:val="auto"/>
              </w:rPr>
            </w:pPr>
          </w:p>
        </w:tc>
        <w:tc>
          <w:tcPr>
            <w:tcW w:w="1240" w:type="dxa"/>
            <w:vAlign w:val="bottom"/>
          </w:tcPr>
          <w:p>
            <w:pPr>
              <w:jc w:val="right"/>
              <w:ind w:right="71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780" w:type="dxa"/>
            <w:vAlign w:val="bottom"/>
          </w:tcPr>
          <w:p>
            <w:pPr>
              <w:jc w:val="right"/>
              <w:ind w:right="732"/>
              <w:spacing w:after="0"/>
              <w:rPr>
                <w:sz w:val="20"/>
                <w:szCs w:val="20"/>
                <w:color w:val="auto"/>
              </w:rPr>
            </w:pPr>
            <w:r>
              <w:rPr>
                <w:rFonts w:ascii="Arial" w:cs="Arial" w:eastAsia="Arial" w:hAnsi="Arial"/>
                <w:sz w:val="14"/>
                <w:szCs w:val="14"/>
                <w:b w:val="1"/>
                <w:bCs w:val="1"/>
                <w:color w:val="auto"/>
              </w:rPr>
              <w:t>%</w:t>
            </w:r>
          </w:p>
        </w:tc>
      </w:tr>
      <w:tr>
        <w:trPr>
          <w:trHeight w:val="250"/>
        </w:trPr>
        <w:tc>
          <w:tcPr>
            <w:tcW w:w="77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33,609,553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21,226,878</w:t>
            </w:r>
          </w:p>
        </w:tc>
        <w:tc>
          <w:tcPr>
            <w:tcW w:w="120" w:type="dxa"/>
            <w:vAlign w:val="bottom"/>
          </w:tcPr>
          <w:p>
            <w:pPr>
              <w:spacing w:after="0"/>
              <w:rPr>
                <w:sz w:val="21"/>
                <w:szCs w:val="21"/>
                <w:color w:val="auto"/>
              </w:rPr>
            </w:pPr>
          </w:p>
        </w:tc>
        <w:tc>
          <w:tcPr>
            <w:tcW w:w="1780" w:type="dxa"/>
            <w:vAlign w:val="bottom"/>
          </w:tcPr>
          <w:p>
            <w:pPr>
              <w:jc w:val="right"/>
              <w:ind w:right="92"/>
              <w:spacing w:after="0"/>
              <w:rPr>
                <w:sz w:val="20"/>
                <w:szCs w:val="20"/>
                <w:color w:val="auto"/>
              </w:rPr>
            </w:pPr>
            <w:r>
              <w:rPr>
                <w:rFonts w:ascii="Arial" w:cs="Arial" w:eastAsia="Arial" w:hAnsi="Arial"/>
                <w:sz w:val="18"/>
                <w:szCs w:val="18"/>
                <w:color w:val="auto"/>
              </w:rPr>
              <w:t>25.5</w:t>
            </w:r>
          </w:p>
        </w:tc>
      </w:tr>
      <w:tr>
        <w:trPr>
          <w:trHeight w:val="27"/>
        </w:trPr>
        <w:tc>
          <w:tcPr>
            <w:tcW w:w="7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14,543,735</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17.5</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9,440,086</w:t>
            </w:r>
          </w:p>
        </w:tc>
        <w:tc>
          <w:tcPr>
            <w:tcW w:w="120" w:type="dxa"/>
            <w:vAlign w:val="bottom"/>
          </w:tcPr>
          <w:p>
            <w:pPr>
              <w:spacing w:after="0"/>
              <w:rPr>
                <w:sz w:val="21"/>
                <w:szCs w:val="21"/>
                <w:color w:val="auto"/>
              </w:rPr>
            </w:pPr>
          </w:p>
        </w:tc>
        <w:tc>
          <w:tcPr>
            <w:tcW w:w="1780" w:type="dxa"/>
            <w:vAlign w:val="bottom"/>
          </w:tcPr>
          <w:p>
            <w:pPr>
              <w:jc w:val="right"/>
              <w:ind w:right="92"/>
              <w:spacing w:after="0"/>
              <w:rPr>
                <w:sz w:val="20"/>
                <w:szCs w:val="20"/>
                <w:color w:val="auto"/>
              </w:rPr>
            </w:pPr>
            <w:r>
              <w:rPr>
                <w:rFonts w:ascii="Arial" w:cs="Arial" w:eastAsia="Arial" w:hAnsi="Arial"/>
                <w:sz w:val="18"/>
                <w:szCs w:val="18"/>
                <w:color w:val="auto"/>
              </w:rPr>
              <w:t>11.3</w:t>
            </w:r>
          </w:p>
        </w:tc>
      </w:tr>
      <w:tr>
        <w:trPr>
          <w:trHeight w:val="27"/>
        </w:trPr>
        <w:tc>
          <w:tcPr>
            <w:tcW w:w="7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3,843,570</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4.6</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571,364</w:t>
            </w:r>
          </w:p>
        </w:tc>
        <w:tc>
          <w:tcPr>
            <w:tcW w:w="120" w:type="dxa"/>
            <w:vAlign w:val="bottom"/>
          </w:tcPr>
          <w:p>
            <w:pPr>
              <w:spacing w:after="0"/>
              <w:rPr>
                <w:sz w:val="21"/>
                <w:szCs w:val="21"/>
                <w:color w:val="auto"/>
              </w:rPr>
            </w:pPr>
          </w:p>
        </w:tc>
        <w:tc>
          <w:tcPr>
            <w:tcW w:w="1780" w:type="dxa"/>
            <w:vAlign w:val="bottom"/>
          </w:tcPr>
          <w:p>
            <w:pPr>
              <w:jc w:val="right"/>
              <w:ind w:right="92"/>
              <w:spacing w:after="0"/>
              <w:rPr>
                <w:sz w:val="20"/>
                <w:szCs w:val="20"/>
                <w:color w:val="auto"/>
              </w:rPr>
            </w:pPr>
            <w:r>
              <w:rPr>
                <w:rFonts w:ascii="Arial" w:cs="Arial" w:eastAsia="Arial" w:hAnsi="Arial"/>
                <w:sz w:val="18"/>
                <w:szCs w:val="18"/>
                <w:color w:val="auto"/>
              </w:rPr>
              <w:t>0.7</w:t>
            </w:r>
          </w:p>
        </w:tc>
      </w:tr>
      <w:tr>
        <w:trPr>
          <w:trHeight w:val="27"/>
        </w:trPr>
        <w:tc>
          <w:tcPr>
            <w:tcW w:w="7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30,336</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0.0</w:t>
            </w:r>
          </w:p>
        </w:tc>
      </w:tr>
      <w:tr>
        <w:trPr>
          <w:trHeight w:val="237"/>
        </w:trPr>
        <w:tc>
          <w:tcPr>
            <w:tcW w:w="7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83,265,522</w:t>
            </w:r>
          </w:p>
        </w:tc>
        <w:tc>
          <w:tcPr>
            <w:tcW w:w="120" w:type="dxa"/>
            <w:vAlign w:val="bottom"/>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7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
        </w:trPr>
        <w:tc>
          <w:tcPr>
            <w:tcW w:w="7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Average Premium Rate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average premium rate is dependent on a number of factors, including: (1) the risk characteristics and average coverage on the mortgages we insure;</w:t>
      </w:r>
    </w:p>
    <w:p>
      <w:pPr>
        <w:spacing w:after="0" w:line="46" w:lineRule="exact"/>
        <w:rPr>
          <w:sz w:val="20"/>
          <w:szCs w:val="20"/>
          <w:color w:val="auto"/>
        </w:rPr>
      </w:pPr>
    </w:p>
    <w:p>
      <w:pPr>
        <w:ind w:left="260" w:hanging="252"/>
        <w:spacing w:after="0"/>
        <w:tabs>
          <w:tab w:leader="none" w:pos="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mix of monthly premiums compared to single premiums in our portfolio; (3) cancellations of non-refundable single premiums during the period; and</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changes to our pricing. For the years ended December 31, 2016, 2015 and 2014, our average premium rate was 0.57%, 0.56% and 0.55%, respectively.</w:t>
      </w:r>
    </w:p>
    <w:p>
      <w:pPr>
        <w:spacing w:after="0" w:line="2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Persistency Rate</w:t>
      </w:r>
    </w:p>
    <w:p>
      <w:pPr>
        <w:spacing w:after="0" w:line="22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"—Factors Affecting Our Results of Operations—Persistency and Business Mix."</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Risk-to-Capital</w:t>
      </w:r>
    </w:p>
    <w:p>
      <w:pPr>
        <w:spacing w:after="0" w:line="225" w:lineRule="exact"/>
        <w:rPr>
          <w:sz w:val="20"/>
          <w:szCs w:val="20"/>
          <w:color w:val="auto"/>
        </w:rPr>
      </w:pPr>
    </w:p>
    <w:p>
      <w:pPr>
        <w:jc w:val="both"/>
        <w:ind w:right="120" w:firstLine="432"/>
        <w:spacing w:after="0" w:line="302" w:lineRule="auto"/>
        <w:rPr>
          <w:sz w:val="20"/>
          <w:szCs w:val="20"/>
          <w:color w:val="auto"/>
        </w:rPr>
      </w:pPr>
      <w:r>
        <w:rPr>
          <w:rFonts w:ascii="Arial" w:cs="Arial" w:eastAsia="Arial" w:hAnsi="Arial"/>
          <w:sz w:val="16"/>
          <w:szCs w:val="16"/>
          <w:color w:val="auto"/>
        </w:rPr>
        <w:t>The risk-to-capital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"—Liquidity and Capital Resources—Insurance Company Capital."</w:t>
      </w:r>
    </w:p>
    <w:p>
      <w:pPr>
        <w:spacing w:after="0" w:line="154"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As of December 31, 2016, our combined net risk in force for our U.S. insurance companies was $16.8 billion and our combined statutory capital was $1.1 billion, resulting in a risk-to-capital ratio of 14.7:1. The amount of capital required varies in each jurisdiction in which we operate; however, generally, the maximum permitted risk-to-capital ratio is 25.0 to 1. State insurance regulators are currently examining their respective capital rules to determine whether, in light of the recent financial crisis, changes are needed to more accurately assess mortgage insurers' ability to withstand stressful economic conditions. As a result, the capital metrics under which they assess and measure capital adequacy may change in the future. Independent of the state regulator and GSE capital requirements, management continually assesses the risk of our insurance portfolio and current market and economic conditions to determine the appropriate levels of capital to support our business.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84"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10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Summary of Operations</w:t>
            </w:r>
          </w:p>
        </w:tc>
        <w:tc>
          <w:tcPr>
            <w:tcW w:w="320" w:type="dxa"/>
            <w:vAlign w:val="bottom"/>
          </w:tcPr>
          <w:p>
            <w:pPr>
              <w:spacing w:after="0"/>
              <w:rPr>
                <w:sz w:val="12"/>
                <w:szCs w:val="12"/>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2"/>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Net premiums written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441,278</w:t>
            </w:r>
          </w:p>
        </w:tc>
        <w:tc>
          <w:tcPr>
            <w:tcW w:w="4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370,568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276,778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Increase in unearned premiums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(18,571)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(44,097)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(53,549)</w:t>
            </w:r>
          </w:p>
        </w:tc>
        <w:tc>
          <w:tcPr>
            <w:tcW w:w="0" w:type="dxa"/>
            <w:vAlign w:val="bottom"/>
          </w:tcPr>
          <w:p>
            <w:pPr>
              <w:spacing w:after="0"/>
              <w:rPr>
                <w:sz w:val="1"/>
                <w:szCs w:val="1"/>
                <w:color w:val="auto"/>
              </w:rPr>
            </w:pP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422,707</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326,471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223,229</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27,890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19,885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12,285</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Realized investment gains, net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1,934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2,554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3,028</w:t>
            </w:r>
          </w:p>
        </w:tc>
        <w:tc>
          <w:tcPr>
            <w:tcW w:w="0" w:type="dxa"/>
            <w:vAlign w:val="bottom"/>
          </w:tcPr>
          <w:p>
            <w:pPr>
              <w:spacing w:after="0"/>
              <w:rPr>
                <w:sz w:val="1"/>
                <w:szCs w:val="1"/>
                <w:color w:val="auto"/>
              </w:rPr>
            </w:pPr>
          </w:p>
        </w:tc>
      </w:tr>
      <w:tr>
        <w:trPr>
          <w:trHeight w:val="237"/>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Total revenues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458,258</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353,290</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239,467</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losses and LAE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15,525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11,905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6,308</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130,851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112,987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97,232</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losses and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146,376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124,892</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103,540</w:t>
            </w:r>
          </w:p>
        </w:tc>
        <w:tc>
          <w:tcPr>
            <w:tcW w:w="0" w:type="dxa"/>
            <w:vAlign w:val="bottom"/>
          </w:tcPr>
          <w:p>
            <w:pPr>
              <w:spacing w:after="0"/>
              <w:rPr>
                <w:sz w:val="1"/>
                <w:szCs w:val="1"/>
                <w:color w:val="auto"/>
              </w:rPr>
            </w:pP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311,882</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228,398</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135,927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89,276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71,067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47,430</w:t>
            </w:r>
          </w:p>
        </w:tc>
        <w:tc>
          <w:tcPr>
            <w:tcW w:w="0" w:type="dxa"/>
            <w:vAlign w:val="bottom"/>
          </w:tcPr>
          <w:p>
            <w:pPr>
              <w:spacing w:after="0"/>
              <w:rPr>
                <w:sz w:val="1"/>
                <w:szCs w:val="1"/>
                <w:color w:val="auto"/>
              </w:rPr>
            </w:pPr>
          </w:p>
        </w:tc>
      </w:tr>
      <w:tr>
        <w:trPr>
          <w:trHeight w:val="257"/>
        </w:trPr>
        <w:tc>
          <w:tcPr>
            <w:tcW w:w="710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222,606</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157,331</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88,497</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2016 Compared to the Year Ended December 31, 2015</w:t>
      </w:r>
    </w:p>
    <w:p>
      <w:pPr>
        <w:spacing w:after="0" w:line="22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For the year ended December 31, 2016, we reported net income of $222.6 million, compared to net income of $157.3 million for the year ended December 31, 2015. The increase in our operating results in 2016 over 2015 was primarily due to an increase in net premiums earned associated with the growth of our IIF and an increase in net investment income, partially offset by increases in other underwriting and operating expenses, the provision for losses and loss adjustment expenses and income taxes.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Net premiums earned increased in the year ended December 31, 2016 by 29% compared to the year ended December 31, 2015 primarily due to the increase in our average IIF from $57.8 billion in 2015 to $73.0 billion in 2016, as well as an increase in average premium rate from 0.56% for the year ended December 31, 2015 to 0.57% for the year ended December 31, 2016. The increase in the average premium rate during the year ended December 31, 2016 is due primarily to an increase in premium earned on the cancellation of non-refundable single premium policies.</w:t>
      </w:r>
    </w:p>
    <w:p>
      <w:pPr>
        <w:spacing w:after="0" w:line="171"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Net premiums written increased in the year ended December 31, 2016 by 19% over the prior year. The increase was due primarily to the increase in average IIF of 26% for the year ended December 31, 2016 as compared to the year ended December 31, 2015.</w:t>
      </w:r>
    </w:p>
    <w:p>
      <w:pPr>
        <w:spacing w:after="0" w:line="170"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In the year ended December 31, 2016, unearned premiums increased by $18.6 million as a result of net premiums written on single premium policies of $99.4 million which was partially offset by $80.8 million of unearned premium that was recognized in earnings during the year. In the year ended December 31, 2015, unearned premiums increased by $44.1 million as a result of net premiums written on single premium policies of $101.1 million which was partially offset by $57.0 million of unearned premium that was recognized in earnings during the year. Included in unearned premium recognized was $36.9 million and $21.8 million related to policy cancellations for the year ended December 31, 2016 and 2015, respectively.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80" w:right="239" w:bottom="1440" w:gutter="0" w:footer="0" w:header="0"/>
        </w:sectPr>
      </w:pPr>
    </w:p>
    <w:bookmarkStart w:id="69" w:name="page70"/>
    <w:bookmarkEnd w:id="69"/>
    <w:p>
      <w:pPr>
        <w:ind w:left="42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net investment income was derived from the following sources for the period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29,865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21,693</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3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63</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investment income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30,007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21,756</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Investment expenses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(1,871)</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27,890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19,885</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The increase in net investment income to $27.9 million for the year ended December 31, 2016 as compared to $19.9 million for the year ended December 31, 2015, was due to an increase in the weighted average balance of our investment portfolio and an increase in the pre-tax investment income yield. The average cash and investment portfolio balance increased to $1.4 billion during the year ended December 31, 2016 from $1.2 billion during the year ended December 31, 2015 primarily as a result of investing cash flows generated from operations. The pre-tax investment income yield increased from 1.9% in the year ended December 31, 2015 to 2.1% in the year ended December 31, 2016 primarily due to the increase in the portion of our investment portfolio invested in spread and duration assets. The pre-tax investment income yields are calculated based on amortized cost and exclude investment expenses. See "—Liquidity and Capital Resources" for further details of our investment portfolio.</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Other income includes fees earned for information technology and customer support services provided to Triad, contract underwriting revenues and changes in the fair value of the insurance and certain reinsurance policies issued by Essent Re under the ACIS program. The increase in other income for the year ended December 31, 2016 compared to the same period in 2015 was primarily due to an increase in favorable net valuation adjustments associated with ACIS contracts formerly accounted for as insurance rather than as derivatives, and an increase in contract underwriting revenue, partially offset by a decrease in Triad service fees associated with a reduction in the number of Triad's mortgage insurance policies in force. The fees earned from Triad will continue to decrease over time as Triad's existing policies are cancelled.</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The increase in the provision for losses and LAE in 2016 as compared to 2015 was primarily due to an increase in the number of insured loans in default, partially offset by previously identified defaults that cured.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rollforward of insured loans in default for the periods indicated:</w:t>
      </w:r>
    </w:p>
    <w:p>
      <w:pPr>
        <w:spacing w:after="0" w:line="200" w:lineRule="exact"/>
        <w:rPr>
          <w:sz w:val="20"/>
          <w:szCs w:val="20"/>
          <w:color w:val="auto"/>
        </w:rPr>
      </w:pPr>
    </w:p>
    <w:p>
      <w:pPr>
        <w:spacing w:after="0" w:line="246"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23495</wp:posOffset>
            </wp:positionV>
            <wp:extent cx="20923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00" w:type="dxa"/>
            <w:vAlign w:val="bottom"/>
            <w:gridSpan w:val="2"/>
          </w:tcPr>
          <w:p>
            <w:pPr>
              <w:ind w:left="8780"/>
              <w:spacing w:after="0"/>
              <w:rPr>
                <w:sz w:val="20"/>
                <w:szCs w:val="20"/>
                <w:color w:val="auto"/>
              </w:rPr>
            </w:pPr>
            <w:r>
              <w:rPr>
                <w:rFonts w:ascii="Arial" w:cs="Arial" w:eastAsia="Arial" w:hAnsi="Arial"/>
                <w:sz w:val="14"/>
                <w:szCs w:val="14"/>
                <w:b w:val="1"/>
                <w:bCs w:val="1"/>
                <w:color w:val="auto"/>
                <w:w w:val="96"/>
              </w:rPr>
              <w:t>2016</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553"/>
              <w:spacing w:after="0"/>
              <w:rPr>
                <w:sz w:val="20"/>
                <w:szCs w:val="20"/>
                <w:color w:val="auto"/>
              </w:rPr>
            </w:pPr>
            <w:r>
              <w:rPr>
                <w:rFonts w:ascii="Arial" w:cs="Arial" w:eastAsia="Arial" w:hAnsi="Arial"/>
                <w:sz w:val="14"/>
                <w:szCs w:val="14"/>
                <w:b w:val="1"/>
                <w:bCs w:val="1"/>
                <w:color w:val="auto"/>
              </w:rPr>
              <w:t>2015</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default inventory</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457</w:t>
            </w:r>
          </w:p>
        </w:tc>
      </w:tr>
      <w:tr>
        <w:trPr>
          <w:trHeight w:val="243"/>
        </w:trPr>
        <w:tc>
          <w:tcPr>
            <w:tcW w:w="9100" w:type="dxa"/>
            <w:vAlign w:val="bottom"/>
            <w:gridSpan w:val="2"/>
          </w:tcPr>
          <w:p>
            <w:pPr>
              <w:ind w:left="40"/>
              <w:spacing w:after="0"/>
              <w:rPr>
                <w:sz w:val="20"/>
                <w:szCs w:val="20"/>
                <w:color w:val="auto"/>
              </w:rPr>
            </w:pPr>
            <w:r>
              <w:rPr>
                <w:rFonts w:ascii="Arial" w:cs="Arial" w:eastAsia="Arial" w:hAnsi="Arial"/>
                <w:sz w:val="18"/>
                <w:szCs w:val="18"/>
                <w:color w:val="auto"/>
              </w:rPr>
              <w:t>Plus: new defaults</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3,746</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2,034</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cures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(2,857)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r>
      <w:tr>
        <w:trPr>
          <w:trHeight w:val="243"/>
        </w:trPr>
        <w:tc>
          <w:tcPr>
            <w:tcW w:w="9100" w:type="dxa"/>
            <w:vAlign w:val="bottom"/>
            <w:gridSpan w:val="2"/>
          </w:tcPr>
          <w:p>
            <w:pPr>
              <w:ind w:left="40"/>
              <w:spacing w:after="0"/>
              <w:rPr>
                <w:sz w:val="20"/>
                <w:szCs w:val="20"/>
                <w:color w:val="auto"/>
              </w:rPr>
            </w:pPr>
            <w:r>
              <w:rPr>
                <w:rFonts w:ascii="Arial" w:cs="Arial" w:eastAsia="Arial" w:hAnsi="Arial"/>
                <w:sz w:val="18"/>
                <w:szCs w:val="18"/>
                <w:color w:val="auto"/>
              </w:rPr>
              <w:t>Less: claims paid</w:t>
            </w:r>
          </w:p>
        </w:tc>
        <w:tc>
          <w:tcPr>
            <w:tcW w:w="64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9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rescissions and denials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Ending default inventory</w:t>
            </w:r>
          </w:p>
        </w:tc>
        <w:tc>
          <w:tcPr>
            <w:tcW w:w="9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1,757</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1,028</w:t>
            </w:r>
          </w:p>
        </w:tc>
      </w:tr>
      <w:tr>
        <w:trPr>
          <w:trHeight w:val="27"/>
        </w:trPr>
        <w:tc>
          <w:tcPr>
            <w:tcW w:w="8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increase in the number of defaults at December 31, 2016 compared to December 31, 2015 was primarily due to an increase in our IIF and policies in force, as well as further seasoning of our insurance portfolio.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84" w:right="239" w:bottom="1440" w:gutter="0" w:footer="0" w:header="0"/>
        </w:sectPr>
      </w:pPr>
    </w:p>
    <w:bookmarkStart w:id="70" w:name="page71"/>
    <w:bookmarkEnd w:id="70"/>
    <w:p>
      <w:pPr>
        <w:ind w:left="440"/>
        <w:spacing w:after="0"/>
        <w:rPr>
          <w:sz w:val="20"/>
          <w:szCs w:val="20"/>
          <w:color w:val="auto"/>
        </w:rPr>
      </w:pPr>
      <w:r>
        <w:rPr>
          <w:rFonts w:ascii="Arial" w:cs="Arial" w:eastAsia="Arial" w:hAnsi="Arial"/>
          <w:sz w:val="18"/>
          <w:szCs w:val="18"/>
          <w:color w:val="auto"/>
        </w:rPr>
        <w:t>The following table includes additional information about our loans in default as of the dates indicated: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88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Case reserves (in thousands)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25,758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16,272</w:t>
            </w:r>
          </w:p>
        </w:tc>
      </w:tr>
      <w:tr>
        <w:trPr>
          <w:trHeight w:val="243"/>
        </w:trPr>
        <w:tc>
          <w:tcPr>
            <w:tcW w:w="8360" w:type="dxa"/>
            <w:vAlign w:val="bottom"/>
          </w:tcPr>
          <w:p>
            <w:pPr>
              <w:ind w:left="20"/>
              <w:spacing w:after="0"/>
              <w:rPr>
                <w:sz w:val="20"/>
                <w:szCs w:val="20"/>
                <w:color w:val="auto"/>
              </w:rPr>
            </w:pPr>
            <w:r>
              <w:rPr>
                <w:rFonts w:ascii="Arial" w:cs="Arial" w:eastAsia="Arial" w:hAnsi="Arial"/>
                <w:sz w:val="18"/>
                <w:szCs w:val="18"/>
                <w:color w:val="auto"/>
              </w:rPr>
              <w:t>Ending default inventory</w:t>
            </w:r>
          </w:p>
        </w:tc>
        <w:tc>
          <w:tcPr>
            <w:tcW w:w="340" w:type="dxa"/>
            <w:vAlign w:val="bottom"/>
          </w:tcPr>
          <w:p>
            <w:pPr>
              <w:spacing w:after="0"/>
              <w:rPr>
                <w:sz w:val="21"/>
                <w:szCs w:val="21"/>
                <w:color w:val="auto"/>
              </w:rPr>
            </w:pP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1,757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113"/>
              <w:spacing w:after="0"/>
              <w:rPr>
                <w:sz w:val="20"/>
                <w:szCs w:val="20"/>
                <w:color w:val="auto"/>
              </w:rPr>
            </w:pPr>
            <w:r>
              <w:rPr>
                <w:rFonts w:ascii="Arial" w:cs="Arial" w:eastAsia="Arial" w:hAnsi="Arial"/>
                <w:sz w:val="18"/>
                <w:szCs w:val="18"/>
                <w:color w:val="auto"/>
              </w:rPr>
              <w:t>1,028</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case reserve per default (in thousands)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15.8</w:t>
            </w:r>
          </w:p>
        </w:tc>
      </w:tr>
      <w:tr>
        <w:trPr>
          <w:trHeight w:val="243"/>
        </w:trPr>
        <w:tc>
          <w:tcPr>
            <w:tcW w:w="8360" w:type="dxa"/>
            <w:vAlign w:val="bottom"/>
          </w:tcPr>
          <w:p>
            <w:pPr>
              <w:ind w:left="20"/>
              <w:spacing w:after="0"/>
              <w:rPr>
                <w:sz w:val="20"/>
                <w:szCs w:val="20"/>
                <w:color w:val="auto"/>
              </w:rPr>
            </w:pPr>
            <w:r>
              <w:rPr>
                <w:rFonts w:ascii="Arial" w:cs="Arial" w:eastAsia="Arial" w:hAnsi="Arial"/>
                <w:sz w:val="18"/>
                <w:szCs w:val="18"/>
                <w:color w:val="auto"/>
              </w:rPr>
              <w:t>Default rate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0.35%</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Claims received included in ending default inventory</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21</w:t>
            </w:r>
          </w:p>
        </w:tc>
      </w:tr>
      <w:tr>
        <w:trPr>
          <w:trHeight w:val="27"/>
        </w:trPr>
        <w:tc>
          <w:tcPr>
            <w:tcW w:w="83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decrease in the average reserve per default was primarily due to changes in the composition (such as mark-to-market loan-to-value ratios, risk in force, and number of months past due) of the underlying loans in default and improvements in economic fundamentals.</w:t>
      </w:r>
    </w:p>
    <w:p>
      <w:pPr>
        <w:spacing w:after="0" w:line="170"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following tables provide a reconciliation of the beginning and ending reserve balances for losses and LAE and a detail of reserves and defaulted RIF by the number of missed payments and pending claims.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losses and LAE at beginning of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8,427</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Add provision for losses and LAE occurring in:</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year</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21,889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14,956</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(3,051)</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Incurred losses during the current year</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15,525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11,905</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Deduct payments for losses and LAE occurring in:</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year</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544</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4,216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2,028</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and LAE payments during the current year</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5,143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2,572</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Reserve for losses and LAE at end of year</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28,142</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17,760</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As of December 31, 2016</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Number of</w:t>
            </w:r>
          </w:p>
        </w:tc>
        <w:tc>
          <w:tcPr>
            <w:tcW w:w="158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8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7"/>
              </w:rPr>
              <w:t>Amount of</w:t>
            </w:r>
          </w:p>
        </w:tc>
        <w:tc>
          <w:tcPr>
            <w:tcW w:w="100" w:type="dxa"/>
            <w:vAlign w:val="bottom"/>
          </w:tcPr>
          <w:p>
            <w:pPr>
              <w:spacing w:after="0"/>
              <w:rPr>
                <w:sz w:val="13"/>
                <w:szCs w:val="13"/>
                <w:color w:val="auto"/>
              </w:rPr>
            </w:pPr>
          </w:p>
        </w:tc>
        <w:tc>
          <w:tcPr>
            <w:tcW w:w="14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Percentage of</w:t>
            </w:r>
          </w:p>
        </w:tc>
        <w:tc>
          <w:tcPr>
            <w:tcW w:w="180" w:type="dxa"/>
            <w:vAlign w:val="bottom"/>
          </w:tcPr>
          <w:p>
            <w:pPr>
              <w:spacing w:after="0"/>
              <w:rPr>
                <w:sz w:val="13"/>
                <w:szCs w:val="13"/>
                <w:color w:val="auto"/>
              </w:rPr>
            </w:pPr>
          </w:p>
        </w:tc>
        <w:tc>
          <w:tcPr>
            <w:tcW w:w="9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Defaulted</w:t>
            </w: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Reserves as a</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5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9"/>
              </w:rPr>
              <w:t>Reserves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Reserves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RIF</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Three payments or less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1"/>
                <w:szCs w:val="21"/>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52%  $</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6,615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50,737</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w w:val="94"/>
              </w:rPr>
              <w:t>13%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Four to eleven payments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11,505</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32,833</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Twelve or more payments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1320" w:type="dxa"/>
            <w:vAlign w:val="bottom"/>
          </w:tcPr>
          <w:p>
            <w:pPr>
              <w:jc w:val="right"/>
              <w:ind w:right="9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5,678</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9,575</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Pending claims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1,960</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2,272</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97"/>
        </w:trPr>
        <w:tc>
          <w:tcPr>
            <w:tcW w:w="36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case reserves</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1,757</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25,758</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95,417</w:t>
            </w:r>
          </w:p>
        </w:tc>
        <w:tc>
          <w:tcPr>
            <w:tcW w:w="1440" w:type="dxa"/>
            <w:vAlign w:val="bottom"/>
            <w:tcBorders>
              <w:bottom w:val="single" w:sz="8" w:color="CCEEFF"/>
            </w:tcBorders>
            <w:gridSpan w:val="2"/>
          </w:tcPr>
          <w:p>
            <w:pPr>
              <w:ind w:left="10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5"/>
              <w:spacing w:after="0" w:line="203" w:lineRule="exact"/>
              <w:rPr>
                <w:sz w:val="20"/>
                <w:szCs w:val="20"/>
                <w:color w:val="auto"/>
              </w:rPr>
            </w:pPr>
            <w:r>
              <w:rPr>
                <w:rFonts w:ascii="Arial" w:cs="Arial" w:eastAsia="Arial" w:hAnsi="Arial"/>
                <w:sz w:val="18"/>
                <w:szCs w:val="18"/>
                <w:color w:val="auto"/>
              </w:rPr>
              <w:t>1,932</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LAE and other</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reserves for losses and LAE</w:t>
            </w: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28,142</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CCEEFF"/>
            </w:tcBorders>
            <w:vMerge w:val="restart"/>
          </w:tcPr>
          <w:p>
            <w:pPr>
              <w:jc w:val="right"/>
              <w:ind w:right="295"/>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As of December 31, 2015</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Number of</w:t>
            </w:r>
          </w:p>
        </w:tc>
        <w:tc>
          <w:tcPr>
            <w:tcW w:w="158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8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7"/>
              </w:rPr>
              <w:t>Amount of</w:t>
            </w:r>
          </w:p>
        </w:tc>
        <w:tc>
          <w:tcPr>
            <w:tcW w:w="100" w:type="dxa"/>
            <w:vAlign w:val="bottom"/>
          </w:tcPr>
          <w:p>
            <w:pPr>
              <w:spacing w:after="0"/>
              <w:rPr>
                <w:sz w:val="13"/>
                <w:szCs w:val="13"/>
                <w:color w:val="auto"/>
              </w:rPr>
            </w:pPr>
          </w:p>
        </w:tc>
        <w:tc>
          <w:tcPr>
            <w:tcW w:w="14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Percentage of</w:t>
            </w:r>
          </w:p>
        </w:tc>
        <w:tc>
          <w:tcPr>
            <w:tcW w:w="180" w:type="dxa"/>
            <w:vAlign w:val="bottom"/>
          </w:tcPr>
          <w:p>
            <w:pPr>
              <w:spacing w:after="0"/>
              <w:rPr>
                <w:sz w:val="13"/>
                <w:szCs w:val="13"/>
                <w:color w:val="auto"/>
              </w:rPr>
            </w:pPr>
          </w:p>
        </w:tc>
        <w:tc>
          <w:tcPr>
            <w:tcW w:w="9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Defaulted</w:t>
            </w: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Reserves as a</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5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9"/>
              </w:rPr>
              <w:t>Reserves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Reserves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RIF</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Three payments or less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52%  $</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4,492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29,003</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w w:val="94"/>
              </w:rPr>
              <w:t>15%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Four to eleven payments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8,283</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20,825</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3640" w:type="dxa"/>
            <w:vAlign w:val="bottom"/>
            <w:gridSpan w:val="2"/>
          </w:tcPr>
          <w:p>
            <w:pPr>
              <w:ind w:left="280"/>
              <w:spacing w:after="0"/>
              <w:rPr>
                <w:sz w:val="20"/>
                <w:szCs w:val="20"/>
                <w:color w:val="auto"/>
              </w:rPr>
            </w:pPr>
            <w:r>
              <w:rPr>
                <w:rFonts w:ascii="Arial" w:cs="Arial" w:eastAsia="Arial" w:hAnsi="Arial"/>
                <w:sz w:val="18"/>
                <w:szCs w:val="18"/>
                <w:color w:val="auto"/>
              </w:rPr>
              <w:t>Twelve or more payments</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320" w:type="dxa"/>
            <w:vAlign w:val="bottom"/>
          </w:tcPr>
          <w:p>
            <w:pPr>
              <w:jc w:val="right"/>
              <w:ind w:right="96"/>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2,688</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4,299</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Pending claims</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809</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844</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97"/>
        </w:trPr>
        <w:tc>
          <w:tcPr>
            <w:tcW w:w="36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case reserves</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16,272</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54,971</w:t>
            </w:r>
          </w:p>
        </w:tc>
        <w:tc>
          <w:tcPr>
            <w:tcW w:w="1440" w:type="dxa"/>
            <w:vAlign w:val="bottom"/>
            <w:tcBorders>
              <w:bottom w:val="single" w:sz="8" w:color="CCEEFF"/>
            </w:tcBorders>
            <w:gridSpan w:val="2"/>
          </w:tcPr>
          <w:p>
            <w:pPr>
              <w:ind w:left="108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5"/>
              <w:spacing w:after="0" w:line="203" w:lineRule="exact"/>
              <w:rPr>
                <w:sz w:val="20"/>
                <w:szCs w:val="20"/>
                <w:color w:val="auto"/>
              </w:rPr>
            </w:pPr>
            <w:r>
              <w:rPr>
                <w:rFonts w:ascii="Arial" w:cs="Arial" w:eastAsia="Arial" w:hAnsi="Arial"/>
                <w:sz w:val="18"/>
                <w:szCs w:val="18"/>
                <w:color w:val="auto"/>
              </w:rPr>
              <w:t>1,220</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LAE and other</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reserves for losses and LAE</w:t>
            </w: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17,760</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During the year ended December 31, 2016, the provision for losses and LAE was $15.5 million, comprised of $21.9 million of current year losses partially offset by $6.4 million of favorable prior years' loss development. During the year ended December 31, 2015, the provision for losses and LAE was $11.9 million, comprised of $15.0 million of current year losses partially offset by $3.1 million of favorable prior years' loss development. In both periods, the favorable prior years' loss development was the result of a re-estimation of amounts ultimately to be paid on prior year defaults in the default inventory, including the impact of previously identified defaults that cured.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includes additional information about our claims paid and claim severity as of the dates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7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2015</w:t>
            </w:r>
          </w:p>
        </w:tc>
      </w:tr>
      <w:tr>
        <w:trPr>
          <w:trHeight w:val="25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Number of claims paid</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79</w:t>
            </w: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Amount of claims paid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7"/>
              <w:spacing w:after="0"/>
              <w:rPr>
                <w:sz w:val="20"/>
                <w:szCs w:val="20"/>
                <w:color w:val="auto"/>
              </w:rPr>
            </w:pPr>
            <w:r>
              <w:rPr>
                <w:rFonts w:ascii="Arial" w:cs="Arial" w:eastAsia="Arial" w:hAnsi="Arial"/>
                <w:sz w:val="18"/>
                <w:szCs w:val="18"/>
                <w:color w:val="auto"/>
              </w:rPr>
              <w:t>5,028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2,498</w:t>
            </w:r>
          </w:p>
        </w:tc>
      </w:tr>
      <w:tr>
        <w:trPr>
          <w:trHeight w:val="27"/>
        </w:trPr>
        <w:tc>
          <w:tcPr>
            <w:tcW w:w="7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Claim severity</w:t>
            </w:r>
          </w:p>
        </w:tc>
        <w:tc>
          <w:tcPr>
            <w:tcW w:w="4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7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 are the components of our other underwriting and operating expenses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760" w:type="dxa"/>
            <w:vAlign w:val="bottom"/>
            <w:tcBorders>
              <w:bottom w:val="single" w:sz="8" w:color="auto"/>
            </w:tcBorders>
          </w:tcPr>
          <w:p>
            <w:pPr>
              <w:spacing w:after="0"/>
              <w:rPr>
                <w:sz w:val="16"/>
                <w:szCs w:val="16"/>
                <w:color w:val="auto"/>
              </w:rPr>
            </w:pPr>
          </w:p>
        </w:tc>
      </w:tr>
      <w:tr>
        <w:trPr>
          <w:trHeight w:val="264"/>
        </w:trPr>
        <w:tc>
          <w:tcPr>
            <w:tcW w:w="7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760" w:type="dxa"/>
            <w:vAlign w:val="bottom"/>
            <w:tcBorders>
              <w:bottom w:val="single" w:sz="8" w:color="auto"/>
            </w:tcBorders>
          </w:tcPr>
          <w:p>
            <w:pPr>
              <w:spacing w:after="0"/>
              <w:rPr>
                <w:sz w:val="22"/>
                <w:szCs w:val="22"/>
                <w:color w:val="auto"/>
              </w:rPr>
            </w:pPr>
          </w:p>
        </w:tc>
      </w:tr>
      <w:tr>
        <w:trPr>
          <w:trHeight w:val="264"/>
        </w:trPr>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84,044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72,229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00" w:type="dxa"/>
            <w:vAlign w:val="bottom"/>
          </w:tcPr>
          <w:p>
            <w:pPr>
              <w:jc w:val="right"/>
              <w:ind w:right="37"/>
              <w:spacing w:after="0"/>
              <w:rPr>
                <w:sz w:val="20"/>
                <w:szCs w:val="20"/>
                <w:color w:val="auto"/>
              </w:rPr>
            </w:pPr>
            <w:r>
              <w:rPr>
                <w:rFonts w:ascii="Arial" w:cs="Arial" w:eastAsia="Arial" w:hAnsi="Arial"/>
                <w:sz w:val="18"/>
                <w:szCs w:val="18"/>
                <w:color w:val="auto"/>
              </w:rPr>
              <w:t>46,807</w:t>
            </w:r>
          </w:p>
        </w:tc>
        <w:tc>
          <w:tcPr>
            <w:tcW w:w="100" w:type="dxa"/>
            <w:vAlign w:val="bottom"/>
          </w:tcPr>
          <w:p>
            <w:pPr>
              <w:spacing w:after="0"/>
              <w:rPr>
                <w:sz w:val="21"/>
                <w:szCs w:val="21"/>
                <w:color w:val="auto"/>
              </w:rPr>
            </w:pPr>
          </w:p>
        </w:tc>
        <w:tc>
          <w:tcPr>
            <w:tcW w:w="760" w:type="dxa"/>
            <w:vAlign w:val="bottom"/>
          </w:tcPr>
          <w:p>
            <w:pPr>
              <w:jc w:val="right"/>
              <w:ind w:right="96"/>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7"/>
              <w:spacing w:after="0"/>
              <w:rPr>
                <w:sz w:val="20"/>
                <w:szCs w:val="20"/>
                <w:color w:val="auto"/>
              </w:rPr>
            </w:pPr>
            <w:r>
              <w:rPr>
                <w:rFonts w:ascii="Arial" w:cs="Arial" w:eastAsia="Arial" w:hAnsi="Arial"/>
                <w:sz w:val="18"/>
                <w:szCs w:val="18"/>
                <w:color w:val="auto"/>
              </w:rPr>
              <w:t>40,758</w:t>
            </w:r>
          </w:p>
        </w:tc>
        <w:tc>
          <w:tcPr>
            <w:tcW w:w="100" w:type="dxa"/>
            <w:vAlign w:val="bottom"/>
          </w:tcPr>
          <w:p>
            <w:pPr>
              <w:spacing w:after="0"/>
              <w:rPr>
                <w:sz w:val="21"/>
                <w:szCs w:val="21"/>
                <w:color w:val="auto"/>
              </w:rPr>
            </w:pP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36</w:t>
            </w:r>
          </w:p>
        </w:tc>
      </w:tr>
      <w:tr>
        <w:trPr>
          <w:trHeight w:val="27"/>
        </w:trPr>
        <w:tc>
          <w:tcPr>
            <w:tcW w:w="7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130,851</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112,987</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7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43"/>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Number of employees at end of period</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366</w:t>
            </w:r>
          </w:p>
        </w:tc>
      </w:tr>
      <w:tr>
        <w:trPr>
          <w:trHeight w:val="27"/>
        </w:trPr>
        <w:tc>
          <w:tcPr>
            <w:tcW w:w="7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significant factors contributing to the change in other underwriting and operating expenses are:</w:t>
      </w:r>
    </w:p>
    <w:p>
      <w:pPr>
        <w:spacing w:after="0" w:line="225" w:lineRule="exact"/>
        <w:rPr>
          <w:sz w:val="20"/>
          <w:szCs w:val="20"/>
          <w:color w:val="auto"/>
        </w:rPr>
      </w:pPr>
    </w:p>
    <w:p>
      <w:pPr>
        <w:ind w:left="660" w:right="20" w:hanging="247"/>
        <w:spacing w:after="0" w:line="259"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Compensation and benefits increased primarily due to increases in incentive compensation, stock compensation and the size of our workforce, which increased to 376 at December 31, 2016 from 332 at January 1, 2015, as additional employees were hired to support the growth in our business, including in our sales organization. Compensation and benefits includes salaries, wages and bonus, stock compensation expense, benefits and payroll taxes.</w:t>
      </w:r>
    </w:p>
    <w:p>
      <w:pPr>
        <w:spacing w:after="0" w:line="186" w:lineRule="exact"/>
        <w:rPr>
          <w:rFonts w:ascii="Arial" w:cs="Arial" w:eastAsia="Arial" w:hAnsi="Arial"/>
          <w:sz w:val="18"/>
          <w:szCs w:val="18"/>
          <w:color w:val="auto"/>
        </w:rPr>
      </w:pPr>
    </w:p>
    <w:p>
      <w:pPr>
        <w:ind w:left="660" w:right="40" w:hanging="247"/>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 expenses increased as a result of the continued expansion of our business. Other expenses include premium taxes, travel, marketing, hardware, software, rent, depreciation and amortization and other facilities expenses.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806" w:right="239" w:bottom="1440" w:gutter="0" w:footer="0" w:header="0"/>
        </w:sectPr>
      </w:pPr>
    </w:p>
    <w:bookmarkStart w:id="72" w:name="page73"/>
    <w:bookmarkEnd w:id="72"/>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Our subsidiaries in the United States file a consolidated U.S. Federal income tax return. Our income tax expense was $89.3 million for the year ended December 31, 2016 compared to $71.1 million for the year ended December 31, 2015. Our effective tax rate was 28.6% and 31.1% for the years ended December 31, 2016 and 2015, respectively. During 2016, the proportion of our consolidated earnings generated in Bermuda increased as a result of insurance and reinsurance contracts executed with Freddie Mac and Fannie Mae and the quota share reinsurance agreement between Essent Guaranty, Inc. and Essent Re. Bermuda does not have a corporate income tax.</w:t>
      </w:r>
    </w:p>
    <w:p>
      <w:pPr>
        <w:spacing w:after="0" w:line="188"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At December 31, 2016 and 2015, we concluded that it was more likely than not that our deferred tax assets would be realized. In 2017, we expect an increasing portion of our consolidated earnings will be generated in Bermuda and accordingly expect that our effective tax rate will decline below our effective tax rate for the year ended December 31,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2015 Compared to the Year Ended December 31, 2014</w:t>
      </w:r>
    </w:p>
    <w:p>
      <w:pPr>
        <w:spacing w:after="0" w:line="229" w:lineRule="exact"/>
        <w:rPr>
          <w:sz w:val="20"/>
          <w:szCs w:val="20"/>
          <w:color w:val="auto"/>
        </w:rPr>
      </w:pPr>
    </w:p>
    <w:p>
      <w:pPr>
        <w:ind w:right="380" w:firstLine="432"/>
        <w:spacing w:after="0" w:line="259" w:lineRule="auto"/>
        <w:rPr>
          <w:sz w:val="20"/>
          <w:szCs w:val="20"/>
          <w:color w:val="auto"/>
        </w:rPr>
      </w:pPr>
      <w:r>
        <w:rPr>
          <w:rFonts w:ascii="Arial" w:cs="Arial" w:eastAsia="Arial" w:hAnsi="Arial"/>
          <w:sz w:val="18"/>
          <w:szCs w:val="18"/>
          <w:color w:val="auto"/>
        </w:rPr>
        <w:t>For the year ended December 31, 2015, we reported net income of $157.3 million, compared to net income of $88.5 million for the year ended December 31, 2014. The increase in our operating results in 2015 over 2014 was primarily due to an increase in net premiums earned associated with the growth of our IIF and increases in net investment income and realized investment gains, partially offset by increases in other underwriting and operating expenses, the provision for losses and loss adjustment expenses and income taxes.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Net premiums earned increased in the year ended December 31, 2015 by 46% compared to the year ended December 31, 2014 primarily due to the increase in our average IIF from $40.6 billion in 2014 to $57.8 billion in 2015. Net premiums written increased in the year ended December 31, 2015 by 34% over the prior year.</w:t>
      </w:r>
    </w:p>
    <w:p>
      <w:pPr>
        <w:spacing w:after="0" w:line="181"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In the year ended December 31, 2015, unearned premiums increased by $44.1 million as a result of net premiums written on single premium policies of $101.1 million which was partially offset by $57.0 million of unearned premium that was recognized in earnings during the year. In the year ended December 31, 2014, unearned premiums increased by $53.5 million as a result of net premiums written on single premium policies of $84.1 million which was partially offset by $30.6 million of unearned premium that was recognized in earnings during the year. Included in unearned premium recognized was $21.8 million and $8.2 million related to policy cancellations for the year ended December 31, 2015 and 2014, respectively.</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net investment income was derived from the following sources for the period indicated: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2014</w:t>
            </w:r>
          </w:p>
        </w:tc>
      </w:tr>
      <w:tr>
        <w:trPr>
          <w:trHeight w:val="250"/>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Fixed maturities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21,693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13,356</w:t>
            </w:r>
          </w:p>
        </w:tc>
      </w:tr>
      <w:tr>
        <w:trPr>
          <w:trHeight w:val="243"/>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Short-term investments</w:t>
            </w:r>
          </w:p>
        </w:tc>
        <w:tc>
          <w:tcPr>
            <w:tcW w:w="3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56</w:t>
            </w:r>
          </w:p>
        </w:tc>
      </w:tr>
      <w:tr>
        <w:trPr>
          <w:trHeight w:val="27"/>
        </w:trPr>
        <w:tc>
          <w:tcPr>
            <w:tcW w:w="79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investment income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21,756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13,412</w:t>
            </w:r>
          </w:p>
        </w:tc>
      </w:tr>
      <w:tr>
        <w:trPr>
          <w:trHeight w:val="243"/>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Investment expenses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(1,127)</w:t>
            </w:r>
          </w:p>
        </w:tc>
      </w:tr>
      <w:tr>
        <w:trPr>
          <w:trHeight w:val="27"/>
        </w:trPr>
        <w:tc>
          <w:tcPr>
            <w:tcW w:w="79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19,885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12,285</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increase in net investment income to $19.9 million for the year ended December 31, 2015 as compared to $12.3 million for the year ended December 31, 2014, was due to an increase in the weighted average balance of our investment portfolio and an increase in the pre-tax investment income yield. The average cash and investment portfolio balance increased to $1.2 billion during the year ended December 31, 2015 from $887.2 million during the year ended December 31, 2014 as a result of investing cash flows generated from operations. The pre-tax investment income yield increased from 1.5% in the year ended December 31, 2014 to 1.9% in the year ended December 31, 2015 as a result of increasing our longer duration investment positions and reducing our short-term investment positions. The pre-tax investment income yields are calculated based on amortized cost. See "—Liquidity and Capital Resources" for further details of our investment portfolio.</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584" w:right="259" w:bottom="1440" w:gutter="0" w:footer="0" w:header="0"/>
        </w:sectPr>
      </w:pPr>
    </w:p>
    <w:bookmarkStart w:id="73" w:name="page74"/>
    <w:bookmarkEnd w:id="73"/>
    <w:p>
      <w:pPr>
        <w:ind w:left="42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Other income includes fees earned for information technology and customer support services provided to Triad, contract underwriting revenues and changes in the fair value of the insurance and certain reinsurance policies issued by Essent Re under the ACIS program. The increase in other income for the year ended December 31, 2015 compared to the same period in 2014 was primarily due to the change in fair value of the derivative liability and an increase in contract underwriting revenue, partially offset by a decrease in fees earned from Triad as a result of a reduction of the number of Triad's mortgage insurance policies in force.</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The increase in the provision for losses and LAE in 2015 as compared to 2014 was primarily due to an increase in the number of insured loans in default partially offset by previously identified defaults that cured.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rollforward of insured loans in default for the periods indicated:</w:t>
      </w:r>
    </w:p>
    <w:p>
      <w:pPr>
        <w:spacing w:after="0" w:line="230" w:lineRule="exact"/>
        <w:rPr>
          <w:sz w:val="20"/>
          <w:szCs w:val="20"/>
          <w:color w:val="auto"/>
        </w:rPr>
      </w:pPr>
    </w:p>
    <w:p>
      <w:pPr>
        <w:ind w:left="89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23495</wp:posOffset>
            </wp:positionV>
            <wp:extent cx="20840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060" w:type="dxa"/>
            <w:vAlign w:val="bottom"/>
            <w:gridSpan w:val="2"/>
          </w:tcPr>
          <w:p>
            <w:pPr>
              <w:ind w:left="8720"/>
              <w:spacing w:after="0"/>
              <w:rPr>
                <w:sz w:val="20"/>
                <w:szCs w:val="20"/>
                <w:color w:val="auto"/>
              </w:rPr>
            </w:pPr>
            <w:r>
              <w:rPr>
                <w:rFonts w:ascii="Arial" w:cs="Arial" w:eastAsia="Arial" w:hAnsi="Arial"/>
                <w:sz w:val="14"/>
                <w:szCs w:val="14"/>
                <w:b w:val="1"/>
                <w:bCs w:val="1"/>
                <w:color w:val="auto"/>
              </w:rPr>
              <w:t>2015</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ind w:right="573"/>
              <w:spacing w:after="0"/>
              <w:rPr>
                <w:sz w:val="20"/>
                <w:szCs w:val="20"/>
                <w:color w:val="auto"/>
              </w:rPr>
            </w:pPr>
            <w:r>
              <w:rPr>
                <w:rFonts w:ascii="Arial" w:cs="Arial" w:eastAsia="Arial" w:hAnsi="Arial"/>
                <w:sz w:val="14"/>
                <w:szCs w:val="14"/>
                <w:b w:val="1"/>
                <w:bCs w:val="1"/>
                <w:color w:val="auto"/>
              </w:rPr>
              <w:t>2014</w:t>
            </w:r>
          </w:p>
        </w:tc>
      </w:tr>
      <w:tr>
        <w:trPr>
          <w:trHeight w:val="250"/>
        </w:trPr>
        <w:tc>
          <w:tcPr>
            <w:tcW w:w="8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default inventory</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159</w:t>
            </w:r>
          </w:p>
        </w:tc>
      </w:tr>
      <w:tr>
        <w:trPr>
          <w:trHeight w:val="243"/>
        </w:trPr>
        <w:tc>
          <w:tcPr>
            <w:tcW w:w="9060" w:type="dxa"/>
            <w:vAlign w:val="bottom"/>
            <w:gridSpan w:val="2"/>
          </w:tcPr>
          <w:p>
            <w:pPr>
              <w:ind w:left="20"/>
              <w:spacing w:after="0"/>
              <w:rPr>
                <w:sz w:val="20"/>
                <w:szCs w:val="20"/>
                <w:color w:val="auto"/>
              </w:rPr>
            </w:pPr>
            <w:r>
              <w:rPr>
                <w:rFonts w:ascii="Arial" w:cs="Arial" w:eastAsia="Arial" w:hAnsi="Arial"/>
                <w:sz w:val="18"/>
                <w:szCs w:val="18"/>
                <w:color w:val="auto"/>
              </w:rPr>
              <w:t>Plus: new defaults</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2,034</w:t>
            </w:r>
          </w:p>
        </w:tc>
        <w:tc>
          <w:tcPr>
            <w:tcW w:w="120" w:type="dxa"/>
            <w:vAlign w:val="bottom"/>
          </w:tcPr>
          <w:p>
            <w:pPr>
              <w:spacing w:after="0"/>
              <w:rPr>
                <w:sz w:val="21"/>
                <w:szCs w:val="21"/>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904</w:t>
            </w:r>
          </w:p>
        </w:tc>
      </w:tr>
      <w:tr>
        <w:trPr>
          <w:trHeight w:val="27"/>
        </w:trPr>
        <w:tc>
          <w:tcPr>
            <w:tcW w:w="8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cures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(1,384)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r>
      <w:tr>
        <w:trPr>
          <w:trHeight w:val="243"/>
        </w:trPr>
        <w:tc>
          <w:tcPr>
            <w:tcW w:w="9060" w:type="dxa"/>
            <w:vAlign w:val="bottom"/>
            <w:gridSpan w:val="2"/>
          </w:tcPr>
          <w:p>
            <w:pPr>
              <w:ind w:left="20"/>
              <w:spacing w:after="0"/>
              <w:rPr>
                <w:sz w:val="20"/>
                <w:szCs w:val="20"/>
                <w:color w:val="auto"/>
              </w:rPr>
            </w:pPr>
            <w:r>
              <w:rPr>
                <w:rFonts w:ascii="Arial" w:cs="Arial" w:eastAsia="Arial" w:hAnsi="Arial"/>
                <w:sz w:val="18"/>
                <w:szCs w:val="18"/>
                <w:color w:val="auto"/>
              </w:rPr>
              <w:t>Less: claims paid</w:t>
            </w:r>
          </w:p>
        </w:tc>
        <w:tc>
          <w:tcPr>
            <w:tcW w:w="60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80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default inventory</w:t>
            </w: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1,028</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457</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increase in the number of defaults at December 31, 2015 compared to December 31, 2014 was primarily due to an increase in our IIF and policies in force, as well as further seasoning of our insurance portfolio.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includes additional information about our loans in default as of the dates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93"/>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6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2014</w:t>
            </w: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Case reserves (in thousands)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16,272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7,700</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Ending default inventory</w:t>
            </w:r>
          </w:p>
        </w:tc>
        <w:tc>
          <w:tcPr>
            <w:tcW w:w="320" w:type="dxa"/>
            <w:vAlign w:val="bottom"/>
          </w:tcPr>
          <w:p>
            <w:pPr>
              <w:spacing w:after="0"/>
              <w:rPr>
                <w:sz w:val="21"/>
                <w:szCs w:val="21"/>
                <w:color w:val="auto"/>
              </w:rPr>
            </w:pPr>
          </w:p>
        </w:tc>
        <w:tc>
          <w:tcPr>
            <w:tcW w:w="1020" w:type="dxa"/>
            <w:vAlign w:val="bottom"/>
          </w:tcPr>
          <w:p>
            <w:pPr>
              <w:jc w:val="right"/>
              <w:ind w:right="115"/>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457</w:t>
            </w:r>
          </w:p>
        </w:tc>
      </w:tr>
      <w:tr>
        <w:trPr>
          <w:trHeight w:val="27"/>
        </w:trPr>
        <w:tc>
          <w:tcPr>
            <w:tcW w:w="8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case reserve per default (in thousands)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16.8</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Default rate</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0.20%</w:t>
            </w:r>
          </w:p>
        </w:tc>
      </w:tr>
      <w:tr>
        <w:trPr>
          <w:trHeight w:val="27"/>
        </w:trPr>
        <w:tc>
          <w:tcPr>
            <w:tcW w:w="8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8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Claims received included in ending default inventory</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w:t>
            </w:r>
          </w:p>
        </w:tc>
      </w:tr>
      <w:tr>
        <w:trPr>
          <w:trHeight w:val="27"/>
        </w:trPr>
        <w:tc>
          <w:tcPr>
            <w:tcW w:w="86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decrease in the average reserve per default was primarily due to changes in the composition (such as mark-to-market loan-to-value ratios, risk in force, and number of months past due) of the underlying loans in default and improvements in economic fundamentals.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84" w:right="239" w:bottom="1440" w:gutter="0" w:footer="0" w:header="0"/>
        </w:sectPr>
      </w:pPr>
    </w:p>
    <w:bookmarkStart w:id="74" w:name="page75"/>
    <w:bookmarkEnd w:id="74"/>
    <w:p>
      <w:pPr>
        <w:ind w:right="280" w:firstLine="432"/>
        <w:spacing w:after="0" w:line="277" w:lineRule="auto"/>
        <w:rPr>
          <w:sz w:val="20"/>
          <w:szCs w:val="20"/>
          <w:color w:val="auto"/>
        </w:rPr>
      </w:pPr>
      <w:r>
        <w:rPr>
          <w:rFonts w:ascii="Arial" w:cs="Arial" w:eastAsia="Arial" w:hAnsi="Arial"/>
          <w:sz w:val="18"/>
          <w:szCs w:val="18"/>
          <w:color w:val="auto"/>
        </w:rPr>
        <w:t>The following tables provide a reconciliation of the beginning and ending reserve balances for losses and LAE and a detail of reserves and defaulted RIF by the number of missed payments and pending claims.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768"/>
              <w:spacing w:after="0"/>
              <w:rPr>
                <w:sz w:val="20"/>
                <w:szCs w:val="20"/>
                <w:color w:val="auto"/>
              </w:rPr>
            </w:pPr>
            <w:r>
              <w:rPr>
                <w:rFonts w:ascii="Arial" w:cs="Arial" w:eastAsia="Arial" w:hAnsi="Arial"/>
                <w:sz w:val="14"/>
                <w:szCs w:val="14"/>
                <w:b w:val="1"/>
                <w:bCs w:val="1"/>
                <w:color w:val="auto"/>
                <w:w w:val="97"/>
              </w:rPr>
              <w:t>Year Ended December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7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2015</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right"/>
              <w:ind w:right="588"/>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6"/>
              </w:rPr>
              <w:t>Reserve for losses and LAE at beginning of year</w:t>
            </w: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4"/>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3,070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60" w:type="dxa"/>
            <w:vAlign w:val="bottom"/>
            <w:gridSpan w:val="3"/>
          </w:tcPr>
          <w:p>
            <w:pPr>
              <w:ind w:left="20"/>
              <w:spacing w:after="0"/>
              <w:rPr>
                <w:sz w:val="20"/>
                <w:szCs w:val="20"/>
                <w:color w:val="auto"/>
              </w:rPr>
            </w:pPr>
            <w:r>
              <w:rPr>
                <w:rFonts w:ascii="Arial" w:cs="Arial" w:eastAsia="Arial" w:hAnsi="Arial"/>
                <w:sz w:val="18"/>
                <w:szCs w:val="18"/>
                <w:color w:val="auto"/>
              </w:rPr>
              <w:t>Add provision for losses and LAE occurring in:</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76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Current year</w:t>
            </w: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0"/>
              </w:rPr>
              <w:t>14,956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6,877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60" w:type="dxa"/>
            <w:vAlign w:val="bottom"/>
            <w:gridSpan w:val="3"/>
          </w:tcPr>
          <w:p>
            <w:pPr>
              <w:ind w:left="260"/>
              <w:spacing w:after="0"/>
              <w:rPr>
                <w:sz w:val="20"/>
                <w:szCs w:val="20"/>
                <w:color w:val="auto"/>
              </w:rPr>
            </w:pPr>
            <w:r>
              <w:rPr>
                <w:rFonts w:ascii="Arial" w:cs="Arial" w:eastAsia="Arial" w:hAnsi="Arial"/>
                <w:sz w:val="18"/>
                <w:szCs w:val="18"/>
                <w:color w:val="auto"/>
              </w:rPr>
              <w:t>Prior years</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(3,051)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Incurred losses during the current year</w:t>
            </w: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0"/>
              </w:rPr>
              <w:t>11,905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6,308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60" w:type="dxa"/>
            <w:vAlign w:val="bottom"/>
            <w:gridSpan w:val="3"/>
          </w:tcPr>
          <w:p>
            <w:pPr>
              <w:ind w:left="20"/>
              <w:spacing w:after="0"/>
              <w:rPr>
                <w:sz w:val="20"/>
                <w:szCs w:val="20"/>
                <w:color w:val="auto"/>
              </w:rPr>
            </w:pPr>
            <w:r>
              <w:rPr>
                <w:rFonts w:ascii="Arial" w:cs="Arial" w:eastAsia="Arial" w:hAnsi="Arial"/>
                <w:sz w:val="18"/>
                <w:szCs w:val="18"/>
                <w:color w:val="auto"/>
                <w:w w:val="93"/>
              </w:rPr>
              <w:t>Deduct payments for losses and LAE occurring in:</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76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Current year</w:t>
            </w: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60" w:type="dxa"/>
            <w:vAlign w:val="bottom"/>
            <w:gridSpan w:val="3"/>
          </w:tcPr>
          <w:p>
            <w:pPr>
              <w:ind w:left="260"/>
              <w:spacing w:after="0"/>
              <w:rPr>
                <w:sz w:val="20"/>
                <w:szCs w:val="20"/>
                <w:color w:val="auto"/>
              </w:rPr>
            </w:pPr>
            <w:r>
              <w:rPr>
                <w:rFonts w:ascii="Arial" w:cs="Arial" w:eastAsia="Arial" w:hAnsi="Arial"/>
                <w:sz w:val="18"/>
                <w:szCs w:val="18"/>
                <w:color w:val="auto"/>
              </w:rPr>
              <w:t>Prior years</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2,028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48"/>
              <w:spacing w:after="0"/>
              <w:rPr>
                <w:sz w:val="20"/>
                <w:szCs w:val="20"/>
                <w:color w:val="auto"/>
              </w:rPr>
            </w:pPr>
            <w:r>
              <w:rPr>
                <w:rFonts w:ascii="Arial" w:cs="Arial" w:eastAsia="Arial" w:hAnsi="Arial"/>
                <w:sz w:val="18"/>
                <w:szCs w:val="18"/>
                <w:color w:val="auto"/>
              </w:rPr>
              <w:t>813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7"/>
              </w:rPr>
              <w:t>Loss and LAE payments during the current year</w:t>
            </w: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951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760" w:type="dxa"/>
            <w:vAlign w:val="bottom"/>
            <w:gridSpan w:val="3"/>
          </w:tcPr>
          <w:p>
            <w:pPr>
              <w:ind w:left="20"/>
              <w:spacing w:after="0"/>
              <w:rPr>
                <w:sz w:val="20"/>
                <w:szCs w:val="20"/>
                <w:color w:val="auto"/>
              </w:rPr>
            </w:pPr>
            <w:r>
              <w:rPr>
                <w:rFonts w:ascii="Arial" w:cs="Arial" w:eastAsia="Arial" w:hAnsi="Arial"/>
                <w:sz w:val="18"/>
                <w:szCs w:val="18"/>
                <w:color w:val="auto"/>
              </w:rPr>
              <w:t>Reserve for losses and LAE at end of year</w:t>
            </w: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gridSpan w:val="3"/>
          </w:tcPr>
          <w:p>
            <w:pPr>
              <w:spacing w:after="0"/>
              <w:rPr>
                <w:sz w:val="22"/>
                <w:szCs w:val="22"/>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0"/>
              </w:rPr>
              <w:t>17,760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8,427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4"/>
                <w:szCs w:val="14"/>
                <w:b w:val="1"/>
                <w:bCs w:val="1"/>
                <w:color w:val="auto"/>
              </w:rPr>
              <w:t>As of December 31, 2015</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Number of</w:t>
            </w:r>
          </w:p>
        </w:tc>
        <w:tc>
          <w:tcPr>
            <w:tcW w:w="14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60" w:type="dxa"/>
            <w:vAlign w:val="bottom"/>
          </w:tcPr>
          <w:p>
            <w:pPr>
              <w:spacing w:after="0"/>
              <w:rPr>
                <w:sz w:val="13"/>
                <w:szCs w:val="13"/>
                <w:color w:val="auto"/>
              </w:rPr>
            </w:pPr>
          </w:p>
        </w:tc>
        <w:tc>
          <w:tcPr>
            <w:tcW w:w="88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3"/>
                <w:szCs w:val="13"/>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Defaulted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Reserves as a</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Reserves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Reserves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rPr>
              <w:t>RIF</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60" w:type="dxa"/>
            <w:vAlign w:val="bottom"/>
            <w:gridSpan w:val="3"/>
          </w:tcPr>
          <w:p>
            <w:pPr>
              <w:ind w:left="240"/>
              <w:spacing w:after="0"/>
              <w:rPr>
                <w:sz w:val="20"/>
                <w:szCs w:val="20"/>
                <w:color w:val="auto"/>
              </w:rPr>
            </w:pPr>
            <w:r>
              <w:rPr>
                <w:rFonts w:ascii="Arial" w:cs="Arial" w:eastAsia="Arial" w:hAnsi="Arial"/>
                <w:sz w:val="18"/>
                <w:szCs w:val="18"/>
                <w:color w:val="auto"/>
              </w:rPr>
              <w:t>Three payments or less</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4,492</w:t>
            </w: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28%</w:t>
            </w: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jc w:val="right"/>
              <w:ind w:right="10"/>
              <w:spacing w:after="0"/>
              <w:rPr>
                <w:sz w:val="20"/>
                <w:szCs w:val="20"/>
                <w:color w:val="auto"/>
              </w:rPr>
            </w:pPr>
            <w:r>
              <w:rPr>
                <w:rFonts w:ascii="Arial" w:cs="Arial" w:eastAsia="Arial" w:hAnsi="Arial"/>
                <w:sz w:val="18"/>
                <w:szCs w:val="18"/>
                <w:color w:val="auto"/>
              </w:rPr>
              <w:t>29,003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Four to eleven payments</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8,283</w:t>
            </w:r>
          </w:p>
        </w:tc>
        <w:tc>
          <w:tcPr>
            <w:tcW w:w="1420" w:type="dxa"/>
            <w:vAlign w:val="bottom"/>
            <w:tcBorders>
              <w:bottom w:val="single" w:sz="8" w:color="CCEEFF"/>
            </w:tcBorders>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20,825</w:t>
            </w:r>
          </w:p>
        </w:tc>
        <w:tc>
          <w:tcPr>
            <w:tcW w:w="14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60" w:type="dxa"/>
            <w:vAlign w:val="bottom"/>
            <w:gridSpan w:val="3"/>
          </w:tcPr>
          <w:p>
            <w:pPr>
              <w:ind w:left="240"/>
              <w:spacing w:after="0"/>
              <w:rPr>
                <w:sz w:val="20"/>
                <w:szCs w:val="20"/>
                <w:color w:val="auto"/>
              </w:rPr>
            </w:pPr>
            <w:r>
              <w:rPr>
                <w:rFonts w:ascii="Arial" w:cs="Arial" w:eastAsia="Arial" w:hAnsi="Arial"/>
                <w:sz w:val="18"/>
                <w:szCs w:val="18"/>
                <w:color w:val="auto"/>
              </w:rPr>
              <w:t>Twelve or more payments</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320" w:type="dxa"/>
            <w:vAlign w:val="bottom"/>
          </w:tcPr>
          <w:p>
            <w:pPr>
              <w:jc w:val="right"/>
              <w:ind w:right="97"/>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2,688</w:t>
            </w:r>
          </w:p>
        </w:tc>
        <w:tc>
          <w:tcPr>
            <w:tcW w:w="1420" w:type="dxa"/>
            <w:vAlign w:val="bottom"/>
            <w:gridSpan w:val="4"/>
          </w:tcPr>
          <w:p>
            <w:pPr>
              <w:jc w:val="right"/>
              <w:ind w:right="9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3"/>
          </w:tcPr>
          <w:p>
            <w:pPr>
              <w:jc w:val="right"/>
              <w:ind w:right="10"/>
              <w:spacing w:after="0"/>
              <w:rPr>
                <w:sz w:val="20"/>
                <w:szCs w:val="20"/>
                <w:color w:val="auto"/>
              </w:rPr>
            </w:pPr>
            <w:r>
              <w:rPr>
                <w:rFonts w:ascii="Arial" w:cs="Arial" w:eastAsia="Arial" w:hAnsi="Arial"/>
                <w:sz w:val="18"/>
                <w:szCs w:val="18"/>
                <w:color w:val="auto"/>
              </w:rPr>
              <w:t>4,299</w:t>
            </w:r>
          </w:p>
        </w:tc>
        <w:tc>
          <w:tcPr>
            <w:tcW w:w="1420" w:type="dxa"/>
            <w:vAlign w:val="bottom"/>
            <w:gridSpan w:val="2"/>
          </w:tcPr>
          <w:p>
            <w:pPr>
              <w:jc w:val="right"/>
              <w:ind w:right="88"/>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Pending claims</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809</w:t>
            </w:r>
          </w:p>
        </w:tc>
        <w:tc>
          <w:tcPr>
            <w:tcW w:w="1420" w:type="dxa"/>
            <w:vAlign w:val="bottom"/>
            <w:tcBorders>
              <w:bottom w:val="single" w:sz="8" w:color="CCEEFF"/>
            </w:tcBorders>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844</w:t>
            </w:r>
          </w:p>
        </w:tc>
        <w:tc>
          <w:tcPr>
            <w:tcW w:w="14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96</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360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Total case reserves</w:t>
            </w:r>
          </w:p>
        </w:tc>
        <w:tc>
          <w:tcPr>
            <w:tcW w:w="1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16,272</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54,971</w:t>
            </w:r>
          </w:p>
        </w:tc>
        <w:tc>
          <w:tcPr>
            <w:tcW w:w="1420" w:type="dxa"/>
            <w:vAlign w:val="bottom"/>
            <w:tcBorders>
              <w:bottom w:val="single" w:sz="8" w:color="CCEEFF"/>
            </w:tcBorders>
            <w:gridSpan w:val="2"/>
          </w:tcPr>
          <w:p>
            <w:pPr>
              <w:jc w:val="right"/>
              <w:ind w:right="88"/>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3"/>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5"/>
              <w:spacing w:after="0" w:line="203" w:lineRule="exact"/>
              <w:rPr>
                <w:sz w:val="20"/>
                <w:szCs w:val="20"/>
                <w:color w:val="auto"/>
              </w:rPr>
            </w:pPr>
            <w:r>
              <w:rPr>
                <w:rFonts w:ascii="Arial" w:cs="Arial" w:eastAsia="Arial" w:hAnsi="Arial"/>
                <w:sz w:val="18"/>
                <w:szCs w:val="18"/>
                <w:color w:val="auto"/>
              </w:rPr>
              <w:t>1,220</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00" w:type="dxa"/>
            <w:vAlign w:val="bottom"/>
            <w:gridSpan w:val="4"/>
          </w:tcPr>
          <w:p>
            <w:pPr>
              <w:ind w:left="40"/>
              <w:spacing w:after="0"/>
              <w:rPr>
                <w:sz w:val="20"/>
                <w:szCs w:val="20"/>
                <w:color w:val="auto"/>
              </w:rPr>
            </w:pPr>
            <w:r>
              <w:rPr>
                <w:rFonts w:ascii="Arial" w:cs="Arial" w:eastAsia="Arial" w:hAnsi="Arial"/>
                <w:sz w:val="18"/>
                <w:szCs w:val="18"/>
                <w:color w:val="auto"/>
              </w:rPr>
              <w:t>LAE and other</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76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Total reserves for losses and LAE</w:t>
            </w: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17,760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4"/>
                <w:szCs w:val="14"/>
                <w:b w:val="1"/>
                <w:bCs w:val="1"/>
                <w:color w:val="auto"/>
              </w:rPr>
              <w:t>As of December 31, 2014</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Number of</w:t>
            </w:r>
          </w:p>
        </w:tc>
        <w:tc>
          <w:tcPr>
            <w:tcW w:w="14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60" w:type="dxa"/>
            <w:vAlign w:val="bottom"/>
          </w:tcPr>
          <w:p>
            <w:pPr>
              <w:spacing w:after="0"/>
              <w:rPr>
                <w:sz w:val="13"/>
                <w:szCs w:val="13"/>
                <w:color w:val="auto"/>
              </w:rPr>
            </w:pPr>
          </w:p>
        </w:tc>
        <w:tc>
          <w:tcPr>
            <w:tcW w:w="88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3"/>
                <w:szCs w:val="13"/>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Defaulted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5"/>
              </w:rPr>
              <w:t>Reserves as a</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Reserves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Reserves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rPr>
              <w:t>RIF</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Defaulted RIF</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Missed payments:</w:t>
            </w: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60" w:type="dxa"/>
            <w:vAlign w:val="bottom"/>
            <w:gridSpan w:val="3"/>
          </w:tcPr>
          <w:p>
            <w:pPr>
              <w:ind w:left="240"/>
              <w:spacing w:after="0"/>
              <w:rPr>
                <w:sz w:val="20"/>
                <w:szCs w:val="20"/>
                <w:color w:val="auto"/>
              </w:rPr>
            </w:pPr>
            <w:r>
              <w:rPr>
                <w:rFonts w:ascii="Arial" w:cs="Arial" w:eastAsia="Arial" w:hAnsi="Arial"/>
                <w:sz w:val="18"/>
                <w:szCs w:val="18"/>
                <w:color w:val="auto"/>
              </w:rPr>
              <w:t>Three payments or less</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2,381</w:t>
            </w: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31%</w:t>
            </w: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jc w:val="right"/>
              <w:ind w:right="10"/>
              <w:spacing w:after="0"/>
              <w:rPr>
                <w:sz w:val="20"/>
                <w:szCs w:val="20"/>
                <w:color w:val="auto"/>
              </w:rPr>
            </w:pPr>
            <w:r>
              <w:rPr>
                <w:rFonts w:ascii="Arial" w:cs="Arial" w:eastAsia="Arial" w:hAnsi="Arial"/>
                <w:sz w:val="18"/>
                <w:szCs w:val="18"/>
                <w:color w:val="auto"/>
              </w:rPr>
              <w:t>13,059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760" w:type="dxa"/>
            <w:vAlign w:val="bottom"/>
            <w:gridSpan w:val="3"/>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2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14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Four to eleven payments</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3,748</w:t>
            </w:r>
          </w:p>
        </w:tc>
        <w:tc>
          <w:tcPr>
            <w:tcW w:w="1420" w:type="dxa"/>
            <w:vAlign w:val="bottom"/>
            <w:tcBorders>
              <w:bottom w:val="single" w:sz="8" w:color="CCEEFF"/>
            </w:tcBorders>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8,132</w:t>
            </w:r>
          </w:p>
        </w:tc>
        <w:tc>
          <w:tcPr>
            <w:tcW w:w="14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60" w:type="dxa"/>
            <w:vAlign w:val="bottom"/>
            <w:gridSpan w:val="3"/>
          </w:tcPr>
          <w:p>
            <w:pPr>
              <w:ind w:left="240"/>
              <w:spacing w:after="0"/>
              <w:rPr>
                <w:sz w:val="20"/>
                <w:szCs w:val="20"/>
                <w:color w:val="auto"/>
              </w:rPr>
            </w:pPr>
            <w:r>
              <w:rPr>
                <w:rFonts w:ascii="Arial" w:cs="Arial" w:eastAsia="Arial" w:hAnsi="Arial"/>
                <w:sz w:val="18"/>
                <w:szCs w:val="18"/>
                <w:color w:val="auto"/>
              </w:rPr>
              <w:t>Twelve or more payments</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320" w:type="dxa"/>
            <w:vAlign w:val="bottom"/>
          </w:tcPr>
          <w:p>
            <w:pPr>
              <w:jc w:val="right"/>
              <w:ind w:right="97"/>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1,147</w:t>
            </w:r>
          </w:p>
        </w:tc>
        <w:tc>
          <w:tcPr>
            <w:tcW w:w="1420" w:type="dxa"/>
            <w:vAlign w:val="bottom"/>
            <w:gridSpan w:val="4"/>
          </w:tcPr>
          <w:p>
            <w:pPr>
              <w:jc w:val="right"/>
              <w:ind w:right="9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3"/>
          </w:tcPr>
          <w:p>
            <w:pPr>
              <w:jc w:val="right"/>
              <w:ind w:right="10"/>
              <w:spacing w:after="0"/>
              <w:rPr>
                <w:sz w:val="20"/>
                <w:szCs w:val="20"/>
                <w:color w:val="auto"/>
              </w:rPr>
            </w:pPr>
            <w:r>
              <w:rPr>
                <w:rFonts w:ascii="Arial" w:cs="Arial" w:eastAsia="Arial" w:hAnsi="Arial"/>
                <w:sz w:val="18"/>
                <w:szCs w:val="18"/>
                <w:color w:val="auto"/>
              </w:rPr>
              <w:t>1,510</w:t>
            </w:r>
          </w:p>
        </w:tc>
        <w:tc>
          <w:tcPr>
            <w:tcW w:w="1420" w:type="dxa"/>
            <w:vAlign w:val="bottom"/>
            <w:gridSpan w:val="2"/>
          </w:tcPr>
          <w:p>
            <w:pPr>
              <w:jc w:val="right"/>
              <w:ind w:right="88"/>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760" w:type="dxa"/>
            <w:vAlign w:val="bottom"/>
            <w:gridSpan w:val="3"/>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2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14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Pending claims</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424</w:t>
            </w:r>
          </w:p>
        </w:tc>
        <w:tc>
          <w:tcPr>
            <w:tcW w:w="1420" w:type="dxa"/>
            <w:vAlign w:val="bottom"/>
            <w:tcBorders>
              <w:bottom w:val="single" w:sz="8" w:color="CCEEFF"/>
            </w:tcBorders>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c>
          <w:tcPr>
            <w:tcW w:w="14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101</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360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Total case reserves</w:t>
            </w:r>
          </w:p>
        </w:tc>
        <w:tc>
          <w:tcPr>
            <w:tcW w:w="1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5"/>
              <w:spacing w:after="0"/>
              <w:rPr>
                <w:sz w:val="20"/>
                <w:szCs w:val="20"/>
                <w:color w:val="auto"/>
              </w:rPr>
            </w:pPr>
            <w:r>
              <w:rPr>
                <w:rFonts w:ascii="Arial" w:cs="Arial" w:eastAsia="Arial" w:hAnsi="Arial"/>
                <w:sz w:val="18"/>
                <w:szCs w:val="18"/>
                <w:color w:val="auto"/>
              </w:rPr>
              <w:t>7,700</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23,120</w:t>
            </w:r>
          </w:p>
        </w:tc>
        <w:tc>
          <w:tcPr>
            <w:tcW w:w="1420" w:type="dxa"/>
            <w:vAlign w:val="bottom"/>
            <w:tcBorders>
              <w:bottom w:val="single" w:sz="8" w:color="CCEEFF"/>
            </w:tcBorders>
            <w:gridSpan w:val="2"/>
          </w:tcPr>
          <w:p>
            <w:pPr>
              <w:jc w:val="right"/>
              <w:ind w:right="88"/>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gridSpan w:val="3"/>
            <w:shd w:val="clear" w:color="auto" w:fill="CCEEFF"/>
          </w:tcPr>
          <w:p>
            <w:pPr>
              <w:ind w:left="40"/>
              <w:spacing w:after="0" w:line="203" w:lineRule="exact"/>
              <w:rPr>
                <w:sz w:val="20"/>
                <w:szCs w:val="20"/>
                <w:color w:val="auto"/>
              </w:rPr>
            </w:pPr>
            <w:r>
              <w:rPr>
                <w:rFonts w:ascii="Arial" w:cs="Arial" w:eastAsia="Arial" w:hAnsi="Arial"/>
                <w:sz w:val="18"/>
                <w:szCs w:val="18"/>
                <w:color w:val="auto"/>
              </w:rPr>
              <w:t>IBNR</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5"/>
              <w:spacing w:after="0" w:line="203" w:lineRule="exact"/>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00" w:type="dxa"/>
            <w:vAlign w:val="bottom"/>
            <w:gridSpan w:val="4"/>
          </w:tcPr>
          <w:p>
            <w:pPr>
              <w:ind w:left="40"/>
              <w:spacing w:after="0"/>
              <w:rPr>
                <w:sz w:val="20"/>
                <w:szCs w:val="20"/>
                <w:color w:val="auto"/>
              </w:rPr>
            </w:pPr>
            <w:r>
              <w:rPr>
                <w:rFonts w:ascii="Arial" w:cs="Arial" w:eastAsia="Arial" w:hAnsi="Arial"/>
                <w:sz w:val="18"/>
                <w:szCs w:val="18"/>
                <w:color w:val="auto"/>
              </w:rPr>
              <w:t>LAE and other</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gridSpan w:val="3"/>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76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Total reserves for losses and LAE</w:t>
            </w: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8,427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During the year ended December 31, 2015, the provision for losses and LAE was $11.9 million, comprised of $15.0 million of current year losses partially offset by $3.1 million of favorable prior years' loss development. During the year ended December 31, 2014, the provision for losses and LAE was $6.3 million, comprised of $6.9 million of current year losses partially offset by $0.6 million of favorable prior years' loss development. In both periods, the favorable prior years' loss development was the result of a re-estimation of amounts ultimately to be paid on prior year defaults in the default inventory, including the impact of previously identified defaults that cured.</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584" w:right="239" w:bottom="1440" w:gutter="0" w:footer="0" w:header="0"/>
          <w:type w:val="continuous"/>
        </w:sectPr>
      </w:pPr>
    </w:p>
    <w:bookmarkStart w:id="75" w:name="page76"/>
    <w:bookmarkEnd w:id="75"/>
    <w:p>
      <w:pPr>
        <w:ind w:left="440"/>
        <w:spacing w:after="0"/>
        <w:rPr>
          <w:sz w:val="20"/>
          <w:szCs w:val="20"/>
          <w:color w:val="auto"/>
        </w:rPr>
      </w:pPr>
      <w:r>
        <w:rPr>
          <w:rFonts w:ascii="Arial" w:cs="Arial" w:eastAsia="Arial" w:hAnsi="Arial"/>
          <w:sz w:val="18"/>
          <w:szCs w:val="18"/>
          <w:color w:val="auto"/>
        </w:rPr>
        <w:t>The following table includes additional information about our claims paid and claim severity as of the dates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2014</w:t>
            </w: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Number of claims paid</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28</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Amount of claims paid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7"/>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929</w:t>
            </w:r>
          </w:p>
        </w:tc>
      </w:tr>
      <w:tr>
        <w:trPr>
          <w:trHeight w:val="27"/>
        </w:trPr>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8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Claim severity</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8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 are the components of our other underwriting and operating expenses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6"/>
                <w:szCs w:val="16"/>
                <w:color w:val="auto"/>
              </w:rPr>
            </w:pPr>
          </w:p>
        </w:tc>
      </w:tr>
      <w:tr>
        <w:trPr>
          <w:trHeight w:val="264"/>
        </w:trPr>
        <w:tc>
          <w:tcPr>
            <w:tcW w:w="6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r>
      <w:tr>
        <w:trPr>
          <w:trHeight w:val="264"/>
        </w:trPr>
        <w:tc>
          <w:tcPr>
            <w:tcW w:w="6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72,229</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64,286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40,758</w:t>
            </w:r>
          </w:p>
        </w:tc>
        <w:tc>
          <w:tcPr>
            <w:tcW w:w="120" w:type="dxa"/>
            <w:vAlign w:val="bottom"/>
          </w:tcPr>
          <w:p>
            <w:pPr>
              <w:spacing w:after="0"/>
              <w:rPr>
                <w:sz w:val="21"/>
                <w:szCs w:val="21"/>
                <w:color w:val="auto"/>
              </w:rPr>
            </w:pPr>
          </w:p>
        </w:tc>
        <w:tc>
          <w:tcPr>
            <w:tcW w:w="760" w:type="dxa"/>
            <w:vAlign w:val="bottom"/>
          </w:tcPr>
          <w:p>
            <w:pPr>
              <w:jc w:val="right"/>
              <w:ind w:right="116"/>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32,946</w:t>
            </w:r>
          </w:p>
        </w:tc>
        <w:tc>
          <w:tcPr>
            <w:tcW w:w="100" w:type="dxa"/>
            <w:vAlign w:val="bottom"/>
          </w:tcPr>
          <w:p>
            <w:pPr>
              <w:spacing w:after="0"/>
              <w:rPr>
                <w:sz w:val="21"/>
                <w:szCs w:val="21"/>
                <w:color w:val="auto"/>
              </w:rPr>
            </w:pP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34</w:t>
            </w:r>
          </w:p>
        </w:tc>
      </w:tr>
      <w:tr>
        <w:trPr>
          <w:trHeight w:val="27"/>
        </w:trPr>
        <w:tc>
          <w:tcPr>
            <w:tcW w:w="6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6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112,987</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97,232</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548"/>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Number of employees at end of period</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116"/>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332</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significant factors contributing to the change in other underwriting and operating expenses are:</w:t>
      </w:r>
    </w:p>
    <w:p>
      <w:pPr>
        <w:spacing w:after="0" w:line="225" w:lineRule="exact"/>
        <w:rPr>
          <w:sz w:val="20"/>
          <w:szCs w:val="20"/>
          <w:color w:val="auto"/>
        </w:rPr>
      </w:pPr>
    </w:p>
    <w:p>
      <w:pPr>
        <w:ind w:left="660" w:right="200" w:hanging="247"/>
        <w:spacing w:after="0" w:line="31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Compensation and benefits increased primarily due to the increase in our workforce to 366 at December 31, 2015 from 332 at December 31, 2014. Additional employees were hired to support the growth in our business, particularly in our sales organization, as well as our underwriting and customer service teams. Compensation and benefits includes salaries, wages and bonus, stock compensation expense, benefits and payroll taxes.</w:t>
      </w:r>
    </w:p>
    <w:p>
      <w:pPr>
        <w:spacing w:after="0" w:line="146" w:lineRule="exact"/>
        <w:rPr>
          <w:rFonts w:ascii="Arial" w:cs="Arial" w:eastAsia="Arial" w:hAnsi="Arial"/>
          <w:sz w:val="16"/>
          <w:szCs w:val="16"/>
          <w:color w:val="auto"/>
        </w:rPr>
      </w:pPr>
    </w:p>
    <w:p>
      <w:pPr>
        <w:ind w:left="660" w:right="40" w:hanging="247"/>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expenses increased as a result of the continued expansion of our business. Other expenses include premium taxes, travel, marketing, hardware, software, rent, depreciation and amortization and other facilities expenses.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Our subsidiaries in the United States file a consolidated U.S. Federal income tax return. Our income tax expense was$71.1 million for the year ended December 31, 2015 compared to $47.4 million for the year ended December 31, 2014. Our effective tax rate was 31.1% for the year ended December 31, 2015. During 2015, the proportion of our consolidated earnings generated in Bermuda increased as a result of insurance and reinsurance contracts executed with Freddie Mac and Fannie Mae and the quota share reinsurance agreement entered in to by Essent Guaranty, Inc. and Essent Re effective July 1, 2014. Bermuda does not have a corporate income tax.</w:t>
      </w:r>
    </w:p>
    <w:p>
      <w:pPr>
        <w:spacing w:after="0" w:line="188"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Our effective tax rate was 34.9% for the year ended December 31, 2014, which approximated the U.S. federal statutory tax rate as substantially all of our earnings in 2014 were generated in the United States.</w:t>
      </w:r>
    </w:p>
    <w:p>
      <w:pPr>
        <w:spacing w:after="0" w:line="170" w:lineRule="exact"/>
        <w:rPr>
          <w:sz w:val="20"/>
          <w:szCs w:val="20"/>
          <w:color w:val="auto"/>
        </w:rPr>
      </w:pPr>
    </w:p>
    <w:p>
      <w:pPr>
        <w:ind w:right="2600" w:firstLine="405"/>
        <w:spacing w:after="0" w:line="277" w:lineRule="auto"/>
        <w:rPr>
          <w:sz w:val="20"/>
          <w:szCs w:val="20"/>
          <w:color w:val="auto"/>
        </w:rPr>
      </w:pPr>
      <w:r>
        <w:rPr>
          <w:rFonts w:ascii="Arial" w:cs="Arial" w:eastAsia="Arial" w:hAnsi="Arial"/>
          <w:sz w:val="18"/>
          <w:szCs w:val="18"/>
          <w:color w:val="auto"/>
        </w:rPr>
        <w:t>At December 31, 2015 and 2014, we concluded that it was more likely than not that our deferred tax assets would be realized.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sources of funds consist primarily of:</w:t>
      </w:r>
    </w:p>
    <w:p>
      <w:pPr>
        <w:spacing w:after="0" w:line="225" w:lineRule="exact"/>
        <w:rPr>
          <w:sz w:val="20"/>
          <w:szCs w:val="20"/>
          <w:color w:val="auto"/>
        </w:rPr>
      </w:pPr>
    </w:p>
    <w:p>
      <w:pPr>
        <w:ind w:left="42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our investment portfolio and interest income on the portfolio;</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584" w:right="239" w:bottom="1440" w:gutter="0" w:footer="0" w:header="0"/>
          <w:type w:val="continuous"/>
        </w:sectPr>
      </w:pPr>
    </w:p>
    <w:bookmarkStart w:id="76" w:name="page77"/>
    <w:bookmarkEnd w:id="76"/>
    <w:p>
      <w:pPr>
        <w:ind w:left="660" w:hanging="247"/>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net premiums that we will receive from our existing IIF as well as policies that we write in the future;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borrowings under our revolving credit facility;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issuance of capital shares.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obligations consist primarily of:</w:t>
      </w:r>
    </w:p>
    <w:p>
      <w:pPr>
        <w:spacing w:after="0" w:line="225" w:lineRule="exact"/>
        <w:rPr>
          <w:sz w:val="20"/>
          <w:szCs w:val="20"/>
          <w:color w:val="auto"/>
        </w:rPr>
      </w:pPr>
    </w:p>
    <w:p>
      <w:pPr>
        <w:ind w:left="660" w:hanging="247"/>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claim payments under our policies;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repayment of borrowings under our revolving credit facility;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other costs and operating expenses of our business.</w:t>
      </w:r>
    </w:p>
    <w:p>
      <w:pPr>
        <w:spacing w:after="0" w:line="225" w:lineRule="exact"/>
        <w:rPr>
          <w:sz w:val="20"/>
          <w:szCs w:val="20"/>
          <w:color w:val="auto"/>
        </w:rPr>
      </w:pPr>
    </w:p>
    <w:p>
      <w:pPr>
        <w:ind w:right="280" w:firstLine="432"/>
        <w:spacing w:after="0" w:line="279" w:lineRule="auto"/>
        <w:rPr>
          <w:sz w:val="20"/>
          <w:szCs w:val="20"/>
          <w:color w:val="auto"/>
        </w:rPr>
      </w:pPr>
      <w:r>
        <w:rPr>
          <w:rFonts w:ascii="Arial" w:cs="Arial" w:eastAsia="Arial" w:hAnsi="Arial"/>
          <w:sz w:val="17"/>
          <w:szCs w:val="17"/>
          <w:color w:val="auto"/>
        </w:rPr>
        <w:t>As of December 31, 2016, we had substantial liquidity with cash of $27.5 million, short-term investments of $132.3 million and fixed maturity investments of $1.5 billion. We also had $100 million available under our revolving credit facility, with $100 million of borrowings outstanding under the facility. Borrowings accrue interest at a floating rate tied to a standard short-term borrowing index, selected at the Company’s option, plus an applicable margin and are paid monthly. At December 31, 2016, net cash and investments at the holding company were $46.6 million.</w:t>
      </w:r>
    </w:p>
    <w:p>
      <w:pPr>
        <w:spacing w:after="0" w:line="171" w:lineRule="exact"/>
        <w:rPr>
          <w:sz w:val="20"/>
          <w:szCs w:val="20"/>
          <w:color w:val="auto"/>
        </w:rPr>
      </w:pPr>
    </w:p>
    <w:p>
      <w:pPr>
        <w:ind w:right="680" w:firstLine="432"/>
        <w:spacing w:after="0" w:line="308" w:lineRule="auto"/>
        <w:rPr>
          <w:sz w:val="20"/>
          <w:szCs w:val="20"/>
          <w:color w:val="auto"/>
        </w:rPr>
      </w:pPr>
      <w:r>
        <w:rPr>
          <w:rFonts w:ascii="Arial" w:cs="Arial" w:eastAsia="Arial" w:hAnsi="Arial"/>
          <w:sz w:val="17"/>
          <w:szCs w:val="17"/>
          <w:color w:val="auto"/>
        </w:rPr>
        <w:t>Management believes that the Company has sufficient liquidity available both at the holding company and in its insurance and other operating subsidiaries to meet its operating cash needs and obligations and committed capital expenditures for the next 12 months.</w:t>
      </w:r>
    </w:p>
    <w:p>
      <w:pPr>
        <w:spacing w:after="0" w:line="147"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7"/>
          <w:szCs w:val="17"/>
          <w:color w:val="auto"/>
        </w:rPr>
        <w:t>While the Company and all of its subsidiaries are expected to have sufficient liquidity to meet all their expected obligations, additional capital may be required to meet any new capital requirements that are adopted by regulatory authorities or the GSEs, or to provide additional capital related to the growth of our risk in force in our mortgage insurance portfolio, or to fund new business initiatives including the insurance activities of Essent Re.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the operating subsidiary level, liquidity could be impacted by any one of the following factors:</w:t>
      </w:r>
    </w:p>
    <w:p>
      <w:pPr>
        <w:spacing w:after="0" w:line="225" w:lineRule="exact"/>
        <w:rPr>
          <w:sz w:val="20"/>
          <w:szCs w:val="20"/>
          <w:color w:val="auto"/>
        </w:rPr>
      </w:pPr>
    </w:p>
    <w:p>
      <w:pPr>
        <w:ind w:left="660" w:hanging="247"/>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significant decline in the value of our investments;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inability to sell investment assets to provide cash to fund operating needs;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decline in expected revenues generated from operations;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 in expected claim payments related to our IIF; or</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 in operating expenses.</w:t>
      </w:r>
    </w:p>
    <w:p>
      <w:pPr>
        <w:spacing w:after="0" w:line="22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Our U.S. insurance subsidiaries are subject to certain capital and dividend rules and regulations prescribed by jurisdictions in which they are authorized to operate and the GSEs. Under the insurance laws of the Commonwealth of Pennsylvania, the insurance subsidiaries may pay dividends during any twelve-month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At December 31, 2016, Essent Guaranty, Inc., had unassigned surplus of approximately $13.6 million and has paid no dividends since its inception. Essent Guaranty of PA, Inc. had unassigned surplus of approximately $8.4 million as of December 31, 2016, and paid to its parent company, Essent US Holdings, Inc., a $5.0 million dividend in February 2017. Essent Re is subject to certain dividend restrictions as prescribed by the Bermuda Monetary Authority and under certain agreements with counterparties. In connection with a quota share reinsurance agreement with Essent Guaranty, Inc., Essent Re has agreed to maintain a minimum total equity of $100 million. As of December 31, 2016, Essent Re had total equity of $401.3 million. In connection with its insurance and reinsurance activities, Essent Re is required to maintain assets in trusts for the benefit of its contractual counterparties. The fair value of the investments on deposit in these trusts was $349.6 million at December 31, 2016. At December 31, 2016, our insurance subsidiaries were in compliance with these rules, regulations and agreements.</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60"/>
          </w:cols>
          <w:pgMar w:left="240" w:top="584" w:right="299" w:bottom="1440" w:gutter="0" w:footer="0" w:header="0"/>
        </w:sectPr>
      </w:pPr>
    </w:p>
    <w:bookmarkStart w:id="77" w:name="page78"/>
    <w:bookmarkEnd w:id="77"/>
    <w:p>
      <w:pPr>
        <w:ind w:left="42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273,476</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224,139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153,704</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(365,316)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(220,712)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(727,700)</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94,765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120,752</w:t>
            </w:r>
          </w:p>
        </w:tc>
      </w:tr>
      <w:tr>
        <w:trPr>
          <w:trHeight w:val="257"/>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Net increase (decrease) in cash</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2,925</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(453,244)</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Cash flow provided by operating activities totaled $273.5 million for the year ended December 31, 2016 as compared to $224.1 million for the year ended December 31, 2015 and $153.7 million for the year ended December 31, 2014. The increase in cash flow from operations of $49.3 million in 2016 and $70.4 million in 2015 was primarily a result of increases in premium collected and net investment income partially offset by increases in expenses paid.</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Cash flow used in investing activities totaled $365.3 million for the year ended December 31, 2016 as compared to cash used in investing activities of $220.7 million for the year ended December 31, 2015 and $727.7 million for the year ended December 31, 2014. The increase in cash flow used in investing activities primarily related to investing cash flows from the business and investing the $100 million borrowed under the revolving credit facility. The decrease in cash flow used in investing activities in the year ended December 31, 2015, as compared to the year ended December 31, 2014, was primarily related to investing proceeds from our IPO, secondary offering, and capital contributions from our initial investors during 2014.</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Cash flow provided by financing activities totaled $94.8 million for the year ended December 31, 2016 as compared to cash flow used in financing activities of $3.2 million for the year ended December 31, 2015. The increase in cash flow provided by financing activities of $98.0 million was primarily related to the $100 million borrowing under the revolving credit facility. The proceeds of this borrowing were contributed to Essent Re to support new business.</w:t>
      </w:r>
    </w:p>
    <w:p>
      <w:pPr>
        <w:spacing w:after="0" w:line="18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Cash flow used in financing activities totaled $3.2 million for the year ended December 31, 2015 as compared to cash provided by financing activities of $120.8 million for the year ended December 31, 2014. The decrease in cash flow provided by financing activities of $124.0 million was primarily due to a decrease in the issuance of common shares in 2015 as compared to 2014. In 2014, the Company completed a secondary offering of Common Shares for $126.7 million in net proceeds, net of offering costs.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Insurance Company Capital</w:t>
      </w:r>
    </w:p>
    <w:p>
      <w:pPr>
        <w:spacing w:after="0" w:line="225" w:lineRule="exact"/>
        <w:rPr>
          <w:sz w:val="20"/>
          <w:szCs w:val="20"/>
          <w:color w:val="auto"/>
        </w:rPr>
      </w:pPr>
    </w:p>
    <w:p>
      <w:pPr>
        <w:ind w:right="120" w:firstLine="432"/>
        <w:spacing w:after="0" w:line="271" w:lineRule="auto"/>
        <w:rPr>
          <w:sz w:val="20"/>
          <w:szCs w:val="20"/>
          <w:color w:val="auto"/>
        </w:rPr>
      </w:pPr>
      <w:r>
        <w:rPr>
          <w:rFonts w:ascii="Arial" w:cs="Arial" w:eastAsia="Arial" w:hAnsi="Arial"/>
          <w:sz w:val="17"/>
          <w:szCs w:val="17"/>
          <w:color w:val="auto"/>
        </w:rPr>
        <w:t>We compute a risk-to-capital ratio for our U.S. insurance companies on a separate company statutory basis, as well as for our combined insurance operations. The risk-to-capital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179"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During the year ended December 31, 2016, no capital contributions were made by Essent Group Ltd. to our U.S. insurance subsidiaries. During the year ended December 31, 2015, capital contributions of $20.0 million were made by Essent Group Ltd. to our U.S. insurance subsidiaries.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584" w:right="239" w:bottom="1440" w:gutter="0" w:footer="0" w:header="0"/>
        </w:sectPr>
      </w:pPr>
    </w:p>
    <w:bookmarkStart w:id="78" w:name="page79"/>
    <w:bookmarkEnd w:id="78"/>
    <w:p>
      <w:pPr>
        <w:ind w:left="440"/>
        <w:spacing w:after="0"/>
        <w:rPr>
          <w:sz w:val="20"/>
          <w:szCs w:val="20"/>
          <w:color w:val="auto"/>
        </w:rPr>
      </w:pPr>
      <w:r>
        <w:rPr>
          <w:rFonts w:ascii="Arial" w:cs="Arial" w:eastAsia="Arial" w:hAnsi="Arial"/>
          <w:sz w:val="18"/>
          <w:szCs w:val="18"/>
          <w:color w:val="auto"/>
        </w:rPr>
        <w:t>Our combined risk-to-capital calculation for our U.S. insurance subsidiaries as of December 31, 2016 was as follows:</w:t>
      </w:r>
    </w:p>
    <w:p>
      <w:pPr>
        <w:spacing w:after="0" w:line="163"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Combined statutory capital:</w:t>
      </w:r>
    </w:p>
    <w:p>
      <w:pPr>
        <w:spacing w:after="0" w:line="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 in thousands)</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256"/>
        </w:trPr>
        <w:tc>
          <w:tcPr>
            <w:tcW w:w="96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Policyholders’ surplus</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627,049</w:t>
            </w:r>
          </w:p>
        </w:tc>
      </w:tr>
      <w:tr>
        <w:trPr>
          <w:trHeight w:val="243"/>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Contingency reserves</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517,230</w:t>
            </w:r>
          </w:p>
        </w:tc>
      </w:tr>
      <w:tr>
        <w:trPr>
          <w:trHeight w:val="27"/>
        </w:trPr>
        <w:tc>
          <w:tcPr>
            <w:tcW w:w="9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Combined statutory capital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1,144,279</w:t>
            </w:r>
          </w:p>
        </w:tc>
      </w:tr>
      <w:tr>
        <w:trPr>
          <w:trHeight w:val="20"/>
        </w:trPr>
        <w:tc>
          <w:tcPr>
            <w:tcW w:w="9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Combined net risk in force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16,801,992</w:t>
            </w:r>
          </w:p>
        </w:tc>
      </w:tr>
      <w:tr>
        <w:trPr>
          <w:trHeight w:val="27"/>
        </w:trPr>
        <w:tc>
          <w:tcPr>
            <w:tcW w:w="9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Combined risk-to-capital ratio</w:t>
            </w: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14.7:1</w:t>
            </w:r>
          </w:p>
        </w:tc>
      </w:tr>
      <w:tr>
        <w:trPr>
          <w:trHeight w:val="20"/>
        </w:trPr>
        <w:tc>
          <w:tcPr>
            <w:tcW w:w="9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For additional information regarding regulatory capital see Note 17 to our consolidated financial statements. Our combined statutory capital equals the sum of statutory capital of Essent Guaranty, Inc. plus Essent Guaranty of PA, Inc., after eliminating the impact of intercompany transactions. The combined risk-to-capital ratio equals the sum of the net risk in force of Essent Guaranty, Inc. and Essent Guaranty of PA, Inc. divided by combined statutory capital. The information above has been derived from the annual and quarterly statements of our insurance subsidiaries, which have been prepared in conformity with accounting practices prescribed or permitted by the Pennsylvania Insurance Department. Such practices vary from accounting principles generally accepted in the United States.</w:t>
      </w:r>
    </w:p>
    <w:p>
      <w:pPr>
        <w:spacing w:after="0" w:line="193"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Essent Re has entered into risk share insurance and reinsurance transactions with Freddie Mac and Fannie Mae. Essent Re also executed a quota share reinsurance transaction with Essent Guaranty, Inc. to reinsure 25% of Essent Guaranty, Inc.’s GSE-eligible NIW effective July 1, 2014. Essent Group Ltd. made capital contributions to Essent Re of $130.0 million and $41.2 million during the years ended December 31, 2016 and 2015, respectively, to support new business. As of December 31, 2016, Essent Re had total stockholders’ equity of $401.3 million and net risk in force of $4.2 billion.</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Financial Strength Ratings</w:t>
      </w:r>
    </w:p>
    <w:p>
      <w:pPr>
        <w:spacing w:after="0" w:line="225" w:lineRule="exact"/>
        <w:rPr>
          <w:sz w:val="20"/>
          <w:szCs w:val="20"/>
          <w:color w:val="auto"/>
        </w:rPr>
      </w:pPr>
    </w:p>
    <w:p>
      <w:pPr>
        <w:ind w:right="300" w:firstLine="432"/>
        <w:spacing w:after="0" w:line="308" w:lineRule="auto"/>
        <w:rPr>
          <w:sz w:val="20"/>
          <w:szCs w:val="20"/>
          <w:color w:val="auto"/>
        </w:rPr>
      </w:pPr>
      <w:r>
        <w:rPr>
          <w:rFonts w:ascii="Arial" w:cs="Arial" w:eastAsia="Arial" w:hAnsi="Arial"/>
          <w:sz w:val="17"/>
          <w:szCs w:val="17"/>
          <w:color w:val="auto"/>
        </w:rPr>
        <w:t>The insurer financial strength rating of Essent Guaranty, Inc., our principal mortgage insurance subsidiary, is Baa2 with a stable outlook by Moody's and BBB+ with a stable outlook by S&amp;P. The insurer financial strength rating of Essent Re is BBB+ with a stable outlook by S&amp;P.</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Private Mortgage Insurer Eligibility Requirements</w:t>
      </w:r>
    </w:p>
    <w:p>
      <w:pPr>
        <w:spacing w:after="0" w:line="225" w:lineRule="exact"/>
        <w:rPr>
          <w:sz w:val="20"/>
          <w:szCs w:val="20"/>
          <w:color w:val="auto"/>
        </w:rPr>
      </w:pPr>
    </w:p>
    <w:p>
      <w:pPr>
        <w:ind w:right="60" w:firstLine="432"/>
        <w:spacing w:after="0" w:line="267" w:lineRule="auto"/>
        <w:rPr>
          <w:sz w:val="20"/>
          <w:szCs w:val="20"/>
          <w:color w:val="auto"/>
        </w:rPr>
      </w:pPr>
      <w:r>
        <w:rPr>
          <w:rFonts w:ascii="Arial" w:cs="Arial" w:eastAsia="Arial" w:hAnsi="Arial"/>
          <w:sz w:val="17"/>
          <w:szCs w:val="17"/>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As of December 31, 2016, Essent Guaranty, Inc., our GSE-approved mortgage insurance company, was in compliance with the PMIERs. As of December 31, 2016, Essent Guaranty, Inc.'s Available Assets were $1.18 billion and its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Minimum Required Assets were $1.13 billion based on our interpretation of the PMIERs.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25"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As of December 31, 2016, stockholders’ equity was $1.3 billion compared to $1.1 billion as of December 31, 2015. This increase was primarily due to net income generated in 2016.</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right="340" w:firstLine="432"/>
        <w:spacing w:after="0" w:line="286" w:lineRule="auto"/>
        <w:rPr>
          <w:sz w:val="20"/>
          <w:szCs w:val="20"/>
          <w:color w:val="auto"/>
        </w:rPr>
      </w:pPr>
      <w:r>
        <w:rPr>
          <w:rFonts w:ascii="Arial" w:cs="Arial" w:eastAsia="Arial" w:hAnsi="Arial"/>
          <w:sz w:val="17"/>
          <w:szCs w:val="17"/>
          <w:color w:val="auto"/>
        </w:rPr>
        <w:t>The total fair value of our investment portfolio was $1.6 billion as of December 31, 2016 and $1.3 billion as of December 31, 2015. In addition, our total cash was $27.5 million as of December 31, 2016, compared to $24.6 million as of December 31, 2015. The increase in investments and cash was primarily due to investing net cash flows from operations and the $100 million borrowed under the revolving credit facility.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584"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Investment Portfolio by Asset Class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gridSpan w:val="2"/>
          </w:tcPr>
          <w:p>
            <w:pPr>
              <w:ind w:left="40"/>
              <w:spacing w:after="0"/>
              <w:rPr>
                <w:sz w:val="20"/>
                <w:szCs w:val="20"/>
                <w:color w:val="auto"/>
              </w:rPr>
            </w:pPr>
            <w:r>
              <w:rPr>
                <w:rFonts w:ascii="Arial" w:cs="Arial" w:eastAsia="Arial" w:hAnsi="Arial"/>
                <w:sz w:val="14"/>
                <w:szCs w:val="14"/>
                <w:b w:val="1"/>
                <w:bCs w:val="1"/>
                <w:color w:val="auto"/>
              </w:rPr>
              <w:t>Asset Class</w:t>
            </w:r>
          </w:p>
        </w:tc>
        <w:tc>
          <w:tcPr>
            <w:tcW w:w="3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w w:val="91"/>
              </w:rPr>
              <w:t>December 31, 2016</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108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264"/>
        </w:trPr>
        <w:tc>
          <w:tcPr>
            <w:tcW w:w="4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5"/>
              </w:rPr>
              <w:t>Percent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191,548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177,607</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U.S. agency securities</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18,441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13,782</w:t>
            </w:r>
          </w:p>
        </w:tc>
        <w:tc>
          <w:tcPr>
            <w:tcW w:w="10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316,494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159,602</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securities(1)</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334,324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279,828</w:t>
            </w:r>
          </w:p>
        </w:tc>
        <w:tc>
          <w:tcPr>
            <w:tcW w:w="10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securities(2)</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456,357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396,732</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68,336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55,356</w:t>
            </w:r>
          </w:p>
        </w:tc>
        <w:tc>
          <w:tcPr>
            <w:tcW w:w="10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127,172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126,629</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102,430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67,098</w:t>
            </w:r>
          </w:p>
        </w:tc>
        <w:tc>
          <w:tcPr>
            <w:tcW w:w="10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Investments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1,615,102</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1,276,634</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6160" w:type="dxa"/>
            <w:vAlign w:val="bottom"/>
            <w:gridSpan w:val="4"/>
          </w:tcPr>
          <w:p>
            <w:pPr>
              <w:jc w:val="right"/>
              <w:ind w:right="373"/>
              <w:spacing w:after="0"/>
              <w:rPr>
                <w:sz w:val="20"/>
                <w:szCs w:val="20"/>
                <w:color w:val="auto"/>
              </w:rPr>
            </w:pPr>
            <w:r>
              <w:rPr>
                <w:rFonts w:ascii="Arial" w:cs="Arial" w:eastAsia="Arial" w:hAnsi="Arial"/>
                <w:sz w:val="14"/>
                <w:szCs w:val="14"/>
                <w:color w:val="auto"/>
                <w:w w:val="92"/>
              </w:rPr>
              <w:t>_______________________________________________________________________________</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4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(1) The following table summarizes municipal debt securities as of :</w:t>
            </w: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Special revenue bonds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General obligation bonds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24.5</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Certificate of participation bonds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Tax allocation bonds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Special tax bonds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4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(2) The following table summarizes corporate debt securities as of :</w:t>
            </w: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Consumer, non-cyclical</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14.8</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Consumer, cyclical</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6.2</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Utilities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Communications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7.1</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5.2</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Technology</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materials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vMerge w:val="restart"/>
          </w:tcPr>
          <w:p>
            <w:pPr>
              <w:jc w:val="right"/>
              <w:ind w:right="273"/>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Investment Portfolio by Rating</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980" w:type="dxa"/>
            <w:vAlign w:val="bottom"/>
            <w:gridSpan w:val="2"/>
          </w:tcPr>
          <w:p>
            <w:pPr>
              <w:ind w:left="20"/>
              <w:spacing w:after="0"/>
              <w:rPr>
                <w:sz w:val="20"/>
                <w:szCs w:val="20"/>
                <w:color w:val="auto"/>
              </w:rPr>
            </w:pPr>
            <w:r>
              <w:rPr>
                <w:rFonts w:ascii="Arial" w:cs="Arial" w:eastAsia="Arial" w:hAnsi="Arial"/>
                <w:sz w:val="14"/>
                <w:szCs w:val="14"/>
                <w:b w:val="1"/>
                <w:bCs w:val="1"/>
                <w:color w:val="auto"/>
              </w:rPr>
              <w:t>Rating(1)</w:t>
            </w:r>
          </w:p>
        </w:tc>
        <w:tc>
          <w:tcPr>
            <w:tcW w:w="3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w w:val="93"/>
              </w:rPr>
              <w:t>December 31, 2016</w:t>
            </w:r>
          </w:p>
        </w:tc>
        <w:tc>
          <w:tcPr>
            <w:tcW w:w="5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w w:val="93"/>
              </w:rPr>
              <w:t>December 31, 2015</w:t>
            </w:r>
          </w:p>
        </w:tc>
        <w:tc>
          <w:tcPr>
            <w:tcW w:w="1160" w:type="dxa"/>
            <w:vAlign w:val="bottom"/>
            <w:tcBorders>
              <w:bottom w:val="single" w:sz="8" w:color="auto"/>
            </w:tcBorders>
          </w:tcPr>
          <w:p>
            <w:pPr>
              <w:spacing w:after="0"/>
              <w:rPr>
                <w:sz w:val="16"/>
                <w:szCs w:val="16"/>
                <w:color w:val="auto"/>
              </w:rPr>
            </w:pPr>
          </w:p>
        </w:tc>
      </w:tr>
      <w:tr>
        <w:trPr>
          <w:trHeight w:val="264"/>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7"/>
              </w:rPr>
              <w:t>Percent</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w w:val="93"/>
              </w:rPr>
              <w:t>Percent</w:t>
            </w:r>
          </w:p>
        </w:tc>
      </w:tr>
      <w:tr>
        <w:trPr>
          <w:trHeight w:val="250"/>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780,513</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554,789</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243"/>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Aa1</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88,977</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74,322</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5.8</w:t>
            </w:r>
          </w:p>
        </w:tc>
      </w:tr>
      <w:tr>
        <w:trPr>
          <w:trHeight w:val="27"/>
        </w:trPr>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Aa2</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101,772</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89,533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7.0</w:t>
            </w:r>
          </w:p>
        </w:tc>
      </w:tr>
      <w:tr>
        <w:trPr>
          <w:trHeight w:val="243"/>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Aa3</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89,421</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68,587</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5.4</w:t>
            </w:r>
          </w:p>
        </w:tc>
      </w:tr>
      <w:tr>
        <w:trPr>
          <w:trHeight w:val="27"/>
        </w:trPr>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A1</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143,938</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126,920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9.9</w:t>
            </w:r>
          </w:p>
        </w:tc>
      </w:tr>
      <w:tr>
        <w:trPr>
          <w:trHeight w:val="243"/>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A2</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126,113</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122,745</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9.6</w:t>
            </w:r>
          </w:p>
        </w:tc>
      </w:tr>
      <w:tr>
        <w:trPr>
          <w:trHeight w:val="27"/>
        </w:trPr>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A3</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95,926</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87,781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6.9</w:t>
            </w:r>
          </w:p>
        </w:tc>
      </w:tr>
      <w:tr>
        <w:trPr>
          <w:trHeight w:val="243"/>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Baa1</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85,864</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80,137</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6.3</w:t>
            </w:r>
          </w:p>
        </w:tc>
      </w:tr>
      <w:tr>
        <w:trPr>
          <w:trHeight w:val="27"/>
        </w:trPr>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Baa2</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71,950</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51,528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4.0</w:t>
            </w:r>
          </w:p>
        </w:tc>
      </w:tr>
      <w:tr>
        <w:trPr>
          <w:trHeight w:val="243"/>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Baa3</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24,544</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19,662</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1.5</w:t>
            </w:r>
          </w:p>
        </w:tc>
      </w:tr>
      <w:tr>
        <w:trPr>
          <w:trHeight w:val="27"/>
        </w:trPr>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Below Baa3</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6,084</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630</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0.1</w:t>
            </w:r>
          </w:p>
        </w:tc>
      </w:tr>
      <w:tr>
        <w:trPr>
          <w:trHeight w:val="250"/>
        </w:trPr>
        <w:tc>
          <w:tcPr>
            <w:tcW w:w="39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Investments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1,615,102</w:t>
            </w:r>
          </w:p>
        </w:tc>
        <w:tc>
          <w:tcPr>
            <w:tcW w:w="12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21"/>
                <w:szCs w:val="21"/>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1,276,634</w:t>
            </w:r>
          </w:p>
        </w:tc>
        <w:tc>
          <w:tcPr>
            <w:tcW w:w="12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8890</wp:posOffset>
            </wp:positionV>
            <wp:extent cx="46824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8249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-98425</wp:posOffset>
            </wp:positionV>
            <wp:extent cx="46824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82490" cy="8890"/>
                    </a:xfrm>
                    <a:prstGeom prst="rect">
                      <a:avLst/>
                    </a:prstGeom>
                    <a:noFill/>
                  </pic:spPr>
                </pic:pic>
              </a:graphicData>
            </a:graphic>
          </wp:anchor>
        </w:drawing>
      </w:r>
    </w:p>
    <w:p>
      <w:pPr>
        <w:spacing w:after="0" w:line="1"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Ratings ("Fitch") rating utilized if Moody's not available.</w:t>
      </w:r>
    </w:p>
    <w:p>
      <w:pPr>
        <w:spacing w:after="0" w:line="205" w:lineRule="exact"/>
        <w:rPr>
          <w:rFonts w:ascii="Arial" w:cs="Arial" w:eastAsia="Arial" w:hAnsi="Arial"/>
          <w:sz w:val="18"/>
          <w:szCs w:val="18"/>
          <w:color w:val="auto"/>
        </w:rPr>
      </w:pPr>
    </w:p>
    <w:p>
      <w:pPr>
        <w:ind w:left="4060"/>
        <w:spacing w:after="0"/>
        <w:rPr>
          <w:rFonts w:ascii="Arial" w:cs="Arial" w:eastAsia="Arial" w:hAnsi="Arial"/>
          <w:sz w:val="18"/>
          <w:szCs w:val="18"/>
          <w:color w:val="auto"/>
        </w:rPr>
      </w:pPr>
      <w:r>
        <w:rPr>
          <w:rFonts w:ascii="Arial" w:cs="Arial" w:eastAsia="Arial" w:hAnsi="Arial"/>
          <w:sz w:val="18"/>
          <w:szCs w:val="18"/>
          <w:b w:val="1"/>
          <w:bCs w:val="1"/>
          <w:color w:val="auto"/>
        </w:rPr>
        <w:t>Investment Portfolio by Effective Duration</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340" w:type="dxa"/>
            <w:vAlign w:val="bottom"/>
            <w:gridSpan w:val="2"/>
          </w:tcPr>
          <w:p>
            <w:pPr>
              <w:ind w:left="20"/>
              <w:spacing w:after="0"/>
              <w:rPr>
                <w:sz w:val="20"/>
                <w:szCs w:val="20"/>
                <w:color w:val="auto"/>
              </w:rPr>
            </w:pPr>
            <w:r>
              <w:rPr>
                <w:rFonts w:ascii="Arial" w:cs="Arial" w:eastAsia="Arial" w:hAnsi="Arial"/>
                <w:sz w:val="14"/>
                <w:szCs w:val="14"/>
                <w:b w:val="1"/>
                <w:bCs w:val="1"/>
                <w:color w:val="auto"/>
              </w:rPr>
              <w:t>Effective Duration</w:t>
            </w:r>
          </w:p>
        </w:tc>
        <w:tc>
          <w:tcPr>
            <w:tcW w:w="3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December 31, 2016</w:t>
            </w:r>
          </w:p>
        </w:tc>
        <w:tc>
          <w:tcPr>
            <w:tcW w:w="6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w w:val="95"/>
              </w:rPr>
              <w:t>December 31, 2015</w:t>
            </w:r>
          </w:p>
        </w:tc>
        <w:tc>
          <w:tcPr>
            <w:tcW w:w="1360" w:type="dxa"/>
            <w:vAlign w:val="bottom"/>
            <w:tcBorders>
              <w:bottom w:val="single" w:sz="8" w:color="auto"/>
            </w:tcBorders>
          </w:tcPr>
          <w:p>
            <w:pPr>
              <w:spacing w:after="0"/>
              <w:rPr>
                <w:sz w:val="16"/>
                <w:szCs w:val="16"/>
                <w:color w:val="auto"/>
              </w:rPr>
            </w:pPr>
          </w:p>
        </w:tc>
      </w:tr>
      <w:tr>
        <w:trPr>
          <w:trHeight w:val="264"/>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Percent</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Percent</w:t>
            </w:r>
          </w:p>
        </w:tc>
      </w:tr>
      <w:tr>
        <w:trPr>
          <w:trHeight w:val="250"/>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&lt; 1 Year</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329,901</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235,001</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43"/>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1 to &lt; 2 Years</w:t>
            </w:r>
          </w:p>
        </w:tc>
        <w:tc>
          <w:tcPr>
            <w:tcW w:w="34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153,184</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141,995</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11.1</w:t>
            </w:r>
          </w:p>
        </w:tc>
      </w:tr>
      <w:tr>
        <w:trPr>
          <w:trHeight w:val="27"/>
        </w:trPr>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 to &lt; 3 Years</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156,620</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214,274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16.8</w:t>
            </w:r>
          </w:p>
        </w:tc>
      </w:tr>
      <w:tr>
        <w:trPr>
          <w:trHeight w:val="243"/>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3 to &lt; 4 Years</w:t>
            </w:r>
          </w:p>
        </w:tc>
        <w:tc>
          <w:tcPr>
            <w:tcW w:w="34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176,896</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104,772</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8.2</w:t>
            </w:r>
          </w:p>
        </w:tc>
      </w:tr>
      <w:tr>
        <w:trPr>
          <w:trHeight w:val="27"/>
        </w:trPr>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4 to &lt; 5 Years</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139,115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141,428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11.1</w:t>
            </w:r>
          </w:p>
        </w:tc>
      </w:tr>
      <w:tr>
        <w:trPr>
          <w:trHeight w:val="243"/>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5 or more Years</w:t>
            </w:r>
          </w:p>
        </w:tc>
        <w:tc>
          <w:tcPr>
            <w:tcW w:w="34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659,386</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439,164</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34.4</w:t>
            </w:r>
          </w:p>
        </w:tc>
      </w:tr>
      <w:tr>
        <w:trPr>
          <w:trHeight w:val="27"/>
        </w:trPr>
        <w:tc>
          <w:tcPr>
            <w:tcW w:w="3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Investments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1,615,102</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1,276,634</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r>
      <w:tr>
        <w:trPr>
          <w:trHeight w:val="20"/>
        </w:trPr>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662"/>
        </w:trPr>
        <w:tc>
          <w:tcPr>
            <w:tcW w:w="3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gridSpan w:val="3"/>
          </w:tcPr>
          <w:p>
            <w:pPr>
              <w:jc w:val="right"/>
              <w:ind w:right="180"/>
              <w:spacing w:after="0"/>
              <w:rPr>
                <w:sz w:val="20"/>
                <w:szCs w:val="20"/>
                <w:color w:val="auto"/>
              </w:rPr>
            </w:pPr>
            <w:r>
              <w:rPr>
                <w:rFonts w:ascii="Arial" w:cs="Arial" w:eastAsia="Arial" w:hAnsi="Arial"/>
                <w:sz w:val="18"/>
                <w:szCs w:val="18"/>
                <w:color w:val="auto"/>
              </w:rPr>
              <w:t>76</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00"/>
          </w:cols>
          <w:pgMar w:left="240" w:top="580" w:right="25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Top Ten Portfolio Holdings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6"/>
              </w:rPr>
              <w:t>December 31, 2016</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0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Rank</w:t>
            </w:r>
          </w:p>
        </w:tc>
        <w:tc>
          <w:tcPr>
            <w:tcW w:w="3280" w:type="dxa"/>
            <w:vAlign w:val="bottom"/>
            <w:gridSpan w:val="2"/>
            <w:vMerge w:val="restart"/>
          </w:tcPr>
          <w:p>
            <w:pPr>
              <w:ind w:left="1400"/>
              <w:spacing w:after="0"/>
              <w:rPr>
                <w:sz w:val="20"/>
                <w:szCs w:val="20"/>
                <w:color w:val="auto"/>
              </w:rPr>
            </w:pPr>
            <w:r>
              <w:rPr>
                <w:rFonts w:ascii="Arial" w:cs="Arial" w:eastAsia="Arial" w:hAnsi="Arial"/>
                <w:sz w:val="14"/>
                <w:szCs w:val="14"/>
                <w:b w:val="1"/>
                <w:bCs w:val="1"/>
                <w:color w:val="auto"/>
              </w:rPr>
              <w:t>Security</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3"/>
                <w:szCs w:val="13"/>
                <w:color w:val="auto"/>
              </w:rPr>
            </w:pPr>
          </w:p>
        </w:tc>
        <w:tc>
          <w:tcPr>
            <w:tcW w:w="118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2"/>
        </w:trPr>
        <w:tc>
          <w:tcPr>
            <w:tcW w:w="2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6"/>
                <w:szCs w:val="16"/>
                <w:color w:val="auto"/>
              </w:rPr>
            </w:pPr>
          </w:p>
        </w:tc>
        <w:tc>
          <w:tcPr>
            <w:tcW w:w="32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7"/>
              </w:rPr>
              <w:t>Gain (Loss)(1)</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Rating(2)</w:t>
            </w:r>
          </w:p>
        </w:tc>
        <w:tc>
          <w:tcPr>
            <w:tcW w:w="0" w:type="dxa"/>
            <w:vAlign w:val="bottom"/>
          </w:tcPr>
          <w:p>
            <w:pPr>
              <w:spacing w:after="0"/>
              <w:rPr>
                <w:sz w:val="1"/>
                <w:szCs w:val="1"/>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Treasury 2.125% 5/15/2025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19,687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19,747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60" w:type="dxa"/>
            <w:vAlign w:val="bottom"/>
          </w:tcPr>
          <w:p>
            <w:pPr>
              <w:ind w:left="40"/>
              <w:spacing w:after="0"/>
              <w:rPr>
                <w:sz w:val="20"/>
                <w:szCs w:val="20"/>
                <w:color w:val="auto"/>
              </w:rPr>
            </w:pPr>
            <w:r>
              <w:rPr>
                <w:rFonts w:ascii="Arial" w:cs="Arial" w:eastAsia="Arial" w:hAnsi="Arial"/>
                <w:sz w:val="18"/>
                <w:szCs w:val="18"/>
                <w:color w:val="auto"/>
                <w:w w:val="90"/>
              </w:rPr>
              <w:t>U.S. Treasury 1.500%</w:t>
            </w:r>
          </w:p>
        </w:tc>
        <w:tc>
          <w:tcPr>
            <w:tcW w:w="1620" w:type="dxa"/>
            <w:vAlign w:val="bottom"/>
          </w:tcPr>
          <w:p>
            <w:pPr>
              <w:ind w:left="20"/>
              <w:spacing w:after="0"/>
              <w:rPr>
                <w:sz w:val="20"/>
                <w:szCs w:val="20"/>
                <w:color w:val="auto"/>
              </w:rPr>
            </w:pPr>
            <w:r>
              <w:rPr>
                <w:rFonts w:ascii="Arial" w:cs="Arial" w:eastAsia="Arial" w:hAnsi="Arial"/>
                <w:sz w:val="18"/>
                <w:szCs w:val="18"/>
                <w:color w:val="auto"/>
              </w:rPr>
              <w:t>8/15/2026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18,833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20,392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(1,559)</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U.S. Treasury 2.250%</w:t>
            </w:r>
          </w:p>
        </w:tc>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11/15/2024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16,385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16,841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60" w:type="dxa"/>
            <w:vAlign w:val="bottom"/>
          </w:tcPr>
          <w:p>
            <w:pPr>
              <w:ind w:left="40"/>
              <w:spacing w:after="0"/>
              <w:rPr>
                <w:sz w:val="20"/>
                <w:szCs w:val="20"/>
                <w:color w:val="auto"/>
              </w:rPr>
            </w:pPr>
            <w:r>
              <w:rPr>
                <w:rFonts w:ascii="Arial" w:cs="Arial" w:eastAsia="Arial" w:hAnsi="Arial"/>
                <w:sz w:val="18"/>
                <w:szCs w:val="18"/>
                <w:color w:val="auto"/>
                <w:w w:val="90"/>
              </w:rPr>
              <w:t>U.S. Treasury 0.000%</w:t>
            </w:r>
          </w:p>
        </w:tc>
        <w:tc>
          <w:tcPr>
            <w:tcW w:w="1620" w:type="dxa"/>
            <w:vAlign w:val="bottom"/>
          </w:tcPr>
          <w:p>
            <w:pPr>
              <w:ind w:left="20"/>
              <w:spacing w:after="0"/>
              <w:rPr>
                <w:sz w:val="20"/>
                <w:szCs w:val="20"/>
                <w:color w:val="auto"/>
              </w:rPr>
            </w:pPr>
            <w:r>
              <w:rPr>
                <w:rFonts w:ascii="Arial" w:cs="Arial" w:eastAsia="Arial" w:hAnsi="Arial"/>
                <w:sz w:val="18"/>
                <w:szCs w:val="18"/>
                <w:color w:val="auto"/>
              </w:rPr>
              <w:t>1/12/2017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14,998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14,999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Ginnie Mae 4.000% 7/20/2045</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14,504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400" w:type="dxa"/>
            <w:vAlign w:val="bottom"/>
            <w:gridSpan w:val="3"/>
          </w:tcPr>
          <w:p>
            <w:pPr>
              <w:ind w:left="40"/>
              <w:spacing w:after="0"/>
              <w:rPr>
                <w:sz w:val="20"/>
                <w:szCs w:val="20"/>
                <w:color w:val="auto"/>
              </w:rPr>
            </w:pPr>
            <w:r>
              <w:rPr>
                <w:rFonts w:ascii="Arial" w:cs="Arial" w:eastAsia="Arial" w:hAnsi="Arial"/>
                <w:sz w:val="18"/>
                <w:szCs w:val="18"/>
                <w:color w:val="auto"/>
              </w:rPr>
              <w:t>Ginnie Mae 4.000% 8/20/2045</w:t>
            </w:r>
          </w:p>
        </w:tc>
        <w:tc>
          <w:tcPr>
            <w:tcW w:w="16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14,374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14,607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U.S. Treasury 5.250%</w:t>
            </w:r>
          </w:p>
        </w:tc>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11/15/2028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13,119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400" w:type="dxa"/>
            <w:vAlign w:val="bottom"/>
            <w:gridSpan w:val="3"/>
          </w:tcPr>
          <w:p>
            <w:pPr>
              <w:ind w:left="40"/>
              <w:spacing w:after="0"/>
              <w:rPr>
                <w:sz w:val="20"/>
                <w:szCs w:val="20"/>
                <w:color w:val="auto"/>
              </w:rPr>
            </w:pPr>
            <w:r>
              <w:rPr>
                <w:rFonts w:ascii="Arial" w:cs="Arial" w:eastAsia="Arial" w:hAnsi="Arial"/>
                <w:sz w:val="18"/>
                <w:szCs w:val="18"/>
                <w:color w:val="auto"/>
              </w:rPr>
              <w:t>Freddie Mac 2.500% 10/1/2030</w:t>
            </w:r>
          </w:p>
        </w:tc>
        <w:tc>
          <w:tcPr>
            <w:tcW w:w="16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12,780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13,006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Fannie Mae 3.000% 7/25/2045</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10,953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0" w:type="dxa"/>
            <w:vAlign w:val="bottom"/>
            <w:gridSpan w:val="3"/>
          </w:tcPr>
          <w:p>
            <w:pPr>
              <w:ind w:left="40"/>
              <w:spacing w:after="0"/>
              <w:rPr>
                <w:sz w:val="20"/>
                <w:szCs w:val="20"/>
                <w:color w:val="auto"/>
              </w:rPr>
            </w:pPr>
            <w:r>
              <w:rPr>
                <w:rFonts w:ascii="Arial" w:cs="Arial" w:eastAsia="Arial" w:hAnsi="Arial"/>
                <w:sz w:val="18"/>
                <w:szCs w:val="18"/>
                <w:color w:val="auto"/>
              </w:rPr>
              <w:t>Freddie Mac 3.000% 8/1/2046</w:t>
            </w:r>
          </w:p>
        </w:tc>
        <w:tc>
          <w:tcPr>
            <w:tcW w:w="16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10,810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11,358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146,443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150,683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(4,240)</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040" w:type="dxa"/>
            <w:vAlign w:val="bottom"/>
            <w:gridSpan w:val="2"/>
          </w:tcPr>
          <w:p>
            <w:pPr>
              <w:ind w:left="40"/>
              <w:spacing w:after="0"/>
              <w:rPr>
                <w:sz w:val="20"/>
                <w:szCs w:val="20"/>
                <w:color w:val="auto"/>
              </w:rPr>
            </w:pPr>
            <w:r>
              <w:rPr>
                <w:rFonts w:ascii="Arial" w:cs="Arial" w:eastAsia="Arial" w:hAnsi="Arial"/>
                <w:sz w:val="18"/>
                <w:szCs w:val="18"/>
                <w:b w:val="1"/>
                <w:bCs w:val="1"/>
                <w:color w:val="auto"/>
              </w:rPr>
              <w:t>Percent of Investment Portfolio</w:t>
            </w:r>
          </w:p>
        </w:tc>
        <w:tc>
          <w:tcPr>
            <w:tcW w:w="16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8890</wp:posOffset>
            </wp:positionV>
            <wp:extent cx="8661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-98425</wp:posOffset>
            </wp:positionV>
            <wp:extent cx="8661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 w:lineRule="exact"/>
        <w:rPr>
          <w:sz w:val="20"/>
          <w:szCs w:val="20"/>
          <w:color w:val="auto"/>
        </w:rPr>
      </w:pPr>
    </w:p>
    <w:p>
      <w:pPr>
        <w:ind w:left="340" w:right="20" w:hanging="332"/>
        <w:spacing w:after="0" w:line="253"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 of December 31, 2016, for securities in unrealized loss positions, management believes decline in fair values is principally associated with the changes in the interest rate environment subsequent to their purchase. Also, see Note 3 to our consolidated financial statements, which summarizes the aggregate amount of gross unrealized losses by asset class in which the fair value of investments has been less than cost for more than 12 months and less than 12 months.</w:t>
      </w:r>
    </w:p>
    <w:p>
      <w:pPr>
        <w:spacing w:after="0" w:line="191" w:lineRule="exact"/>
        <w:rPr>
          <w:rFonts w:ascii="Arial" w:cs="Arial" w:eastAsia="Arial" w:hAnsi="Arial"/>
          <w:sz w:val="18"/>
          <w:szCs w:val="18"/>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 utilized if Moody’s not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240" w:type="dxa"/>
            <w:vAlign w:val="bottom"/>
            <w:gridSpan w:val="2"/>
          </w:tcPr>
          <w:p>
            <w:pPr>
              <w:ind w:left="20"/>
              <w:spacing w:after="0"/>
              <w:rPr>
                <w:sz w:val="20"/>
                <w:szCs w:val="20"/>
                <w:color w:val="auto"/>
              </w:rPr>
            </w:pPr>
            <w:r>
              <w:rPr>
                <w:rFonts w:ascii="Arial" w:cs="Arial" w:eastAsia="Arial" w:hAnsi="Arial"/>
                <w:sz w:val="14"/>
                <w:szCs w:val="14"/>
                <w:b w:val="1"/>
                <w:bCs w:val="1"/>
                <w:color w:val="auto"/>
              </w:rPr>
              <w:t>Rank</w:t>
            </w:r>
          </w:p>
        </w:tc>
        <w:tc>
          <w:tcPr>
            <w:tcW w:w="1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140" w:type="dxa"/>
            <w:vAlign w:val="bottom"/>
            <w:tcBorders>
              <w:bottom w:val="single" w:sz="8" w:color="auto"/>
            </w:tcBorders>
            <w:gridSpan w:val="3"/>
          </w:tcPr>
          <w:p>
            <w:pPr>
              <w:jc w:val="right"/>
              <w:ind w:right="2260"/>
              <w:spacing w:after="0"/>
              <w:rPr>
                <w:sz w:val="20"/>
                <w:szCs w:val="20"/>
                <w:color w:val="auto"/>
              </w:rPr>
            </w:pPr>
            <w:r>
              <w:rPr>
                <w:rFonts w:ascii="Arial" w:cs="Arial" w:eastAsia="Arial" w:hAnsi="Arial"/>
                <w:sz w:val="14"/>
                <w:szCs w:val="14"/>
                <w:b w:val="1"/>
                <w:bCs w:val="1"/>
                <w:color w:val="auto"/>
              </w:rPr>
              <w:t>December 31, 2015</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tcPr>
          <w:p>
            <w:pPr>
              <w:jc w:val="right"/>
              <w:ind w:right="2939"/>
              <w:spacing w:after="0"/>
              <w:rPr>
                <w:sz w:val="20"/>
                <w:szCs w:val="20"/>
                <w:color w:val="auto"/>
              </w:rPr>
            </w:pPr>
            <w:r>
              <w:rPr>
                <w:rFonts w:ascii="Arial" w:cs="Arial" w:eastAsia="Arial" w:hAnsi="Arial"/>
                <w:sz w:val="14"/>
                <w:szCs w:val="14"/>
                <w:b w:val="1"/>
                <w:bCs w:val="1"/>
                <w:color w:val="auto"/>
              </w:rPr>
              <w:t>Security</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2.125% 5/15/2025</w:t>
            </w:r>
          </w:p>
        </w:tc>
        <w:tc>
          <w:tcPr>
            <w:tcW w:w="4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24,974</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Ginnie Mae 4.000% 8/20/2045</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21,711</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gridSpan w:val="2"/>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9"/>
              </w:rPr>
              <w:t>U.S. Treasury 2.250% 11/15/2024</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16,495</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Freddie Mac 2.500% 10/1/2030</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15,697</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gridSpan w:val="2"/>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2.125% 6/30/2022</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15,080</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60" w:type="dxa"/>
            <w:vAlign w:val="bottom"/>
          </w:tcPr>
          <w:p>
            <w:pPr>
              <w:ind w:left="40"/>
              <w:spacing w:after="0"/>
              <w:rPr>
                <w:sz w:val="20"/>
                <w:szCs w:val="20"/>
                <w:color w:val="auto"/>
              </w:rPr>
            </w:pPr>
            <w:r>
              <w:rPr>
                <w:rFonts w:ascii="Arial" w:cs="Arial" w:eastAsia="Arial" w:hAnsi="Arial"/>
                <w:sz w:val="18"/>
                <w:szCs w:val="18"/>
                <w:color w:val="auto"/>
                <w:w w:val="90"/>
              </w:rPr>
              <w:t>U.S. Treasury 0.000%</w:t>
            </w:r>
          </w:p>
        </w:tc>
        <w:tc>
          <w:tcPr>
            <w:tcW w:w="1100" w:type="dxa"/>
            <w:vAlign w:val="bottom"/>
          </w:tcPr>
          <w:p>
            <w:pPr>
              <w:ind w:left="20"/>
              <w:spacing w:after="0"/>
              <w:rPr>
                <w:sz w:val="20"/>
                <w:szCs w:val="20"/>
                <w:color w:val="auto"/>
              </w:rPr>
            </w:pPr>
            <w:r>
              <w:rPr>
                <w:rFonts w:ascii="Arial" w:cs="Arial" w:eastAsia="Arial" w:hAnsi="Arial"/>
                <w:sz w:val="18"/>
                <w:szCs w:val="18"/>
                <w:color w:val="auto"/>
              </w:rPr>
              <w:t>3/3/2016</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14,997</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gridSpan w:val="2"/>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Fannie Mae 1.500% 6/22/2020</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11,362</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60" w:type="dxa"/>
            <w:vAlign w:val="bottom"/>
          </w:tcPr>
          <w:p>
            <w:pPr>
              <w:ind w:left="40"/>
              <w:spacing w:after="0"/>
              <w:rPr>
                <w:sz w:val="20"/>
                <w:szCs w:val="20"/>
                <w:color w:val="auto"/>
              </w:rPr>
            </w:pPr>
            <w:r>
              <w:rPr>
                <w:rFonts w:ascii="Arial" w:cs="Arial" w:eastAsia="Arial" w:hAnsi="Arial"/>
                <w:sz w:val="18"/>
                <w:szCs w:val="18"/>
                <w:color w:val="auto"/>
                <w:w w:val="90"/>
              </w:rPr>
              <w:t>U.S. Treasury 2.250%</w:t>
            </w:r>
          </w:p>
        </w:tc>
        <w:tc>
          <w:tcPr>
            <w:tcW w:w="1100" w:type="dxa"/>
            <w:vAlign w:val="bottom"/>
          </w:tcPr>
          <w:p>
            <w:pPr>
              <w:ind w:left="20"/>
              <w:spacing w:after="0"/>
              <w:rPr>
                <w:sz w:val="20"/>
                <w:szCs w:val="20"/>
                <w:color w:val="auto"/>
              </w:rPr>
            </w:pPr>
            <w:r>
              <w:rPr>
                <w:rFonts w:ascii="Arial" w:cs="Arial" w:eastAsia="Arial" w:hAnsi="Arial"/>
                <w:sz w:val="18"/>
                <w:szCs w:val="18"/>
                <w:color w:val="auto"/>
              </w:rPr>
              <w:t>11/15/2025</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10,329</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U.S. Treasury 1.000%</w:t>
            </w:r>
          </w:p>
        </w:tc>
        <w:tc>
          <w:tcPr>
            <w:tcW w:w="1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9/30/2016</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10,020</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60" w:type="dxa"/>
            <w:vAlign w:val="bottom"/>
          </w:tcPr>
          <w:p>
            <w:pPr>
              <w:ind w:left="40"/>
              <w:spacing w:after="0"/>
              <w:rPr>
                <w:sz w:val="20"/>
                <w:szCs w:val="20"/>
                <w:color w:val="auto"/>
              </w:rPr>
            </w:pPr>
            <w:r>
              <w:rPr>
                <w:rFonts w:ascii="Arial" w:cs="Arial" w:eastAsia="Arial" w:hAnsi="Arial"/>
                <w:sz w:val="18"/>
                <w:szCs w:val="18"/>
                <w:color w:val="auto"/>
                <w:w w:val="90"/>
              </w:rPr>
              <w:t>U.S. Treasury 0.750%</w:t>
            </w:r>
          </w:p>
        </w:tc>
        <w:tc>
          <w:tcPr>
            <w:tcW w:w="1100" w:type="dxa"/>
            <w:vAlign w:val="bottom"/>
          </w:tcPr>
          <w:p>
            <w:pPr>
              <w:ind w:left="20"/>
              <w:spacing w:after="0"/>
              <w:rPr>
                <w:sz w:val="20"/>
                <w:szCs w:val="20"/>
                <w:color w:val="auto"/>
              </w:rPr>
            </w:pPr>
            <w:r>
              <w:rPr>
                <w:rFonts w:ascii="Arial" w:cs="Arial" w:eastAsia="Arial" w:hAnsi="Arial"/>
                <w:sz w:val="18"/>
                <w:szCs w:val="18"/>
                <w:color w:val="auto"/>
              </w:rPr>
              <w:t>3/15/2017</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9,987</w:t>
            </w: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150,652</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240" w:type="dxa"/>
            <w:vAlign w:val="bottom"/>
            <w:gridSpan w:val="2"/>
          </w:tcPr>
          <w:p>
            <w:pPr>
              <w:ind w:left="20"/>
              <w:spacing w:after="0"/>
              <w:rPr>
                <w:sz w:val="20"/>
                <w:szCs w:val="20"/>
                <w:color w:val="auto"/>
              </w:rPr>
            </w:pPr>
            <w:r>
              <w:rPr>
                <w:rFonts w:ascii="Arial" w:cs="Arial" w:eastAsia="Arial" w:hAnsi="Arial"/>
                <w:sz w:val="18"/>
                <w:szCs w:val="18"/>
                <w:b w:val="1"/>
                <w:bCs w:val="1"/>
                <w:color w:val="auto"/>
              </w:rPr>
              <w:t>Percent of Investment Portfolio</w:t>
            </w:r>
          </w:p>
        </w:tc>
        <w:tc>
          <w:tcPr>
            <w:tcW w:w="1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00" w:type="dxa"/>
            <w:vAlign w:val="bottom"/>
            <w:vMerge w:val="restart"/>
          </w:tcPr>
          <w:p>
            <w:pPr>
              <w:ind w:left="680"/>
              <w:spacing w:after="0"/>
              <w:rPr>
                <w:sz w:val="20"/>
                <w:szCs w:val="20"/>
                <w:color w:val="auto"/>
              </w:rPr>
            </w:pPr>
            <w:r>
              <w:rPr>
                <w:rFonts w:ascii="Arial" w:cs="Arial" w:eastAsia="Arial" w:hAnsi="Arial"/>
                <w:sz w:val="18"/>
                <w:szCs w:val="18"/>
                <w:color w:val="auto"/>
              </w:rPr>
              <w:t>77</w:t>
            </w:r>
          </w:p>
        </w:tc>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82" w:name="page83"/>
    <w:bookmarkEnd w:id="82"/>
    <w:p>
      <w:pPr>
        <w:ind w:left="440"/>
        <w:spacing w:after="0"/>
        <w:rPr>
          <w:sz w:val="20"/>
          <w:szCs w:val="20"/>
          <w:color w:val="auto"/>
        </w:rPr>
      </w:pPr>
      <w:r>
        <w:rPr>
          <w:rFonts w:ascii="Arial" w:cs="Arial" w:eastAsia="Arial" w:hAnsi="Arial"/>
          <w:sz w:val="16"/>
          <w:szCs w:val="16"/>
          <w:color w:val="auto"/>
        </w:rPr>
        <w:t>The following table includes municipal securities for states that represent more than 10% of the total municipal bond position as of December 31, 2016:</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jc w:val="right"/>
              <w:ind w:right="431"/>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7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 (1), (2)</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Texas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20" w:type="dxa"/>
            <w:vAlign w:val="bottom"/>
            <w:gridSpan w:val="2"/>
          </w:tcPr>
          <w:p>
            <w:pPr>
              <w:ind w:left="260"/>
              <w:spacing w:after="0"/>
              <w:rPr>
                <w:sz w:val="20"/>
                <w:szCs w:val="20"/>
                <w:color w:val="auto"/>
              </w:rPr>
            </w:pPr>
            <w:r>
              <w:rPr>
                <w:rFonts w:ascii="Arial" w:cs="Arial" w:eastAsia="Arial" w:hAnsi="Arial"/>
                <w:sz w:val="18"/>
                <w:szCs w:val="18"/>
                <w:color w:val="auto"/>
              </w:rPr>
              <w:t>State of Texas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7,319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7,414</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Baa1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9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City of Houston</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3,353</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20" w:type="dxa"/>
            <w:vAlign w:val="bottom"/>
            <w:gridSpan w:val="2"/>
          </w:tcPr>
          <w:p>
            <w:pPr>
              <w:ind w:left="260"/>
              <w:spacing w:after="0"/>
              <w:rPr>
                <w:sz w:val="20"/>
                <w:szCs w:val="20"/>
                <w:color w:val="auto"/>
              </w:rPr>
            </w:pPr>
            <w:r>
              <w:rPr>
                <w:rFonts w:ascii="Arial" w:cs="Arial" w:eastAsia="Arial" w:hAnsi="Arial"/>
                <w:sz w:val="18"/>
                <w:szCs w:val="18"/>
                <w:color w:val="auto"/>
              </w:rPr>
              <w:t>University of Houston System</w:t>
            </w: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3,245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3,362</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9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Dallas/Fort Worth International Airport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2,752</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20" w:type="dxa"/>
            <w:vAlign w:val="bottom"/>
            <w:gridSpan w:val="2"/>
          </w:tcPr>
          <w:p>
            <w:pPr>
              <w:ind w:left="260"/>
              <w:spacing w:after="0"/>
              <w:rPr>
                <w:sz w:val="20"/>
                <w:szCs w:val="20"/>
                <w:color w:val="auto"/>
              </w:rPr>
            </w:pPr>
            <w:r>
              <w:rPr>
                <w:rFonts w:ascii="Arial" w:cs="Arial" w:eastAsia="Arial" w:hAnsi="Arial"/>
                <w:sz w:val="18"/>
                <w:szCs w:val="18"/>
                <w:color w:val="auto"/>
              </w:rPr>
              <w:t>City of El Paso</w:t>
            </w: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2,498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2,512</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9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City of Austin</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2,224</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20" w:type="dxa"/>
            <w:vAlign w:val="bottom"/>
            <w:gridSpan w:val="2"/>
          </w:tcPr>
          <w:p>
            <w:pPr>
              <w:ind w:left="260"/>
              <w:spacing w:after="0"/>
              <w:rPr>
                <w:sz w:val="20"/>
                <w:szCs w:val="20"/>
                <w:color w:val="auto"/>
              </w:rPr>
            </w:pPr>
            <w:r>
              <w:rPr>
                <w:rFonts w:ascii="Arial" w:cs="Arial" w:eastAsia="Arial" w:hAnsi="Arial"/>
                <w:sz w:val="18"/>
                <w:szCs w:val="18"/>
                <w:color w:val="auto"/>
              </w:rPr>
              <w:t>Harris County Cultural Education</w:t>
            </w: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1,996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9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Carrollton-Farmers Branch Independent School District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20" w:type="dxa"/>
            <w:vAlign w:val="bottom"/>
            <w:gridSpan w:val="2"/>
          </w:tcPr>
          <w:p>
            <w:pPr>
              <w:ind w:left="260"/>
              <w:spacing w:after="0"/>
              <w:rPr>
                <w:sz w:val="20"/>
                <w:szCs w:val="20"/>
                <w:color w:val="auto"/>
              </w:rPr>
            </w:pPr>
            <w:r>
              <w:rPr>
                <w:rFonts w:ascii="Arial" w:cs="Arial" w:eastAsia="Arial" w:hAnsi="Arial"/>
                <w:sz w:val="18"/>
                <w:szCs w:val="18"/>
                <w:color w:val="auto"/>
              </w:rPr>
              <w:t>City of Dallas</w:t>
            </w: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1,762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9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Alamo Community College District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1,665</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20" w:type="dxa"/>
            <w:vAlign w:val="bottom"/>
            <w:gridSpan w:val="2"/>
          </w:tcPr>
          <w:p>
            <w:pPr>
              <w:ind w:left="260"/>
              <w:spacing w:after="0"/>
              <w:rPr>
                <w:sz w:val="20"/>
                <w:szCs w:val="20"/>
                <w:color w:val="auto"/>
              </w:rPr>
            </w:pPr>
            <w:r>
              <w:rPr>
                <w:rFonts w:ascii="Arial" w:cs="Arial" w:eastAsia="Arial" w:hAnsi="Arial"/>
                <w:sz w:val="18"/>
                <w:szCs w:val="18"/>
                <w:color w:val="auto"/>
              </w:rPr>
              <w:t>Tarrant Regional Water District</w:t>
            </w: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9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City of College Station</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1,491</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20" w:type="dxa"/>
            <w:vAlign w:val="bottom"/>
            <w:gridSpan w:val="2"/>
          </w:tcPr>
          <w:p>
            <w:pPr>
              <w:ind w:left="260"/>
              <w:spacing w:after="0"/>
              <w:rPr>
                <w:sz w:val="20"/>
                <w:szCs w:val="20"/>
                <w:color w:val="auto"/>
              </w:rPr>
            </w:pPr>
            <w:r>
              <w:rPr>
                <w:rFonts w:ascii="Arial" w:cs="Arial" w:eastAsia="Arial" w:hAnsi="Arial"/>
                <w:sz w:val="18"/>
                <w:szCs w:val="18"/>
                <w:color w:val="auto"/>
              </w:rPr>
              <w:t>Bryan Independent School District</w:t>
            </w: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1,356</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9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City of San Antonio</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1,233</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20" w:type="dxa"/>
            <w:vAlign w:val="bottom"/>
            <w:gridSpan w:val="2"/>
          </w:tcPr>
          <w:p>
            <w:pPr>
              <w:ind w:left="260"/>
              <w:spacing w:after="0"/>
              <w:rPr>
                <w:sz w:val="20"/>
                <w:szCs w:val="20"/>
                <w:color w:val="auto"/>
              </w:rPr>
            </w:pPr>
            <w:r>
              <w:rPr>
                <w:rFonts w:ascii="Arial" w:cs="Arial" w:eastAsia="Arial" w:hAnsi="Arial"/>
                <w:sz w:val="18"/>
                <w:szCs w:val="18"/>
                <w:color w:val="auto"/>
              </w:rPr>
              <w:t>Alvin Independent School District</w:t>
            </w: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9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Spring Independent School District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1,270</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20" w:type="dxa"/>
            <w:vAlign w:val="bottom"/>
            <w:gridSpan w:val="2"/>
          </w:tcPr>
          <w:p>
            <w:pPr>
              <w:ind w:left="260"/>
              <w:spacing w:after="0"/>
              <w:rPr>
                <w:sz w:val="20"/>
                <w:szCs w:val="20"/>
                <w:color w:val="auto"/>
              </w:rPr>
            </w:pPr>
            <w:r>
              <w:rPr>
                <w:rFonts w:ascii="Arial" w:cs="Arial" w:eastAsia="Arial" w:hAnsi="Arial"/>
                <w:sz w:val="18"/>
                <w:szCs w:val="18"/>
                <w:color w:val="auto"/>
              </w:rPr>
              <w:t>City of Corpus Christi</w:t>
            </w: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9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Pharr-San Juan-Alamo Independent School District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1,118</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20" w:type="dxa"/>
            <w:vAlign w:val="bottom"/>
            <w:gridSpan w:val="2"/>
          </w:tcPr>
          <w:p>
            <w:pPr>
              <w:ind w:left="260"/>
              <w:spacing w:after="0"/>
              <w:rPr>
                <w:sz w:val="20"/>
                <w:szCs w:val="20"/>
                <w:color w:val="auto"/>
              </w:rPr>
            </w:pPr>
            <w:r>
              <w:rPr>
                <w:rFonts w:ascii="Arial" w:cs="Arial" w:eastAsia="Arial" w:hAnsi="Arial"/>
                <w:sz w:val="18"/>
                <w:szCs w:val="18"/>
                <w:color w:val="auto"/>
              </w:rPr>
              <w:t>Port Arthur Independent School District</w:t>
            </w: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9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Harlandale Independent School District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920" w:type="dxa"/>
            <w:vAlign w:val="bottom"/>
            <w:gridSpan w:val="2"/>
          </w:tcPr>
          <w:p>
            <w:pPr>
              <w:ind w:left="260"/>
              <w:spacing w:after="0"/>
              <w:rPr>
                <w:sz w:val="20"/>
                <w:szCs w:val="20"/>
                <w:color w:val="auto"/>
              </w:rPr>
            </w:pPr>
            <w:r>
              <w:rPr>
                <w:rFonts w:ascii="Arial" w:cs="Arial" w:eastAsia="Arial" w:hAnsi="Arial"/>
                <w:sz w:val="18"/>
                <w:szCs w:val="18"/>
                <w:color w:val="auto"/>
              </w:rPr>
              <w:t>San Jacinto Community College District</w:t>
            </w: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5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42,185</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7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820" w:type="dxa"/>
            <w:vAlign w:val="bottom"/>
            <w:gridSpan w:val="2"/>
            <w:vMerge w:val="restart"/>
          </w:tcPr>
          <w:p>
            <w:pPr>
              <w:jc w:val="right"/>
              <w:ind w:right="31"/>
              <w:spacing w:after="0"/>
              <w:rPr>
                <w:sz w:val="20"/>
                <w:szCs w:val="20"/>
                <w:color w:val="auto"/>
              </w:rPr>
            </w:pPr>
            <w:r>
              <w:rPr>
                <w:rFonts w:ascii="Arial" w:cs="Arial" w:eastAsia="Arial" w:hAnsi="Arial"/>
                <w:sz w:val="14"/>
                <w:szCs w:val="14"/>
                <w:color w:val="auto"/>
                <w:w w:val="92"/>
              </w:rPr>
              <w:t>_______________________________________________________________________________</w:t>
            </w:r>
          </w:p>
        </w:tc>
        <w:tc>
          <w:tcPr>
            <w:tcW w:w="14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82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right="100" w:hanging="332"/>
        <w:spacing w:after="0" w:line="259"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None of the above securities include financial guaranty insurance. Certain securities include state enhancements. The above ratings exclude the effect of such state enhancements.</w:t>
      </w:r>
    </w:p>
    <w:p>
      <w:pPr>
        <w:spacing w:after="0" w:line="185" w:lineRule="exact"/>
        <w:rPr>
          <w:rFonts w:ascii="Arial" w:cs="Arial" w:eastAsia="Arial" w:hAnsi="Arial"/>
          <w:sz w:val="18"/>
          <w:szCs w:val="18"/>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or Fitch rating utilized if Moody’s not available.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584" w:right="25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December 31, 2016, the approximate future payments under our contractual obligations of the type described in the table below are as follows: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center"/>
              <w:ind w:left="618"/>
              <w:spacing w:after="0"/>
              <w:rPr>
                <w:sz w:val="20"/>
                <w:szCs w:val="20"/>
                <w:color w:val="auto"/>
              </w:rPr>
            </w:pPr>
            <w:r>
              <w:rPr>
                <w:rFonts w:ascii="Arial" w:cs="Arial" w:eastAsia="Arial" w:hAnsi="Arial"/>
                <w:sz w:val="14"/>
                <w:szCs w:val="14"/>
                <w:b w:val="1"/>
                <w:bCs w:val="1"/>
                <w:color w:val="auto"/>
                <w:w w:val="91"/>
              </w:rPr>
              <w:t>Payments due by period</w:t>
            </w: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84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40" w:type="dxa"/>
            <w:vAlign w:val="bottom"/>
          </w:tcPr>
          <w:p>
            <w:pPr>
              <w:spacing w:after="0"/>
              <w:rPr>
                <w:sz w:val="13"/>
                <w:szCs w:val="13"/>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Less than</w:t>
            </w:r>
          </w:p>
        </w:tc>
        <w:tc>
          <w:tcPr>
            <w:tcW w:w="16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1 - 3 years</w:t>
            </w:r>
          </w:p>
        </w:tc>
        <w:tc>
          <w:tcPr>
            <w:tcW w:w="16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3 - 5 years</w:t>
            </w:r>
          </w:p>
        </w:tc>
        <w:tc>
          <w:tcPr>
            <w:tcW w:w="140" w:type="dxa"/>
            <w:vAlign w:val="bottom"/>
          </w:tcPr>
          <w:p>
            <w:pPr>
              <w:spacing w:after="0"/>
              <w:rPr>
                <w:sz w:val="13"/>
                <w:szCs w:val="13"/>
                <w:color w:val="auto"/>
              </w:rPr>
            </w:pPr>
          </w:p>
        </w:tc>
        <w:tc>
          <w:tcPr>
            <w:tcW w:w="880" w:type="dxa"/>
            <w:vAlign w:val="bottom"/>
          </w:tcPr>
          <w:p>
            <w:pPr>
              <w:jc w:val="right"/>
              <w:ind w:right="96"/>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58"/>
        </w:trPr>
        <w:tc>
          <w:tcPr>
            <w:tcW w:w="584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1 year</w:t>
            </w:r>
          </w:p>
        </w:tc>
        <w:tc>
          <w:tcPr>
            <w:tcW w:w="1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216"/>
              <w:spacing w:after="0" w:line="158"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Revolving credit facility borrowings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40" w:type="dxa"/>
            <w:vAlign w:val="bottom"/>
            <w:gridSpan w:val="3"/>
          </w:tcPr>
          <w:p>
            <w:pPr>
              <w:ind w:left="40"/>
              <w:spacing w:after="0"/>
              <w:rPr>
                <w:sz w:val="20"/>
                <w:szCs w:val="20"/>
                <w:color w:val="auto"/>
              </w:rPr>
            </w:pPr>
            <w:r>
              <w:rPr>
                <w:rFonts w:ascii="Arial" w:cs="Arial" w:eastAsia="Arial" w:hAnsi="Arial"/>
                <w:sz w:val="18"/>
                <w:szCs w:val="18"/>
                <w:color w:val="auto"/>
              </w:rPr>
              <w:t>Estimated loss and LAE payments(1)</w:t>
            </w:r>
          </w:p>
        </w:tc>
        <w:tc>
          <w:tcPr>
            <w:tcW w:w="24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28,142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16,189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11,953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19,029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2,356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6,881</w:t>
            </w:r>
          </w:p>
        </w:tc>
        <w:tc>
          <w:tcPr>
            <w:tcW w:w="0" w:type="dxa"/>
            <w:vAlign w:val="bottom"/>
          </w:tcPr>
          <w:p>
            <w:pPr>
              <w:spacing w:after="0"/>
              <w:rPr>
                <w:sz w:val="1"/>
                <w:szCs w:val="1"/>
                <w:color w:val="auto"/>
              </w:rPr>
            </w:pPr>
          </w:p>
        </w:tc>
      </w:tr>
      <w:tr>
        <w:trPr>
          <w:trHeight w:val="257"/>
        </w:trPr>
        <w:tc>
          <w:tcPr>
            <w:tcW w:w="584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147,171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18,545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116,835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4,910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6,881</w:t>
            </w:r>
          </w:p>
        </w:tc>
        <w:tc>
          <w:tcPr>
            <w:tcW w:w="0" w:type="dxa"/>
            <w:vAlign w:val="bottom"/>
          </w:tcPr>
          <w:p>
            <w:pPr>
              <w:spacing w:after="0"/>
              <w:rPr>
                <w:sz w:val="1"/>
                <w:szCs w:val="1"/>
                <w:color w:val="auto"/>
              </w:rPr>
            </w:pPr>
          </w:p>
        </w:tc>
      </w:tr>
      <w:tr>
        <w:trPr>
          <w:trHeight w:val="20"/>
        </w:trPr>
        <w:tc>
          <w:tcPr>
            <w:tcW w:w="5840" w:type="dxa"/>
            <w:vAlign w:val="bottom"/>
            <w:gridSpan w:val="3"/>
            <w:vMerge w:val="restart"/>
          </w:tcPr>
          <w:p>
            <w:pPr>
              <w:spacing w:after="0"/>
              <w:rPr>
                <w:sz w:val="20"/>
                <w:szCs w:val="20"/>
                <w:color w:val="auto"/>
              </w:rPr>
            </w:pPr>
            <w:r>
              <w:rPr>
                <w:rFonts w:ascii="Arial" w:cs="Arial" w:eastAsia="Arial" w:hAnsi="Arial"/>
                <w:sz w:val="14"/>
                <w:szCs w:val="14"/>
                <w:color w:val="auto"/>
                <w:w w:val="94"/>
              </w:rPr>
              <w:t>_______________________________________________________________________________</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84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right="140" w:hanging="332"/>
        <w:spacing w:after="0" w:line="254"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estimate of loss and LAE payments reflects the application of accounting policies described below in "—Critical Accounting Policies—Reserve for Losses and Loss Adjustment Expenses." The payments due by period are based on management's estimates and assume that all of the loss and LAE reserves included in the table will result in payments.</w:t>
      </w:r>
    </w:p>
    <w:p>
      <w:pPr>
        <w:spacing w:after="0" w:line="191"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We lease office space in Pennsylvania, North Carolina, California and Bermuda under leases accounted for as operating leases. A portion of the space leased in North Carolina has been subleased to Triad; minimum lease payments shown above have not been reduced by minimum sublease rental income of $0.1 million due in 2017 under the non-cancelable sublease.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have any off-balance sheet arrangements or financing activities with special-purpose entities.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Our discussion and analysis of our financial condition and results of operation are based upon our consolidated financial statements, which have been prepared in conformity with U.S. generally accepted accounting principles ("GAAP"). In preparing our consolidated financial statements, management has made estimates, assumptions and judgments that affect the reported amounts of assets and liabilities at the date of the financial statements and the reported amounts of revenues and expenses during the reporting periods. In preparing these financial statements, management has utilized available information, including our past history, industry standards and the current and projected economic and housing environment, among other factors, in forming its estimates, assumptions and judgments, giving due consideration to materiality. Because the use of estimates is inherent in GAAP, actual results could differ from those estimates. In addition, other companies may utilize different estimates, which may impact comparability of our results of operations to those of companies in similar businesses. A summary of the accounting policies that management believes are critical to the preparation of our consolidated financial statements is set forth below.</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Insurance Premium Revenue Recognition</w:t>
      </w:r>
    </w:p>
    <w:p>
      <w:pPr>
        <w:spacing w:after="0" w:line="225" w:lineRule="exact"/>
        <w:rPr>
          <w:sz w:val="20"/>
          <w:szCs w:val="20"/>
          <w:color w:val="auto"/>
        </w:rPr>
      </w:pPr>
    </w:p>
    <w:p>
      <w:pPr>
        <w:ind w:right="160" w:firstLine="432"/>
        <w:spacing w:after="0" w:line="289" w:lineRule="auto"/>
        <w:rPr>
          <w:sz w:val="20"/>
          <w:szCs w:val="20"/>
          <w:color w:val="auto"/>
        </w:rPr>
      </w:pPr>
      <w:r>
        <w:rPr>
          <w:rFonts w:ascii="Arial" w:cs="Arial" w:eastAsia="Arial" w:hAnsi="Arial"/>
          <w:sz w:val="16"/>
          <w:szCs w:val="16"/>
          <w:color w:val="auto"/>
        </w:rPr>
        <w:t>Mortgage guaranty insurance policies are contracts that are generally non-cancelable by the insurer, are renewable at a fixed price, and provide for payment of premium on a monthly, annual or single basis. Upon renewal, we are not able to re-underwrite or re-price our policies. Consistent with industry accounting practices, premiums written on a monthly basis are earned as coverage is provided. Premiums written on an annual basis are amortized on a pro rata basis over the year of coverage. Primary mortgage insurance written on policies covering more than one year are referred to as single premium policies. A portion of the revenue from single premium policies is recognized in earned premium in the current period, and the remaining portion is deferred as unearned premium and earned over the expected life of the policy. If single premium policies related to insured loans are cancelled due to repayment by the borrower, and the premium is non-refundable, then the remaining unearned premium related to each cancelled policy is recognized as earned premium upon notification of the cancellation. Unearned premium represents the portion of premium written that is applicable to the estimated unexpired risk of insured loans. Rates used to determine the earning of single premium policies are estimates based on an analysis of the expiration of risk.</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Reserve for Losses and Loss Adjustment Expenses</w:t>
      </w:r>
    </w:p>
    <w:p>
      <w:pPr>
        <w:spacing w:after="0" w:line="225"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We establish reserves for losses based on our best estimate of ultimate claim costs for defaulted loans using the general principles contained in ASC No. 944, in accordance with industry practice. However, consistent with industry standards for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580" w:right="239" w:bottom="1440" w:gutter="0" w:footer="0" w:header="0"/>
        </w:sectPr>
      </w:pPr>
    </w:p>
    <w:bookmarkStart w:id="84" w:name="page85"/>
    <w:bookmarkEnd w:id="84"/>
    <w:p>
      <w:pPr>
        <w:ind w:right="60"/>
        <w:spacing w:after="0" w:line="268" w:lineRule="auto"/>
        <w:rPr>
          <w:sz w:val="20"/>
          <w:szCs w:val="20"/>
          <w:color w:val="auto"/>
        </w:rPr>
      </w:pPr>
      <w:r>
        <w:rPr>
          <w:rFonts w:ascii="Arial" w:cs="Arial" w:eastAsia="Arial" w:hAnsi="Arial"/>
          <w:sz w:val="17"/>
          <w:szCs w:val="17"/>
          <w:color w:val="auto"/>
        </w:rPr>
        <w:t>mortgage insurers, we do not establish loss reserves for future claims on insured loans which are not currently in default. Loans are classified as defaulted when the borrower has missed two consecutive payments. Once we are notified that a borrower has defaulted, we will consider internal and third-party information and models, including the status of the loan as reported by its servicer and the type of loan product to determine the likelihood that a default will reach claim status. In addition, we will project the amount that we will pay if a default becomes a claim (referred to as "claim severity"). Based on this information, at each reporting date we determine our best estimate of loss reserves at a given point in time. Included in loss reserves are reserves for incurred but not reported ("IBNR") claims. IBNR reserves represent our estimated unpaid losses on loans that are in default, but have not yet been reported to us as delinquent by our customers. We will also establish reserves for associated loss adjustment expenses, consisting of the estimated cost of the claims administration process, including legal and other fees and expenses associated with administering the claims process. Establishing reserves is inherently subjective as it requires estimates that are susceptible to significant revision as more information becomes available. Our estimates of claim rates and claim sizes will be strongly influenced by prevailing economic conditions, such as the overall state of the economy, current rates or trends in unemployment, changes in housing values and/or interest rates, and our best judgments as to the future values or trends of these macroeconomic factors. Losses incurred are also generally affected by the characteristics of our insured loans, such as the loan amount, loan-to-value ratio, the percentage of coverage on the insured loan and the credit quality of the borrower.</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Deferred income tax assets and liabilities are determined using the asset and liability (or balance sheet) method. Under this method, we determine the net deferred tax asset or liability based on the tax effects of the temporary differences between the book and tax bases of the various assets and liabilities and give current recognition to changes in tax rates and laws. Changes in tax laws, rates, regulations and policies, or the final determination of tax audits or examinations, could materially affect our tax estimates. We evaluate the realizability of the deferred tax asset and recognize a valuation allowance if, based on the weight of all available positive and negative evidence, it is more likely than not that some portion or all of the deferred tax asset will not be realized. When evaluating the realizability of the deferred tax asset, we consider estimates of expected future taxable income, existing and projected book/tax differences, carryback and carryforward periods, tax planning strategies available, and the general and industry specific economic outlook. This realizability analysis is inherently subjective, as it requires management to forecast changes in the mortgage market, as well as the related impact on mortgage insurance, and the competitive and general economic environment in future periods. Changes in the estimate of deferred tax asset realizability, if applicable, are included in income tax expense on the consolidated statements of comprehensive income. ASC No. 740 provides a recognition threshold and measurement attribute for the financial statement recognition and measurement of a tax position taken or expected to be taken in a tax return.</w:t>
      </w:r>
    </w:p>
    <w:p>
      <w:pPr>
        <w:spacing w:after="0" w:line="173"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In accordance with ASC No. 740, before a tax benefit can be recognized, a tax position is evaluated using a threshold that it is more likely than not that the tax position will be sustained upon examination. When evaluating the more-likely-than-not recognition threshold, ASC No. 740 provides that a company should presume the tax position will be examined by the appropriate taxing authority that has full knowledge of all relevant information. If the tax position meets the more-likely-than-not recognition threshold, it is initially and subsequently measured as the largest amount of benefit that is greater than 50% likely of being realized upon ultimate settlement. This analysis is inherently subjective, as it requires management to forecast the outcome of future tax examinations and the amount of tax benefits that will ultimately be realized given the facts, circumstances, and information available at the reporting date. New information may become available in future periods that could cause the actual amount of tax benefits to vary from management's estimates.</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Investments Available for Sale</w:t>
      </w:r>
    </w:p>
    <w:p>
      <w:pPr>
        <w:spacing w:after="0" w:line="22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Our entire investment portfolio is classified as available for sale and is reported at fair value. The related unrealized gains or losses are, after considering the related tax expense or benefit, recognized as a component of accumulated other comprehensive income (loss) in stockholders' equity. Realized investment gains and losses are reported in income based upon specific identification of securities sold. Each quarter we perform reviews of all of our investments in order to determine whether declines in fair value below amortized cost were considered other-than-temporary in accordance with applicable guidance. In evaluating whether a decline in fair value is other-than-temporary, we consider several factors including, but not limited to:</w:t>
      </w:r>
    </w:p>
    <w:p>
      <w:pPr>
        <w:spacing w:after="0" w:line="173" w:lineRule="exact"/>
        <w:rPr>
          <w:sz w:val="20"/>
          <w:szCs w:val="20"/>
          <w:color w:val="auto"/>
        </w:rPr>
      </w:pPr>
    </w:p>
    <w:p>
      <w:pPr>
        <w:ind w:left="660" w:hanging="247"/>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intent to sell the security or whether it is more likely than not that we will be required to sell the security before recovery;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extent and duration of the decline;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584" w:right="239" w:bottom="1440" w:gutter="0" w:footer="0" w:header="0"/>
        </w:sectPr>
      </w:pPr>
    </w:p>
    <w:bookmarkStart w:id="85" w:name="page86"/>
    <w:bookmarkEnd w:id="85"/>
    <w:p>
      <w:pPr>
        <w:ind w:left="660" w:hanging="247"/>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of the issuer to make scheduled interest or principal payments;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credit ratings from third-party rating agencies and changes in these credit ratings below investment-grade;</w:t>
      </w:r>
    </w:p>
    <w:p>
      <w:pPr>
        <w:spacing w:after="0" w:line="225" w:lineRule="exact"/>
        <w:rPr>
          <w:rFonts w:ascii="Arial" w:cs="Arial" w:eastAsia="Arial" w:hAnsi="Arial"/>
          <w:sz w:val="18"/>
          <w:szCs w:val="18"/>
          <w:color w:val="auto"/>
        </w:rPr>
      </w:pPr>
    </w:p>
    <w:p>
      <w:pPr>
        <w:ind w:left="660" w:right="40" w:hanging="247"/>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current credit spreads, downgrade trends, industry and asset sector trends, and issuer disclosures and financial reports to determine if credit ratings from third-party credit agencies are reasonable; and</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adverse conditions specifically related to the security, an industry, or a geographic area.</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Under the current guidance a debt security impairment is deemed other-than-temporary if we either intend to sell the security, or it is more likely than not that we will be required to sell the security before recovery or we do not expect to collect cash flows sufficient to recover the amortized cost basis of the security. During the years ended December 31, 2016, 2015 and 2014, the unrealized losses recorded in the investment portfolio principally resulted from fluctuations in market interest rates and credit spreads. Each issuer is current on its scheduled interest and principal payments. We recorded other-than-temporary impairments of $0.1 million and $0.3 million in the years ended December 31, 2016 and 2015, respectively, for securities in an unrealized loss position. The impairments resulted from our intent to sell these securities subsequent to the reporting date. We recognized no other-than-temporary impairment losses in earnings associated with our investment portfolio in the year ended December 31, 2014.</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information on our material holdings in an unrealized loss position, see "—Financial Condition—Investments."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There are no recently issued accounting standards that are expected to have a material effect on our financial condition, results of operations or cash flows. See Note 2 of our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240" w:top="584" w:right="419" w:bottom="1440" w:gutter="0" w:footer="0" w:header="0"/>
        </w:sectPr>
      </w:pPr>
    </w:p>
    <w:bookmarkStart w:id="86" w:name="page87"/>
    <w:bookmarkEnd w:id="86"/>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18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We manage market risk via a defined investment policy implemented by our treasury function with oversight from our board of directors and our senior management. Important drivers of our market risk exposure monitored and managed by us include but are not limited to:</w:t>
      </w:r>
    </w:p>
    <w:p>
      <w:pPr>
        <w:spacing w:after="0" w:line="170" w:lineRule="exact"/>
        <w:rPr>
          <w:sz w:val="20"/>
          <w:szCs w:val="20"/>
          <w:color w:val="auto"/>
        </w:rPr>
      </w:pPr>
    </w:p>
    <w:p>
      <w:pPr>
        <w:ind w:left="660" w:right="60" w:hanging="328"/>
        <w:spacing w:after="0" w:line="302"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Changes to the level of interest rates. </w:t>
      </w:r>
      <w:r>
        <w:rPr>
          <w:rFonts w:ascii="Arial" w:cs="Arial" w:eastAsia="Arial" w:hAnsi="Arial"/>
          <w:sz w:val="16"/>
          <w:szCs w:val="16"/>
          <w:color w:val="auto"/>
        </w:rPr>
        <w:t>Increasing interest rates may reduce the value of certain fixed-rate bonds held in the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54" w:lineRule="exact"/>
        <w:rPr>
          <w:rFonts w:ascii="Arial" w:cs="Arial" w:eastAsia="Arial" w:hAnsi="Arial"/>
          <w:sz w:val="16"/>
          <w:szCs w:val="16"/>
          <w:color w:val="auto"/>
        </w:rPr>
      </w:pPr>
    </w:p>
    <w:p>
      <w:pPr>
        <w:ind w:left="660" w:right="24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Changes to the term structure of interest rates. </w:t>
      </w:r>
      <w:r>
        <w:rPr>
          <w:rFonts w:ascii="Arial" w:cs="Arial" w:eastAsia="Arial" w:hAnsi="Arial"/>
          <w:sz w:val="18"/>
          <w:szCs w:val="18"/>
          <w:color w:val="auto"/>
        </w:rPr>
        <w:t>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170" w:lineRule="exact"/>
        <w:rPr>
          <w:rFonts w:ascii="Arial" w:cs="Arial" w:eastAsia="Arial" w:hAnsi="Arial"/>
          <w:sz w:val="18"/>
          <w:szCs w:val="18"/>
          <w:color w:val="auto"/>
        </w:rPr>
      </w:pPr>
    </w:p>
    <w:p>
      <w:pPr>
        <w:ind w:left="660" w:right="520" w:hanging="328"/>
        <w:spacing w:after="0" w:line="342"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Market volatility/changes in the real or perceived credit quality of investments. </w:t>
      </w:r>
      <w:r>
        <w:rPr>
          <w:rFonts w:ascii="Arial" w:cs="Arial" w:eastAsia="Arial" w:hAnsi="Arial"/>
          <w:sz w:val="16"/>
          <w:szCs w:val="16"/>
          <w:color w:val="auto"/>
        </w:rPr>
        <w:t>Deterioration in the quality of investments, identified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our own or third-party (e.g., rating agency) assessments, will reduce the value and potentially the liquidity of investments.</w:t>
      </w:r>
    </w:p>
    <w:p>
      <w:pPr>
        <w:spacing w:after="0" w:line="123" w:lineRule="exact"/>
        <w:rPr>
          <w:rFonts w:ascii="Arial" w:cs="Arial" w:eastAsia="Arial" w:hAnsi="Arial"/>
          <w:sz w:val="16"/>
          <w:szCs w:val="16"/>
          <w:color w:val="auto"/>
        </w:rPr>
      </w:pPr>
    </w:p>
    <w:p>
      <w:pPr>
        <w:ind w:left="660" w:right="400" w:hanging="328"/>
        <w:spacing w:after="0" w:line="342"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If the investment portfolio is highly concentrated in one asset, or in multiple assets whose values are highly correlated,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total portfolio may be greatly affected by the change in value of just one asset or a group of highly correlated assets.</w:t>
      </w:r>
    </w:p>
    <w:p>
      <w:pPr>
        <w:spacing w:after="0" w:line="123"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Prepayment Risk. </w:t>
      </w:r>
      <w:r>
        <w:rPr>
          <w:rFonts w:ascii="Arial" w:cs="Arial" w:eastAsia="Arial" w:hAnsi="Arial"/>
          <w:sz w:val="18"/>
          <w:szCs w:val="18"/>
          <w:color w:val="auto"/>
        </w:rPr>
        <w:t>Bonds may have call provisions that permit debtors to repay prior to maturity when it is to their advantage. This typically occurs</w:t>
      </w:r>
      <w:r>
        <w:rPr>
          <w:rFonts w:ascii="Arial" w:cs="Arial" w:eastAsia="Arial" w:hAnsi="Arial"/>
          <w:sz w:val="18"/>
          <w:szCs w:val="18"/>
          <w:i w:val="1"/>
          <w:iCs w:val="1"/>
          <w:color w:val="auto"/>
        </w:rPr>
        <w:t xml:space="preserve"> </w:t>
      </w:r>
      <w:r>
        <w:rPr>
          <w:rFonts w:ascii="Arial" w:cs="Arial" w:eastAsia="Arial" w:hAnsi="Arial"/>
          <w:sz w:val="18"/>
          <w:szCs w:val="18"/>
          <w:color w:val="auto"/>
        </w:rPr>
        <w:t>when rates fall below the interest rate of the debt.</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8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At December 31, 2016, the effective duration of our investment portfolio, including cash, was 4.0 years, which means that an instantaneous parallel shift (movement up or down) in the yield curve of 100 basis points would result in a change of 4.0% in fair value of our investment portfolio. Excluding cash, our investment portfolio effective duration was 4.4 years, which means that an instantaneous parallel shift (movement up or down) in the yield curve of 100 basis points would result in a change of 4.4% in fair value of our investment portfolio.</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580" w:right="279" w:bottom="1440" w:gutter="0" w:footer="0" w:header="0"/>
        </w:sectPr>
      </w:pPr>
    </w:p>
    <w:bookmarkStart w:id="87" w:name="page88"/>
    <w:bookmarkEnd w:id="87"/>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0580" w:type="dxa"/>
            <w:vAlign w:val="bottom"/>
          </w:tcPr>
          <w:p>
            <w:pPr>
              <w:spacing w:after="0"/>
              <w:rPr>
                <w:sz w:val="16"/>
                <w:szCs w:val="16"/>
                <w:color w:val="auto"/>
              </w:rPr>
            </w:pPr>
          </w:p>
        </w:tc>
        <w:tc>
          <w:tcPr>
            <w:tcW w:w="8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Page</w:t>
            </w:r>
          </w:p>
        </w:tc>
      </w:tr>
      <w:tr>
        <w:trPr>
          <w:trHeight w:val="230"/>
        </w:trPr>
        <w:tc>
          <w:tcPr>
            <w:tcW w:w="10580" w:type="dxa"/>
            <w:vAlign w:val="bottom"/>
          </w:tcPr>
          <w:p>
            <w:pPr>
              <w:ind w:left="3400"/>
              <w:spacing w:after="0"/>
              <w:rPr>
                <w:sz w:val="20"/>
                <w:szCs w:val="20"/>
                <w:color w:val="auto"/>
              </w:rPr>
            </w:pPr>
            <w:r>
              <w:rPr>
                <w:rFonts w:ascii="Arial" w:cs="Arial" w:eastAsia="Arial" w:hAnsi="Arial"/>
                <w:sz w:val="18"/>
                <w:szCs w:val="18"/>
                <w:b w:val="1"/>
                <w:bCs w:val="1"/>
                <w:color w:val="auto"/>
              </w:rPr>
              <w:t>CONSOLIDATED FINANCIAL STATEMENTS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1058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780" w:type="dxa"/>
            <w:vAlign w:val="bottom"/>
            <w:gridSpan w:val="3"/>
          </w:tcPr>
          <w:p>
            <w:pPr>
              <w:jc w:val="right"/>
              <w:spacing w:after="0"/>
              <w:rPr>
                <w:rFonts w:ascii="Arial" w:cs="Arial" w:eastAsia="Arial" w:hAnsi="Arial"/>
                <w:sz w:val="18"/>
                <w:szCs w:val="18"/>
                <w:color w:val="0000EE"/>
              </w:rPr>
            </w:pPr>
            <w:hyperlink w:anchor="page89">
              <w:r>
                <w:rPr>
                  <w:rFonts w:ascii="Arial" w:cs="Arial" w:eastAsia="Arial" w:hAnsi="Arial"/>
                  <w:sz w:val="18"/>
                  <w:szCs w:val="18"/>
                  <w:color w:val="0000EE"/>
                </w:rPr>
                <w:t>84</w:t>
              </w:r>
            </w:hyperlink>
          </w:p>
        </w:tc>
        <w:tc>
          <w:tcPr>
            <w:tcW w:w="20" w:type="dxa"/>
            <w:vAlign w:val="bottom"/>
          </w:tcPr>
          <w:p>
            <w:pPr>
              <w:spacing w:after="0"/>
              <w:rPr>
                <w:sz w:val="21"/>
                <w:szCs w:val="21"/>
                <w:color w:val="auto"/>
              </w:rPr>
            </w:pPr>
          </w:p>
        </w:tc>
      </w:tr>
      <w:tr>
        <w:trPr>
          <w:trHeight w:val="20"/>
        </w:trPr>
        <w:tc>
          <w:tcPr>
            <w:tcW w:w="10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780" w:type="dxa"/>
            <w:vAlign w:val="bottom"/>
            <w:gridSpan w:val="3"/>
          </w:tcPr>
          <w:p>
            <w:pPr>
              <w:jc w:val="right"/>
              <w:spacing w:after="0"/>
              <w:rPr>
                <w:rFonts w:ascii="Arial" w:cs="Arial" w:eastAsia="Arial" w:hAnsi="Arial"/>
                <w:sz w:val="18"/>
                <w:szCs w:val="18"/>
                <w:color w:val="0000EE"/>
              </w:rPr>
            </w:pPr>
            <w:hyperlink w:anchor="page90">
              <w:r>
                <w:rPr>
                  <w:rFonts w:ascii="Arial" w:cs="Arial" w:eastAsia="Arial" w:hAnsi="Arial"/>
                  <w:sz w:val="18"/>
                  <w:szCs w:val="18"/>
                  <w:color w:val="0000EE"/>
                </w:rPr>
                <w:t>85</w:t>
              </w:r>
            </w:hyperlink>
          </w:p>
        </w:tc>
        <w:tc>
          <w:tcPr>
            <w:tcW w:w="20" w:type="dxa"/>
            <w:vAlign w:val="bottom"/>
          </w:tcPr>
          <w:p>
            <w:pPr>
              <w:spacing w:after="0"/>
              <w:rPr>
                <w:sz w:val="21"/>
                <w:szCs w:val="21"/>
                <w:color w:val="auto"/>
              </w:rPr>
            </w:pPr>
          </w:p>
        </w:tc>
      </w:tr>
      <w:tr>
        <w:trPr>
          <w:trHeight w:val="20"/>
        </w:trPr>
        <w:tc>
          <w:tcPr>
            <w:tcW w:w="10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tcPr>
          <w:p>
            <w:pPr>
              <w:spacing w:after="0"/>
              <w:rPr>
                <w:sz w:val="20"/>
                <w:szCs w:val="20"/>
                <w:color w:val="auto"/>
              </w:rPr>
            </w:pPr>
            <w:r>
              <w:rPr>
                <w:rFonts w:ascii="Arial" w:cs="Arial" w:eastAsia="Arial" w:hAnsi="Arial"/>
                <w:sz w:val="18"/>
                <w:szCs w:val="18"/>
                <w:color w:val="auto"/>
              </w:rPr>
              <w:t>Consolidated Statements of Comprehensive Income</w:t>
            </w:r>
          </w:p>
        </w:tc>
        <w:tc>
          <w:tcPr>
            <w:tcW w:w="780" w:type="dxa"/>
            <w:vAlign w:val="bottom"/>
            <w:gridSpan w:val="3"/>
          </w:tcPr>
          <w:p>
            <w:pPr>
              <w:jc w:val="right"/>
              <w:spacing w:after="0"/>
              <w:rPr>
                <w:rFonts w:ascii="Arial" w:cs="Arial" w:eastAsia="Arial" w:hAnsi="Arial"/>
                <w:sz w:val="18"/>
                <w:szCs w:val="18"/>
                <w:color w:val="0000EE"/>
              </w:rPr>
            </w:pPr>
            <w:hyperlink w:anchor="page91">
              <w:r>
                <w:rPr>
                  <w:rFonts w:ascii="Arial" w:cs="Arial" w:eastAsia="Arial" w:hAnsi="Arial"/>
                  <w:sz w:val="18"/>
                  <w:szCs w:val="18"/>
                  <w:color w:val="0000EE"/>
                </w:rPr>
                <w:t>86</w:t>
              </w:r>
            </w:hyperlink>
          </w:p>
        </w:tc>
        <w:tc>
          <w:tcPr>
            <w:tcW w:w="20" w:type="dxa"/>
            <w:vAlign w:val="bottom"/>
          </w:tcPr>
          <w:p>
            <w:pPr>
              <w:spacing w:after="0"/>
              <w:rPr>
                <w:sz w:val="21"/>
                <w:szCs w:val="21"/>
                <w:color w:val="auto"/>
              </w:rPr>
            </w:pPr>
          </w:p>
        </w:tc>
      </w:tr>
      <w:tr>
        <w:trPr>
          <w:trHeight w:val="20"/>
        </w:trPr>
        <w:tc>
          <w:tcPr>
            <w:tcW w:w="10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tcPr>
          <w:p>
            <w:pPr>
              <w:spacing w:after="0"/>
              <w:rPr>
                <w:sz w:val="20"/>
                <w:szCs w:val="20"/>
                <w:color w:val="auto"/>
              </w:rPr>
            </w:pPr>
            <w:r>
              <w:rPr>
                <w:rFonts w:ascii="Arial" w:cs="Arial" w:eastAsia="Arial" w:hAnsi="Arial"/>
                <w:sz w:val="18"/>
                <w:szCs w:val="18"/>
                <w:color w:val="auto"/>
              </w:rPr>
              <w:t>Consolidated Statements of Changes in Stockholders' Equity</w:t>
            </w:r>
          </w:p>
        </w:tc>
        <w:tc>
          <w:tcPr>
            <w:tcW w:w="780" w:type="dxa"/>
            <w:vAlign w:val="bottom"/>
            <w:gridSpan w:val="3"/>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87</w:t>
              </w:r>
            </w:hyperlink>
          </w:p>
        </w:tc>
        <w:tc>
          <w:tcPr>
            <w:tcW w:w="20" w:type="dxa"/>
            <w:vAlign w:val="bottom"/>
          </w:tcPr>
          <w:p>
            <w:pPr>
              <w:spacing w:after="0"/>
              <w:rPr>
                <w:sz w:val="21"/>
                <w:szCs w:val="21"/>
                <w:color w:val="auto"/>
              </w:rPr>
            </w:pPr>
          </w:p>
        </w:tc>
      </w:tr>
      <w:tr>
        <w:trPr>
          <w:trHeight w:val="20"/>
        </w:trPr>
        <w:tc>
          <w:tcPr>
            <w:tcW w:w="10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780" w:type="dxa"/>
            <w:vAlign w:val="bottom"/>
            <w:gridSpan w:val="3"/>
          </w:tcPr>
          <w:p>
            <w:pPr>
              <w:jc w:val="right"/>
              <w:spacing w:after="0"/>
              <w:rPr>
                <w:rFonts w:ascii="Arial" w:cs="Arial" w:eastAsia="Arial" w:hAnsi="Arial"/>
                <w:sz w:val="18"/>
                <w:szCs w:val="18"/>
                <w:color w:val="0000EE"/>
              </w:rPr>
            </w:pPr>
            <w:hyperlink w:anchor="page93">
              <w:r>
                <w:rPr>
                  <w:rFonts w:ascii="Arial" w:cs="Arial" w:eastAsia="Arial" w:hAnsi="Arial"/>
                  <w:sz w:val="18"/>
                  <w:szCs w:val="18"/>
                  <w:color w:val="0000EE"/>
                </w:rPr>
                <w:t>88</w:t>
              </w:r>
            </w:hyperlink>
          </w:p>
        </w:tc>
        <w:tc>
          <w:tcPr>
            <w:tcW w:w="20" w:type="dxa"/>
            <w:vAlign w:val="bottom"/>
          </w:tcPr>
          <w:p>
            <w:pPr>
              <w:spacing w:after="0"/>
              <w:rPr>
                <w:sz w:val="21"/>
                <w:szCs w:val="21"/>
                <w:color w:val="auto"/>
              </w:rPr>
            </w:pPr>
          </w:p>
        </w:tc>
      </w:tr>
      <w:tr>
        <w:trPr>
          <w:trHeight w:val="20"/>
        </w:trPr>
        <w:tc>
          <w:tcPr>
            <w:tcW w:w="10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780" w:type="dxa"/>
            <w:vAlign w:val="bottom"/>
            <w:gridSpan w:val="3"/>
          </w:tcPr>
          <w:p>
            <w:pPr>
              <w:jc w:val="right"/>
              <w:spacing w:after="0"/>
              <w:rPr>
                <w:rFonts w:ascii="Arial" w:cs="Arial" w:eastAsia="Arial" w:hAnsi="Arial"/>
                <w:sz w:val="18"/>
                <w:szCs w:val="18"/>
                <w:color w:val="0000EE"/>
              </w:rPr>
            </w:pPr>
            <w:hyperlink w:anchor="page94">
              <w:r>
                <w:rPr>
                  <w:rFonts w:ascii="Arial" w:cs="Arial" w:eastAsia="Arial" w:hAnsi="Arial"/>
                  <w:sz w:val="18"/>
                  <w:szCs w:val="18"/>
                  <w:color w:val="0000EE"/>
                </w:rPr>
                <w:t>89</w:t>
              </w:r>
            </w:hyperlink>
          </w:p>
        </w:tc>
        <w:tc>
          <w:tcPr>
            <w:tcW w:w="20" w:type="dxa"/>
            <w:vAlign w:val="bottom"/>
          </w:tcPr>
          <w:p>
            <w:pPr>
              <w:spacing w:after="0"/>
              <w:rPr>
                <w:sz w:val="21"/>
                <w:szCs w:val="21"/>
                <w:color w:val="auto"/>
              </w:rPr>
            </w:pPr>
          </w:p>
        </w:tc>
      </w:tr>
      <w:tr>
        <w:trPr>
          <w:trHeight w:val="291"/>
        </w:trPr>
        <w:tc>
          <w:tcPr>
            <w:tcW w:w="10580" w:type="dxa"/>
            <w:vAlign w:val="bottom"/>
          </w:tcPr>
          <w:p>
            <w:pPr>
              <w:ind w:left="3620"/>
              <w:spacing w:after="0"/>
              <w:rPr>
                <w:sz w:val="20"/>
                <w:szCs w:val="20"/>
                <w:color w:val="auto"/>
              </w:rPr>
            </w:pPr>
            <w:r>
              <w:rPr>
                <w:rFonts w:ascii="Arial" w:cs="Arial" w:eastAsia="Arial" w:hAnsi="Arial"/>
                <w:sz w:val="18"/>
                <w:szCs w:val="18"/>
                <w:b w:val="1"/>
                <w:bCs w:val="1"/>
                <w:color w:val="auto"/>
              </w:rPr>
              <w:t>FINANCIAL STATEMENT SCHEDULES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0580" w:type="dxa"/>
            <w:vAlign w:val="bottom"/>
          </w:tcPr>
          <w:p>
            <w:pPr>
              <w:spacing w:after="0"/>
              <w:rPr>
                <w:sz w:val="20"/>
                <w:szCs w:val="20"/>
                <w:color w:val="auto"/>
              </w:rPr>
            </w:pPr>
            <w:r>
              <w:rPr>
                <w:rFonts w:ascii="Arial" w:cs="Arial" w:eastAsia="Arial" w:hAnsi="Arial"/>
                <w:sz w:val="18"/>
                <w:szCs w:val="18"/>
                <w:color w:val="auto"/>
              </w:rPr>
              <w:t>Schedule I—Summary of Investments—Other Than Investments in Related Parties</w:t>
            </w:r>
          </w:p>
        </w:tc>
        <w:tc>
          <w:tcPr>
            <w:tcW w:w="500" w:type="dxa"/>
            <w:vAlign w:val="bottom"/>
          </w:tcPr>
          <w:p>
            <w:pPr>
              <w:spacing w:after="0"/>
              <w:rPr>
                <w:sz w:val="19"/>
                <w:szCs w:val="19"/>
                <w:color w:val="auto"/>
              </w:rPr>
            </w:pPr>
          </w:p>
        </w:tc>
        <w:tc>
          <w:tcPr>
            <w:tcW w:w="280" w:type="dxa"/>
            <w:vAlign w:val="bottom"/>
            <w:tcBorders>
              <w:bottom w:val="single" w:sz="8" w:color="0000EE"/>
            </w:tcBorders>
            <w:gridSpan w:val="2"/>
          </w:tcPr>
          <w:p>
            <w:pPr>
              <w:jc w:val="right"/>
              <w:spacing w:after="0"/>
              <w:rPr>
                <w:rFonts w:ascii="Arial" w:cs="Arial" w:eastAsia="Arial" w:hAnsi="Arial"/>
                <w:sz w:val="18"/>
                <w:szCs w:val="18"/>
                <w:color w:val="0000EE"/>
                <w:w w:val="86"/>
              </w:rPr>
            </w:pPr>
            <w:hyperlink w:anchor="page119">
              <w:r>
                <w:rPr>
                  <w:rFonts w:ascii="Arial" w:cs="Arial" w:eastAsia="Arial" w:hAnsi="Arial"/>
                  <w:sz w:val="18"/>
                  <w:szCs w:val="18"/>
                  <w:color w:val="0000EE"/>
                  <w:w w:val="86"/>
                </w:rPr>
                <w:t>114</w:t>
              </w:r>
            </w:hyperlink>
          </w:p>
        </w:tc>
        <w:tc>
          <w:tcPr>
            <w:tcW w:w="20" w:type="dxa"/>
            <w:vAlign w:val="bottom"/>
          </w:tcPr>
          <w:p>
            <w:pPr>
              <w:spacing w:after="0"/>
              <w:rPr>
                <w:sz w:val="19"/>
                <w:szCs w:val="19"/>
                <w:color w:val="auto"/>
              </w:rPr>
            </w:pPr>
          </w:p>
        </w:tc>
      </w:tr>
      <w:tr>
        <w:trPr>
          <w:trHeight w:val="250"/>
        </w:trPr>
        <w:tc>
          <w:tcPr>
            <w:tcW w:w="10580" w:type="dxa"/>
            <w:vAlign w:val="bottom"/>
          </w:tcPr>
          <w:p>
            <w:pPr>
              <w:spacing w:after="0"/>
              <w:rPr>
                <w:sz w:val="20"/>
                <w:szCs w:val="20"/>
                <w:color w:val="auto"/>
              </w:rPr>
            </w:pPr>
            <w:r>
              <w:rPr>
                <w:rFonts w:ascii="Arial" w:cs="Arial" w:eastAsia="Arial" w:hAnsi="Arial"/>
                <w:sz w:val="18"/>
                <w:szCs w:val="18"/>
                <w:color w:val="auto"/>
              </w:rPr>
              <w:t>Schedule II—Condensed Financial Information of Registrant</w:t>
            </w:r>
          </w:p>
        </w:tc>
        <w:tc>
          <w:tcPr>
            <w:tcW w:w="780" w:type="dxa"/>
            <w:vAlign w:val="bottom"/>
            <w:gridSpan w:val="3"/>
          </w:tcPr>
          <w:p>
            <w:pPr>
              <w:jc w:val="right"/>
              <w:spacing w:after="0"/>
              <w:rPr>
                <w:rFonts w:ascii="Arial" w:cs="Arial" w:eastAsia="Arial" w:hAnsi="Arial"/>
                <w:sz w:val="18"/>
                <w:szCs w:val="18"/>
                <w:color w:val="0000EE"/>
              </w:rPr>
            </w:pPr>
            <w:hyperlink w:anchor="page120">
              <w:r>
                <w:rPr>
                  <w:rFonts w:ascii="Arial" w:cs="Arial" w:eastAsia="Arial" w:hAnsi="Arial"/>
                  <w:sz w:val="18"/>
                  <w:szCs w:val="18"/>
                  <w:color w:val="0000EE"/>
                </w:rPr>
                <w:t>115</w:t>
              </w:r>
            </w:hyperlink>
          </w:p>
        </w:tc>
        <w:tc>
          <w:tcPr>
            <w:tcW w:w="20" w:type="dxa"/>
            <w:vAlign w:val="bottom"/>
          </w:tcPr>
          <w:p>
            <w:pPr>
              <w:spacing w:after="0"/>
              <w:rPr>
                <w:sz w:val="21"/>
                <w:szCs w:val="21"/>
                <w:color w:val="auto"/>
              </w:rPr>
            </w:pPr>
          </w:p>
        </w:tc>
      </w:tr>
      <w:tr>
        <w:trPr>
          <w:trHeight w:val="723"/>
        </w:trPr>
        <w:tc>
          <w:tcPr>
            <w:tcW w:w="10580" w:type="dxa"/>
            <w:vAlign w:val="bottom"/>
          </w:tcPr>
          <w:p>
            <w:pPr>
              <w:ind w:left="5580"/>
              <w:spacing w:after="0"/>
              <w:rPr>
                <w:sz w:val="20"/>
                <w:szCs w:val="20"/>
                <w:color w:val="auto"/>
              </w:rPr>
            </w:pPr>
            <w:r>
              <w:rPr>
                <w:rFonts w:ascii="Arial" w:cs="Arial" w:eastAsia="Arial" w:hAnsi="Arial"/>
                <w:sz w:val="18"/>
                <w:szCs w:val="18"/>
                <w:color w:val="auto"/>
              </w:rPr>
              <w:t>83</w:t>
            </w:r>
          </w:p>
        </w:tc>
        <w:tc>
          <w:tcPr>
            <w:tcW w:w="5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Essent Group Ltd.</w:t>
      </w:r>
    </w:p>
    <w:p>
      <w:pPr>
        <w:spacing w:after="0" w:line="211"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 xml:space="preserve">In our opinion, the consolidated financial statements listed in the accompanying index present fairly, in all material respects, the financial position of Essent Group Ltd. and its subsidiaries at December 31, 2016 and 2015, and the results of their operations and their cash flows for each of the three years in the period ended December 31, 2016 in conformity with accounting principles generally accepted in the United States of America. In addition, in our opinion, the financial statement schedules listed in the accompanying index present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2016,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(COSO). The Company's management is responsible for these financial statements and financial statement schedules,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3"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2017</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580" w:right="25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250"/>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Investments available for sale, at fair value</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Fixed maturities (amortized cost: 2016 — $1,497,186; 2015 — $1,189,978)</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1,482,754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1,190,638</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Short-term investments (amortized cost: 2016 — $132,352; 2015 — $85,994)</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132,348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85,996</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1,615,102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1,276,634</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Cash</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27,531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24,606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investment income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9,488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7,768</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21,632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16,637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policy acquisition costs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11,529</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w w:val="99"/>
              </w:rPr>
              <w:t>Property and equipment (at cost, less accumulated depreciation of $46,543 in 2016 and $42,479 in 2015)</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8,119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9,021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federal income tax</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181,272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119,412</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6,454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3,492</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1,882,998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1,469,099</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11"/>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Liabilities and 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Liabilities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Reserve for losses and LAE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28,142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17,760</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Unearned premium reserve</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219,616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201,045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deferred tax liability</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142,587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87,964</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Revolving credit facility borrowings</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Securities purchases payable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14,999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14,996</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Other accrued liabilities</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33,881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28,093</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539,225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349,858</w:t>
            </w:r>
          </w:p>
        </w:tc>
      </w:tr>
      <w:tr>
        <w:trPr>
          <w:trHeight w:val="22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(see Note 8)</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Common Shares, $0.015 par value:</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Authorized - 233,333; issued and outstanding - 93,105 shares in 2016 and 92,650 shares in 2015</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1,390</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918,296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904,221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Retained earnings</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436,335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213,729</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1,343,773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1,119,241</w:t>
            </w:r>
          </w:p>
        </w:tc>
      </w:tr>
      <w:tr>
        <w:trPr>
          <w:trHeight w:val="257"/>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1,882,998</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1,469,099</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580"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Net premiums written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441,278</w:t>
            </w:r>
          </w:p>
        </w:tc>
        <w:tc>
          <w:tcPr>
            <w:tcW w:w="4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370,568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276,778</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Increase in unearned premiums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(18,571)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(44,097)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(53,549)</w:t>
            </w: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Net premiums earned</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422,707</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326,471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223,229</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27,890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19,885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12,285</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Realized investment gains, net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1,934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2,554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925</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3,028</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revenues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458,258</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353,290</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239,467</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6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 and expenses: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losses and LAE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15,525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11,905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6,308</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Other underwriting and operating expenses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130,851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112,987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97,232</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Total losses and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146,376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124,892</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103,540</w:t>
            </w:r>
          </w:p>
        </w:tc>
      </w:tr>
      <w:tr>
        <w:trPr>
          <w:trHeight w:val="318"/>
        </w:trPr>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311,882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228,398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135,927</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89,276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71,067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47,430</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1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222,606</w:t>
            </w:r>
          </w:p>
        </w:tc>
        <w:tc>
          <w:tcPr>
            <w:tcW w:w="4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157,331</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88,497</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gridSpan w:val="2"/>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2.45</w:t>
            </w:r>
          </w:p>
        </w:tc>
        <w:tc>
          <w:tcPr>
            <w:tcW w:w="4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1.05</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r>
      <w:tr>
        <w:trPr>
          <w:trHeight w:val="324"/>
        </w:trPr>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gridSpan w:val="2"/>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90,913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90,351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83,986</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92,245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91,738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85,602</w:t>
            </w:r>
          </w:p>
        </w:tc>
      </w:tr>
      <w:tr>
        <w:trPr>
          <w:trHeight w:val="324"/>
        </w:trPr>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222,606</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157,331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88,497</w:t>
            </w:r>
          </w:p>
        </w:tc>
      </w:tr>
      <w:tr>
        <w:trPr>
          <w:trHeight w:val="324"/>
        </w:trPr>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29"/>
        </w:trPr>
        <w:tc>
          <w:tcPr>
            <w:tcW w:w="7100" w:type="dxa"/>
            <w:vAlign w:val="bottom"/>
            <w:gridSpan w:val="2"/>
          </w:tcPr>
          <w:p>
            <w:pPr>
              <w:ind w:left="280"/>
              <w:spacing w:after="0"/>
              <w:rPr>
                <w:sz w:val="20"/>
                <w:szCs w:val="20"/>
                <w:color w:val="auto"/>
              </w:rPr>
            </w:pPr>
            <w:r>
              <w:rPr>
                <w:rFonts w:ascii="Arial" w:cs="Arial" w:eastAsia="Arial" w:hAnsi="Arial"/>
                <w:sz w:val="18"/>
                <w:szCs w:val="18"/>
                <w:color w:val="auto"/>
              </w:rPr>
              <w:t>Change in unrealized (depreciation) appreciation of investments, net of tax (benefit)</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100" w:type="dxa"/>
            <w:vAlign w:val="bottom"/>
            <w:gridSpan w:val="2"/>
          </w:tcPr>
          <w:p>
            <w:pPr>
              <w:ind w:left="520"/>
              <w:spacing w:after="0"/>
              <w:rPr>
                <w:sz w:val="20"/>
                <w:szCs w:val="20"/>
                <w:color w:val="auto"/>
              </w:rPr>
            </w:pPr>
            <w:r>
              <w:rPr>
                <w:rFonts w:ascii="Arial" w:cs="Arial" w:eastAsia="Arial" w:hAnsi="Arial"/>
                <w:sz w:val="18"/>
                <w:szCs w:val="18"/>
                <w:color w:val="auto"/>
              </w:rPr>
              <w:t>expense of ($2,941) in 2016, ($1,285) in 2015 and $2,825 in 2014</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(12,156)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(4,766)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6,114</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other comprehensive (loss) income</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6,114</w:t>
            </w:r>
          </w:p>
        </w:tc>
      </w:tr>
      <w:tr>
        <w:trPr>
          <w:trHeight w:val="257"/>
        </w:trPr>
        <w:tc>
          <w:tcPr>
            <w:tcW w:w="7100" w:type="dxa"/>
            <w:vAlign w:val="bottom"/>
            <w:gridSpan w:val="2"/>
          </w:tcPr>
          <w:p>
            <w:pPr>
              <w:ind w:left="180"/>
              <w:spacing w:after="0"/>
              <w:rPr>
                <w:sz w:val="20"/>
                <w:szCs w:val="20"/>
                <w:color w:val="auto"/>
              </w:rPr>
            </w:pPr>
            <w:r>
              <w:rPr>
                <w:rFonts w:ascii="Arial" w:cs="Arial" w:eastAsia="Arial" w:hAnsi="Arial"/>
                <w:sz w:val="18"/>
                <w:szCs w:val="18"/>
                <w:b w:val="1"/>
                <w:bCs w:val="1"/>
                <w:color w:val="auto"/>
              </w:rPr>
              <w:t>Comprehensive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210,450</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152,565</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94,611</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580"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Retained</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35"/>
        </w:trPr>
        <w:tc>
          <w:tcPr>
            <w:tcW w:w="4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Earnings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4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Common</w:t>
            </w:r>
          </w:p>
        </w:tc>
        <w:tc>
          <w:tcPr>
            <w:tcW w:w="14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Paid-In</w:t>
            </w:r>
          </w:p>
        </w:tc>
        <w:tc>
          <w:tcPr>
            <w:tcW w:w="14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Treasury</w:t>
            </w:r>
          </w:p>
        </w:tc>
        <w:tc>
          <w:tcPr>
            <w:tcW w:w="140" w:type="dxa"/>
            <w:vAlign w:val="bottom"/>
          </w:tcPr>
          <w:p>
            <w:pPr>
              <w:spacing w:after="0"/>
              <w:rPr>
                <w:sz w:val="11"/>
                <w:szCs w:val="11"/>
                <w:color w:val="auto"/>
              </w:rPr>
            </w:pPr>
          </w:p>
        </w:tc>
        <w:tc>
          <w:tcPr>
            <w:tcW w:w="9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4"/>
              </w:rPr>
              <w:t>Stockholders'</w:t>
            </w:r>
          </w:p>
        </w:tc>
      </w:tr>
      <w:tr>
        <w:trPr>
          <w:trHeight w:val="17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Stock</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0"/>
              </w:rPr>
              <w:t>Equity</w:t>
            </w:r>
          </w:p>
        </w:tc>
      </w:tr>
      <w:tr>
        <w:trPr>
          <w:trHeight w:val="257"/>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Balance at January 1, 2014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1,297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754,390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(1,447)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(32,099)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722,141</w:t>
            </w:r>
          </w:p>
        </w:tc>
      </w:tr>
      <w:tr>
        <w:trPr>
          <w:trHeight w:val="262"/>
        </w:trPr>
        <w:tc>
          <w:tcPr>
            <w:tcW w:w="4820" w:type="dxa"/>
            <w:vAlign w:val="bottom"/>
            <w:gridSpan w:val="2"/>
          </w:tcPr>
          <w:p>
            <w:pPr>
              <w:ind w:left="40"/>
              <w:spacing w:after="0"/>
              <w:rPr>
                <w:sz w:val="20"/>
                <w:szCs w:val="20"/>
                <w:color w:val="auto"/>
              </w:rPr>
            </w:pPr>
            <w:r>
              <w:rPr>
                <w:rFonts w:ascii="Arial" w:cs="Arial" w:eastAsia="Arial" w:hAnsi="Arial"/>
                <w:sz w:val="13"/>
                <w:szCs w:val="13"/>
                <w:color w:val="auto"/>
              </w:rPr>
              <w:t>Net income</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88,497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88,497</w:t>
            </w:r>
          </w:p>
        </w:tc>
      </w:tr>
      <w:tr>
        <w:trPr>
          <w:trHeight w:val="278"/>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comprehensive income</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6,114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6,114</w:t>
            </w:r>
          </w:p>
        </w:tc>
      </w:tr>
      <w:tr>
        <w:trPr>
          <w:trHeight w:val="262"/>
        </w:trPr>
        <w:tc>
          <w:tcPr>
            <w:tcW w:w="4820" w:type="dxa"/>
            <w:vAlign w:val="bottom"/>
            <w:gridSpan w:val="2"/>
          </w:tcPr>
          <w:p>
            <w:pPr>
              <w:ind w:left="40"/>
              <w:spacing w:after="0"/>
              <w:rPr>
                <w:sz w:val="20"/>
                <w:szCs w:val="20"/>
                <w:color w:val="auto"/>
              </w:rPr>
            </w:pPr>
            <w:r>
              <w:rPr>
                <w:rFonts w:ascii="Arial" w:cs="Arial" w:eastAsia="Arial" w:hAnsi="Arial"/>
                <w:sz w:val="13"/>
                <w:szCs w:val="13"/>
                <w:color w:val="auto"/>
              </w:rPr>
              <w:t>Issuance of Common Shares net of issuance cost of $6,761</w:t>
            </w: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126,649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126,739</w:t>
            </w:r>
          </w:p>
        </w:tc>
      </w:tr>
      <w:tr>
        <w:trPr>
          <w:trHeight w:val="278"/>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Issuance of management incentive shares</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416</w:t>
            </w:r>
          </w:p>
        </w:tc>
      </w:tr>
      <w:tr>
        <w:trPr>
          <w:trHeight w:val="262"/>
        </w:trPr>
        <w:tc>
          <w:tcPr>
            <w:tcW w:w="4820" w:type="dxa"/>
            <w:vAlign w:val="bottom"/>
            <w:gridSpan w:val="2"/>
          </w:tcPr>
          <w:p>
            <w:pPr>
              <w:ind w:left="40"/>
              <w:spacing w:after="0"/>
              <w:rPr>
                <w:sz w:val="20"/>
                <w:szCs w:val="20"/>
                <w:color w:val="auto"/>
              </w:rPr>
            </w:pPr>
            <w:r>
              <w:rPr>
                <w:rFonts w:ascii="Arial" w:cs="Arial" w:eastAsia="Arial" w:hAnsi="Arial"/>
                <w:sz w:val="13"/>
                <w:szCs w:val="13"/>
                <w:color w:val="auto"/>
              </w:rPr>
              <w:t>Forfeiture of management incentive shares</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Stock-based compensation expense</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12,520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12,520</w:t>
            </w:r>
          </w:p>
        </w:tc>
      </w:tr>
      <w:tr>
        <w:trPr>
          <w:trHeight w:val="262"/>
        </w:trPr>
        <w:tc>
          <w:tcPr>
            <w:tcW w:w="4820" w:type="dxa"/>
            <w:vAlign w:val="bottom"/>
            <w:gridSpan w:val="2"/>
          </w:tcPr>
          <w:p>
            <w:pPr>
              <w:ind w:left="40"/>
              <w:spacing w:after="0"/>
              <w:rPr>
                <w:sz w:val="20"/>
                <w:szCs w:val="20"/>
                <w:color w:val="auto"/>
              </w:rPr>
            </w:pPr>
            <w:r>
              <w:rPr>
                <w:rFonts w:ascii="Arial" w:cs="Arial" w:eastAsia="Arial" w:hAnsi="Arial"/>
                <w:sz w:val="13"/>
                <w:szCs w:val="13"/>
                <w:color w:val="auto"/>
              </w:rPr>
              <w:t>Excess tax benefits from stock-based compensation expense</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1,809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1,809</w:t>
            </w:r>
          </w:p>
        </w:tc>
      </w:tr>
      <w:tr>
        <w:trPr>
          <w:trHeight w:val="278"/>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Treasury stock acquired</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(2,498)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(2,498)</w:t>
            </w:r>
          </w:p>
        </w:tc>
      </w:tr>
      <w:tr>
        <w:trPr>
          <w:trHeight w:val="264"/>
        </w:trPr>
        <w:tc>
          <w:tcPr>
            <w:tcW w:w="482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Cancellation of treasury stock</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(2,497)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2,498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57"/>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Balance at December 31, 2014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1,388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893,285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4,667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56,398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955,738</w:t>
            </w:r>
          </w:p>
        </w:tc>
      </w:tr>
      <w:tr>
        <w:trPr>
          <w:trHeight w:val="270"/>
        </w:trPr>
        <w:tc>
          <w:tcPr>
            <w:tcW w:w="4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157,331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157,331</w:t>
            </w:r>
          </w:p>
        </w:tc>
      </w:tr>
      <w:tr>
        <w:trPr>
          <w:trHeight w:val="262"/>
        </w:trPr>
        <w:tc>
          <w:tcPr>
            <w:tcW w:w="4820" w:type="dxa"/>
            <w:vAlign w:val="bottom"/>
            <w:gridSpan w:val="2"/>
          </w:tcPr>
          <w:p>
            <w:pPr>
              <w:ind w:left="40"/>
              <w:spacing w:after="0"/>
              <w:rPr>
                <w:sz w:val="20"/>
                <w:szCs w:val="20"/>
                <w:color w:val="auto"/>
              </w:rPr>
            </w:pPr>
            <w:r>
              <w:rPr>
                <w:rFonts w:ascii="Arial" w:cs="Arial" w:eastAsia="Arial" w:hAnsi="Arial"/>
                <w:sz w:val="13"/>
                <w:szCs w:val="13"/>
                <w:color w:val="auto"/>
              </w:rPr>
              <w:t>Other comprehensive loss</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(4,766)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(4,766)</w:t>
            </w:r>
          </w:p>
        </w:tc>
      </w:tr>
      <w:tr>
        <w:trPr>
          <w:trHeight w:val="278"/>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Issuance of management incentive shares</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4820" w:type="dxa"/>
            <w:vAlign w:val="bottom"/>
            <w:gridSpan w:val="2"/>
          </w:tcPr>
          <w:p>
            <w:pPr>
              <w:ind w:left="40"/>
              <w:spacing w:after="0"/>
              <w:rPr>
                <w:sz w:val="20"/>
                <w:szCs w:val="20"/>
                <w:color w:val="auto"/>
              </w:rPr>
            </w:pPr>
            <w:r>
              <w:rPr>
                <w:rFonts w:ascii="Arial" w:cs="Arial" w:eastAsia="Arial" w:hAnsi="Arial"/>
                <w:sz w:val="13"/>
                <w:szCs w:val="13"/>
                <w:color w:val="auto"/>
              </w:rPr>
              <w:t>Forfeiture of management incentive shares</w:t>
            </w:r>
          </w:p>
        </w:tc>
        <w:tc>
          <w:tcPr>
            <w:tcW w:w="12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Stock-based compensation expense</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13,633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13,633</w:t>
            </w:r>
          </w:p>
        </w:tc>
      </w:tr>
      <w:tr>
        <w:trPr>
          <w:trHeight w:val="262"/>
        </w:trPr>
        <w:tc>
          <w:tcPr>
            <w:tcW w:w="4820" w:type="dxa"/>
            <w:vAlign w:val="bottom"/>
            <w:gridSpan w:val="2"/>
          </w:tcPr>
          <w:p>
            <w:pPr>
              <w:ind w:left="40"/>
              <w:spacing w:after="0"/>
              <w:rPr>
                <w:sz w:val="20"/>
                <w:szCs w:val="20"/>
                <w:color w:val="auto"/>
              </w:rPr>
            </w:pPr>
            <w:r>
              <w:rPr>
                <w:rFonts w:ascii="Arial" w:cs="Arial" w:eastAsia="Arial" w:hAnsi="Arial"/>
                <w:sz w:val="13"/>
                <w:szCs w:val="13"/>
                <w:color w:val="auto"/>
              </w:rPr>
              <w:t>Excess tax benefits from stock-based compensation expense</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2,420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2,420</w:t>
            </w:r>
          </w:p>
        </w:tc>
      </w:tr>
      <w:tr>
        <w:trPr>
          <w:trHeight w:val="278"/>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Treasury stock acquired</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(5,168)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(5,168)</w:t>
            </w:r>
          </w:p>
        </w:tc>
      </w:tr>
      <w:tr>
        <w:trPr>
          <w:trHeight w:val="262"/>
        </w:trPr>
        <w:tc>
          <w:tcPr>
            <w:tcW w:w="4820" w:type="dxa"/>
            <w:vAlign w:val="bottom"/>
            <w:gridSpan w:val="2"/>
          </w:tcPr>
          <w:p>
            <w:pPr>
              <w:ind w:left="40"/>
              <w:spacing w:after="0"/>
              <w:rPr>
                <w:sz w:val="20"/>
                <w:szCs w:val="20"/>
                <w:color w:val="auto"/>
              </w:rPr>
            </w:pPr>
            <w:r>
              <w:rPr>
                <w:rFonts w:ascii="Arial" w:cs="Arial" w:eastAsia="Arial" w:hAnsi="Arial"/>
                <w:sz w:val="13"/>
                <w:szCs w:val="13"/>
                <w:color w:val="auto"/>
              </w:rPr>
              <w:t>Cancellation of treasury stock</w:t>
            </w:r>
          </w:p>
        </w:tc>
        <w:tc>
          <w:tcPr>
            <w:tcW w:w="12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(5,165)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5,168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2"/>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equity transactions</w:t>
            </w: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53</w:t>
            </w:r>
          </w:p>
        </w:tc>
      </w:tr>
      <w:tr>
        <w:trPr>
          <w:trHeight w:val="249"/>
        </w:trPr>
        <w:tc>
          <w:tcPr>
            <w:tcW w:w="4820" w:type="dxa"/>
            <w:vAlign w:val="bottom"/>
            <w:gridSpan w:val="2"/>
          </w:tcPr>
          <w:p>
            <w:pPr>
              <w:ind w:left="40"/>
              <w:spacing w:after="0"/>
              <w:rPr>
                <w:sz w:val="20"/>
                <w:szCs w:val="20"/>
                <w:color w:val="auto"/>
              </w:rPr>
            </w:pPr>
            <w:r>
              <w:rPr>
                <w:rFonts w:ascii="Arial" w:cs="Arial" w:eastAsia="Arial" w:hAnsi="Arial"/>
                <w:sz w:val="13"/>
                <w:szCs w:val="13"/>
                <w:color w:val="auto"/>
              </w:rPr>
              <w:t>Balance at December 31, 2015</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b w:val="1"/>
                <w:bCs w:val="1"/>
                <w:color w:val="auto"/>
              </w:rPr>
              <w:t>1,390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b w:val="1"/>
                <w:bCs w:val="1"/>
                <w:color w:val="auto"/>
              </w:rPr>
              <w:t>904,221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120" w:type="dxa"/>
            <w:vAlign w:val="bottom"/>
          </w:tcPr>
          <w:p>
            <w:pPr>
              <w:jc w:val="right"/>
              <w:ind w:right="17"/>
              <w:spacing w:after="0"/>
              <w:rPr>
                <w:sz w:val="20"/>
                <w:szCs w:val="20"/>
                <w:color w:val="auto"/>
              </w:rPr>
            </w:pPr>
            <w:r>
              <w:rPr>
                <w:rFonts w:ascii="Arial" w:cs="Arial" w:eastAsia="Arial" w:hAnsi="Arial"/>
                <w:sz w:val="13"/>
                <w:szCs w:val="13"/>
                <w:b w:val="1"/>
                <w:bCs w:val="1"/>
                <w:color w:val="auto"/>
              </w:rPr>
              <w:t>(99)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Pr>
          <w:p>
            <w:pPr>
              <w:jc w:val="right"/>
              <w:ind w:right="37"/>
              <w:spacing w:after="0"/>
              <w:rPr>
                <w:sz w:val="20"/>
                <w:szCs w:val="20"/>
                <w:color w:val="auto"/>
              </w:rPr>
            </w:pPr>
            <w:r>
              <w:rPr>
                <w:rFonts w:ascii="Arial" w:cs="Arial" w:eastAsia="Arial" w:hAnsi="Arial"/>
                <w:sz w:val="13"/>
                <w:szCs w:val="13"/>
                <w:b w:val="1"/>
                <w:bCs w:val="1"/>
                <w:color w:val="auto"/>
              </w:rPr>
              <w:t>213,729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Pr>
          <w:p>
            <w:pPr>
              <w:jc w:val="right"/>
              <w:ind w:right="37"/>
              <w:spacing w:after="0"/>
              <w:rPr>
                <w:sz w:val="20"/>
                <w:szCs w:val="20"/>
                <w:color w:val="auto"/>
              </w:rPr>
            </w:pPr>
            <w:r>
              <w:rPr>
                <w:rFonts w:ascii="Arial" w:cs="Arial" w:eastAsia="Arial" w:hAnsi="Arial"/>
                <w:sz w:val="13"/>
                <w:szCs w:val="13"/>
                <w:b w:val="1"/>
                <w:bCs w:val="1"/>
                <w:color w:val="auto"/>
              </w:rPr>
              <w:t>1,119,241</w:t>
            </w:r>
          </w:p>
        </w:tc>
      </w:tr>
      <w:tr>
        <w:trPr>
          <w:trHeight w:val="278"/>
        </w:trPr>
        <w:tc>
          <w:tcPr>
            <w:tcW w:w="4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2"/>
        </w:trPr>
        <w:tc>
          <w:tcPr>
            <w:tcW w:w="4820" w:type="dxa"/>
            <w:vAlign w:val="bottom"/>
            <w:gridSpan w:val="2"/>
          </w:tcPr>
          <w:p>
            <w:pPr>
              <w:ind w:left="40"/>
              <w:spacing w:after="0"/>
              <w:rPr>
                <w:sz w:val="20"/>
                <w:szCs w:val="20"/>
                <w:color w:val="auto"/>
              </w:rPr>
            </w:pPr>
            <w:r>
              <w:rPr>
                <w:rFonts w:ascii="Arial" w:cs="Arial" w:eastAsia="Arial" w:hAnsi="Arial"/>
                <w:sz w:val="13"/>
                <w:szCs w:val="13"/>
                <w:color w:val="auto"/>
              </w:rPr>
              <w:t>Net income</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222,606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222,606</w:t>
            </w:r>
          </w:p>
        </w:tc>
      </w:tr>
      <w:tr>
        <w:trPr>
          <w:trHeight w:val="278"/>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comprehensive loss</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(12,156)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(12,156)</w:t>
            </w:r>
          </w:p>
        </w:tc>
      </w:tr>
      <w:tr>
        <w:trPr>
          <w:trHeight w:val="262"/>
        </w:trPr>
        <w:tc>
          <w:tcPr>
            <w:tcW w:w="4820" w:type="dxa"/>
            <w:vAlign w:val="bottom"/>
            <w:gridSpan w:val="2"/>
          </w:tcPr>
          <w:p>
            <w:pPr>
              <w:ind w:left="40"/>
              <w:spacing w:after="0"/>
              <w:rPr>
                <w:sz w:val="20"/>
                <w:szCs w:val="20"/>
                <w:color w:val="auto"/>
              </w:rPr>
            </w:pPr>
            <w:r>
              <w:rPr>
                <w:rFonts w:ascii="Arial" w:cs="Arial" w:eastAsia="Arial" w:hAnsi="Arial"/>
                <w:sz w:val="13"/>
                <w:szCs w:val="13"/>
                <w:color w:val="auto"/>
              </w:rPr>
              <w:t>Issuance of management incentive shares</w:t>
            </w: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Forfeiture of management incentive shares</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4820" w:type="dxa"/>
            <w:vAlign w:val="bottom"/>
            <w:gridSpan w:val="2"/>
          </w:tcPr>
          <w:p>
            <w:pPr>
              <w:ind w:left="40"/>
              <w:spacing w:after="0"/>
              <w:rPr>
                <w:sz w:val="20"/>
                <w:szCs w:val="20"/>
                <w:color w:val="auto"/>
              </w:rPr>
            </w:pPr>
            <w:r>
              <w:rPr>
                <w:rFonts w:ascii="Arial" w:cs="Arial" w:eastAsia="Arial" w:hAnsi="Arial"/>
                <w:sz w:val="13"/>
                <w:szCs w:val="13"/>
                <w:color w:val="auto"/>
              </w:rPr>
              <w:t>Stock-based compensation expense</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16,881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16,881</w:t>
            </w:r>
          </w:p>
        </w:tc>
      </w:tr>
      <w:tr>
        <w:trPr>
          <w:trHeight w:val="278"/>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Excess tax benefits from stock-based compensation expense</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1,083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1,083</w:t>
            </w:r>
          </w:p>
        </w:tc>
      </w:tr>
      <w:tr>
        <w:trPr>
          <w:trHeight w:val="262"/>
        </w:trPr>
        <w:tc>
          <w:tcPr>
            <w:tcW w:w="4820" w:type="dxa"/>
            <w:vAlign w:val="bottom"/>
            <w:gridSpan w:val="2"/>
          </w:tcPr>
          <w:p>
            <w:pPr>
              <w:ind w:left="40"/>
              <w:spacing w:after="0"/>
              <w:rPr>
                <w:sz w:val="20"/>
                <w:szCs w:val="20"/>
                <w:color w:val="auto"/>
              </w:rPr>
            </w:pPr>
            <w:r>
              <w:rPr>
                <w:rFonts w:ascii="Arial" w:cs="Arial" w:eastAsia="Arial" w:hAnsi="Arial"/>
                <w:sz w:val="13"/>
                <w:szCs w:val="13"/>
                <w:color w:val="auto"/>
              </w:rPr>
              <w:t>Treasury stock acquired</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(4,024)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(4,024)</w:t>
            </w:r>
          </w:p>
        </w:tc>
      </w:tr>
      <w:tr>
        <w:trPr>
          <w:trHeight w:val="278"/>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Cancellation of treasury stock</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(4,021)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4,024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4"/>
        </w:trPr>
        <w:tc>
          <w:tcPr>
            <w:tcW w:w="482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Other equity transactions</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142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142</w:t>
            </w:r>
          </w:p>
        </w:tc>
      </w:tr>
      <w:tr>
        <w:trPr>
          <w:trHeight w:val="242"/>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Balance at December 31, 2016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1,397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918,296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(12,255)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436,335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1,343,773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580"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6"/>
          </w:tcPr>
          <w:p>
            <w:pPr>
              <w:jc w:val="right"/>
              <w:ind w:right="119"/>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r>
      <w:tr>
        <w:trPr>
          <w:trHeight w:val="33"/>
        </w:trPr>
        <w:tc>
          <w:tcPr>
            <w:tcW w:w="710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r>
      <w:tr>
        <w:trPr>
          <w:trHeight w:val="33"/>
        </w:trPr>
        <w:tc>
          <w:tcPr>
            <w:tcW w:w="6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222,606</w:t>
            </w:r>
          </w:p>
        </w:tc>
        <w:tc>
          <w:tcPr>
            <w:tcW w:w="14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157,331</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88,497</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Gain on the sale of investments, net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(1,934)</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(2,554)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(925)</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4,064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2,464</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Amortization of discount on payments due under Asset Purchase Agreement</w:t>
            </w:r>
          </w:p>
        </w:tc>
        <w:tc>
          <w:tcPr>
            <w:tcW w:w="32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51</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16,881</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12,520</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Amortization of premium on investment securities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10,486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10,004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6,840</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Deferred income tax provision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57,564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52,157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44,614</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Excess tax benefits from stock-based compensation</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(1,083)</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(1,809)</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Change in: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100" w:type="dxa"/>
            <w:vAlign w:val="bottom"/>
            <w:gridSpan w:val="2"/>
          </w:tcPr>
          <w:p>
            <w:pPr>
              <w:ind w:left="500"/>
              <w:spacing w:after="0"/>
              <w:rPr>
                <w:sz w:val="20"/>
                <w:szCs w:val="20"/>
                <w:color w:val="auto"/>
              </w:rPr>
            </w:pPr>
            <w:r>
              <w:rPr>
                <w:rFonts w:ascii="Arial" w:cs="Arial" w:eastAsia="Arial" w:hAnsi="Arial"/>
                <w:sz w:val="16"/>
                <w:szCs w:val="16"/>
                <w:color w:val="auto"/>
              </w:rPr>
              <w:t>Accrued investment income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(1,720)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(3,770)</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(4,955)</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(3,803)</w:t>
            </w:r>
          </w:p>
        </w:tc>
      </w:tr>
      <w:tr>
        <w:trPr>
          <w:trHeight w:val="237"/>
        </w:trPr>
        <w:tc>
          <w:tcPr>
            <w:tcW w:w="7100" w:type="dxa"/>
            <w:vAlign w:val="bottom"/>
            <w:gridSpan w:val="2"/>
          </w:tcPr>
          <w:p>
            <w:pPr>
              <w:ind w:left="500"/>
              <w:spacing w:after="0"/>
              <w:rPr>
                <w:sz w:val="20"/>
                <w:szCs w:val="20"/>
                <w:color w:val="auto"/>
              </w:rPr>
            </w:pPr>
            <w:r>
              <w:rPr>
                <w:rFonts w:ascii="Arial" w:cs="Arial" w:eastAsia="Arial" w:hAnsi="Arial"/>
                <w:sz w:val="16"/>
                <w:szCs w:val="16"/>
                <w:color w:val="auto"/>
              </w:rPr>
              <w:t>Deferred policy acquisition costs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(1,871)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(1,932)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(3,424)</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Prepaid federal income tax</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(61,860)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(59,739)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(51,673)</w:t>
            </w:r>
          </w:p>
        </w:tc>
      </w:tr>
      <w:tr>
        <w:trPr>
          <w:trHeight w:val="237"/>
        </w:trPr>
        <w:tc>
          <w:tcPr>
            <w:tcW w:w="7100" w:type="dxa"/>
            <w:vAlign w:val="bottom"/>
            <w:gridSpan w:val="2"/>
          </w:tcPr>
          <w:p>
            <w:pPr>
              <w:ind w:left="50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78</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Reserve for losses and LAE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10,382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5,357</w:t>
            </w:r>
          </w:p>
        </w:tc>
      </w:tr>
      <w:tr>
        <w:trPr>
          <w:trHeight w:val="237"/>
        </w:trPr>
        <w:tc>
          <w:tcPr>
            <w:tcW w:w="7100" w:type="dxa"/>
            <w:vAlign w:val="bottom"/>
            <w:gridSpan w:val="2"/>
          </w:tcPr>
          <w:p>
            <w:pPr>
              <w:ind w:left="500"/>
              <w:spacing w:after="0"/>
              <w:rPr>
                <w:sz w:val="20"/>
                <w:szCs w:val="20"/>
                <w:color w:val="auto"/>
              </w:rPr>
            </w:pPr>
            <w:r>
              <w:rPr>
                <w:rFonts w:ascii="Arial" w:cs="Arial" w:eastAsia="Arial" w:hAnsi="Arial"/>
                <w:sz w:val="16"/>
                <w:szCs w:val="16"/>
                <w:color w:val="auto"/>
              </w:rPr>
              <w:t>Unearned premium reserve</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18,571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44,097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53,549</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Other accrued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6,871</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6,582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5,138</w:t>
            </w: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273,476</w:t>
            </w: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224,139</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153,704</w:t>
            </w:r>
          </w:p>
        </w:tc>
      </w:tr>
      <w:tr>
        <w:trPr>
          <w:trHeight w:val="33"/>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15"/>
        </w:trPr>
        <w:tc>
          <w:tcPr>
            <w:tcW w:w="6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Net change in short-term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(46,352)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124,692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(196,609)</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Purchase of investments available for sale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(656,768)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(798,891)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(699,324)</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Proceeds from maturity of investments available for sale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27,186</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27,382</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Proceeds from sales of investments available for sale</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313,780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449,834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144,744</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Purchase of property and equipment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(3,162)</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(3,893)</w:t>
            </w: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(365,316)</w:t>
            </w: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(220,712)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(727,700)</w:t>
            </w:r>
          </w:p>
        </w:tc>
      </w:tr>
      <w:tr>
        <w:trPr>
          <w:trHeight w:val="33"/>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15"/>
        </w:trPr>
        <w:tc>
          <w:tcPr>
            <w:tcW w:w="6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Revolving credit facility borrowings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Treasury stock acquired</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(4,024)</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(5,168)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(2,498)</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Payment of issuance costs for revolving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(2,436)</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Excess tax benefits from stock-based compensation</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1,083</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1,809</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Issuance of common shares net of costs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126,441</w:t>
            </w:r>
          </w:p>
        </w:tc>
      </w:tr>
      <w:tr>
        <w:trPr>
          <w:trHeight w:val="23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Payments under Asset Purchase Agreement</w:t>
            </w:r>
          </w:p>
        </w:tc>
        <w:tc>
          <w:tcPr>
            <w:tcW w:w="32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(5,000)</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Other financing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94,765</w:t>
            </w: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(3,232)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120,752</w:t>
            </w:r>
          </w:p>
        </w:tc>
      </w:tr>
      <w:tr>
        <w:trPr>
          <w:trHeight w:val="33"/>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15"/>
        </w:trPr>
        <w:tc>
          <w:tcPr>
            <w:tcW w:w="6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Net increase (decrease) in cash</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2,925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(453,244)</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at beginning of year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24,606</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24,411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477,655</w:t>
            </w:r>
          </w:p>
        </w:tc>
      </w:tr>
      <w:tr>
        <w:trPr>
          <w:trHeight w:val="284"/>
        </w:trPr>
        <w:tc>
          <w:tcPr>
            <w:tcW w:w="71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b w:val="1"/>
                <w:bCs w:val="1"/>
                <w:color w:val="auto"/>
              </w:rPr>
              <w:t>Cash at end of year</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27,531</w:t>
            </w:r>
          </w:p>
        </w:tc>
        <w:tc>
          <w:tcPr>
            <w:tcW w:w="14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24,606</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24,411</w:t>
            </w:r>
          </w:p>
        </w:tc>
      </w:tr>
      <w:tr>
        <w:trPr>
          <w:trHeight w:val="109"/>
        </w:trPr>
        <w:tc>
          <w:tcPr>
            <w:tcW w:w="69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tax payments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(30,800)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Interest payments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(324)</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22"/>
        </w:trPr>
        <w:tc>
          <w:tcPr>
            <w:tcW w:w="6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Noncash Transactions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71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Issuance of management incentive shares (see Note 10)</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416</w:t>
            </w:r>
          </w:p>
        </w:tc>
      </w:tr>
      <w:tr>
        <w:trPr>
          <w:trHeight w:val="33"/>
        </w:trPr>
        <w:tc>
          <w:tcPr>
            <w:tcW w:w="6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580" w:right="239" w:bottom="919"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580" w:right="239" w:bottom="919" w:gutter="0" w:footer="0" w:header="0"/>
          <w:type w:val="continuous"/>
        </w:sectPr>
      </w:pPr>
    </w:p>
    <w:bookmarkStart w:id="93" w:name="page94"/>
    <w:bookmarkEnd w:id="93"/>
    <w:p>
      <w:pPr>
        <w:jc w:val="center"/>
        <w:ind w:right="-5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In these notes to consolidated financial statements, “Essent”, “Company”, “we”, “us”, and “our” refer to Essent Group Ltd. and its subsidiaries, unless the context otherwise requires.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22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two government-sponsored enterprises ("GSEs"), Fannie Mae and Freddie Mac.</w:t>
      </w:r>
    </w:p>
    <w:p>
      <w:pPr>
        <w:spacing w:after="0" w:line="187"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The primary mortgage insurance operations are conducted through Essent Guaranty, Inc. ("Essent Guaranty"), which is domiciled in the state of Pennsylvania. Essent Guaranty is headquartered in Radnor, Pennsylvania and maintains operations centers in Winston-Salem, North Carolina and Irvine, California. Essent Guaranty is approved as a qualified mortgage insurer by the GSEs and is licensed to write mortgage insurance in all 50 states and the District of Columbia. Effective July 2014, Essent Guaranty began to reinsure 25% of GSE-eligible new insurance written to Essent Reinsurance Ltd. (“Essent Re”), an affiliated Bermuda domiciled Class 3A Insurer licensed pursuant to Section 4 of the Bermuda Insurance Act 1978 that provides insurance and reinsurance coverage of mortgage credit risk. Essent Re also provides insurance and reinsurance to Freddie Mac and Fannie Mae. In 2016, Essent Re formed Essent Agency (Bermuda) Ltd., a wholly-owned subsidiary, which provides underwriting services to third-party reinsurers. In accordance with certain state law requirements, Essent Guaranty also reinsures that portion of the risk that is in excess of 25% of the mortgage balance with respect to any loan insured, after consideration of other reinsurance, to Essent Guaranty of PA, Inc. (“Essent PA”), an affiliate domiciled in the state of Pennsylvania.</w:t>
      </w:r>
    </w:p>
    <w:p>
      <w:pPr>
        <w:spacing w:after="0" w:line="16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addition to offering mortgage insurance, we provide contract underwriting services on a limited basis through CUW Solutions, LLC ("CUW Solutions"), a Delaware limited liability company, that provides, among other things, mortgage contract underwriting services to lenders and mortgage insurance underwriting services to affiliates. CUW Solutions is headquartered in Radnor, Pennsylvania and it maintains operations centers in Winston-Salem, North Carolina and Irvine, California that are subleased from Essent Guaranty.</w:t>
      </w:r>
    </w:p>
    <w:p>
      <w:pPr>
        <w:spacing w:after="0" w:line="187" w:lineRule="exact"/>
        <w:rPr>
          <w:sz w:val="20"/>
          <w:szCs w:val="20"/>
          <w:color w:val="auto"/>
        </w:rPr>
      </w:pPr>
    </w:p>
    <w:p>
      <w:pPr>
        <w:ind w:right="280" w:firstLine="432"/>
        <w:spacing w:after="0" w:line="381" w:lineRule="auto"/>
        <w:rPr>
          <w:sz w:val="20"/>
          <w:szCs w:val="20"/>
          <w:color w:val="auto"/>
        </w:rPr>
      </w:pPr>
      <w:r>
        <w:rPr>
          <w:rFonts w:ascii="Arial" w:cs="Arial" w:eastAsia="Arial" w:hAnsi="Arial"/>
          <w:sz w:val="15"/>
          <w:szCs w:val="15"/>
          <w:color w:val="auto"/>
        </w:rPr>
        <w:t>The Company operates as a single segment for reporting purposes as substantially all business operations, assets and liabilities relate to the private mortgage insurance business and management reviews operating results for the Company as a whole to make operating decisions and assess performance.</w:t>
      </w:r>
    </w:p>
    <w:p>
      <w:pPr>
        <w:spacing w:after="0" w:line="101"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The consolidated financial statements have been prepared in accordance with U.S. generally accepted accounting principles ("GAAP") and include the accounts of Essent Group and its consolidated subsidiaries. All intercompany balances and transactions have been eliminated in consolidation.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amounts in prior years have been reclassified to conform to the current year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Available for Sale</w:t>
      </w:r>
    </w:p>
    <w:p>
      <w:pPr>
        <w:spacing w:after="0" w:line="229" w:lineRule="exact"/>
        <w:rPr>
          <w:sz w:val="20"/>
          <w:szCs w:val="20"/>
          <w:color w:val="auto"/>
        </w:rPr>
      </w:pPr>
    </w:p>
    <w:p>
      <w:pPr>
        <w:jc w:val="both"/>
        <w:ind w:right="80" w:firstLine="432"/>
        <w:spacing w:after="0" w:line="286" w:lineRule="auto"/>
        <w:rPr>
          <w:sz w:val="20"/>
          <w:szCs w:val="20"/>
          <w:color w:val="auto"/>
        </w:rPr>
      </w:pPr>
      <w:r>
        <w:rPr>
          <w:rFonts w:ascii="Arial" w:cs="Arial" w:eastAsia="Arial" w:hAnsi="Arial"/>
          <w:sz w:val="17"/>
          <w:szCs w:val="17"/>
          <w:color w:val="auto"/>
        </w:rPr>
        <w:t>Investments available for sale include securities that we sell from time to time to provide liquidity and in response to changes in the market. Debt and equity securities classified as available for sale are reported at fair value with unrealized gains and losses on these securities reported in other comprehensive income, net of deferred income taxes. See Note 16 for a description of the valuation methods for investments available for sale.</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580" w:right="27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40" w:firstLine="432"/>
        <w:spacing w:after="0" w:line="270" w:lineRule="auto"/>
        <w:rPr>
          <w:sz w:val="20"/>
          <w:szCs w:val="20"/>
          <w:color w:val="auto"/>
        </w:rPr>
      </w:pPr>
      <w:r>
        <w:rPr>
          <w:rFonts w:ascii="Arial" w:cs="Arial" w:eastAsia="Arial" w:hAnsi="Arial"/>
          <w:sz w:val="17"/>
          <w:szCs w:val="17"/>
          <w:color w:val="auto"/>
        </w:rPr>
        <w:t>We monitor our fixed maturities for unrealized losses that appear to be other-than-temporary. A fixed maturity security is considered to be other-than-temporarily impaired when the security's fair value is less than its amortized cost basis and 1) we intend to sell the security, 2) it is more likely than not that we will be required to sell the security before recovery of the security's amortized cost basis, or 3) we believe we will be unable to recover the entire amortized cost basis of the security (i.e., a credit loss has occurred). When we determine that a credit loss has been incurred, but we do not intend to sell the security and it is not more likely than not that we will be required to sell the security before recovery of the security's amortized cost basis, the portion of the other-than-temporary impairment that is credit related is recorded as a realized loss in the consolidated statements of comprehensive income, and the portion of the other-than-temporary impairment that is not credit related is included in other comprehensive income. For those fixed maturities for which an other-than-temporary impairment has occurred, we adjust the amortized cost basis of the security and record a realized loss in the consolidated statements of comprehensive income.</w:t>
      </w:r>
    </w:p>
    <w:p>
      <w:pPr>
        <w:spacing w:after="0" w:line="182"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We recognize purchase premiums and discounts in interest income using the interest method over the term of the securities. Gains and losses on the sales of securities are recorded on the trade date and are determined using the specific identification method.</w:t>
      </w:r>
    </w:p>
    <w:p>
      <w:pPr>
        <w:spacing w:after="0" w:line="170"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Short-term investments are defined as short-term, highly liquid investments, both readily convertible to cash and having maturities at acquisition of twelve months or less.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29"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Property and equipment are stated at cost less accumulated depreciation and amortization. Depreciation is calculated using the straight-line method over the estimated useful lives of the assets. Repairs and maintenance are charged to expense as incurred. Estimated useful lives are 5 years for furniture and fixtures and 2 to 3 years for equipment, computer hardware and purchased software. Certain costs associated with the acquisition or development of internal-use software are capitalized. Once the software is ready for its intended use, these costs are amortized on a straight-line basis over the software's expected useful life, which is generally 3 years. We amortize leasehold improvements over the shorter of the lives of the leases or estimated service lives of the leasehold improvements. The balances by type were as follows at December 31:</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995"/>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015"/>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52"/>
        </w:trPr>
        <w:tc>
          <w:tcPr>
            <w:tcW w:w="6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ind w:right="195"/>
              <w:spacing w:after="0" w:line="153"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6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Depreciation/</w:t>
            </w:r>
          </w:p>
        </w:tc>
        <w:tc>
          <w:tcPr>
            <w:tcW w:w="240" w:type="dxa"/>
            <w:vAlign w:val="bottom"/>
          </w:tcPr>
          <w:p>
            <w:pPr>
              <w:spacing w:after="0"/>
              <w:rPr>
                <w:sz w:val="12"/>
                <w:szCs w:val="12"/>
                <w:color w:val="auto"/>
              </w:rPr>
            </w:pPr>
          </w:p>
        </w:tc>
        <w:tc>
          <w:tcPr>
            <w:tcW w:w="7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right"/>
              <w:ind w:right="195"/>
              <w:spacing w:after="0" w:line="149" w:lineRule="exact"/>
              <w:rPr>
                <w:sz w:val="20"/>
                <w:szCs w:val="20"/>
                <w:color w:val="auto"/>
              </w:rPr>
            </w:pPr>
            <w:r>
              <w:rPr>
                <w:rFonts w:ascii="Arial" w:cs="Arial" w:eastAsia="Arial" w:hAnsi="Arial"/>
                <w:sz w:val="14"/>
                <w:szCs w:val="14"/>
                <w:b w:val="1"/>
                <w:bCs w:val="1"/>
                <w:color w:val="auto"/>
                <w:w w:val="99"/>
              </w:rPr>
              <w:t>Depreciation/</w:t>
            </w:r>
          </w:p>
        </w:tc>
        <w:tc>
          <w:tcPr>
            <w:tcW w:w="0" w:type="dxa"/>
            <w:vAlign w:val="bottom"/>
          </w:tcPr>
          <w:p>
            <w:pPr>
              <w:spacing w:after="0"/>
              <w:rPr>
                <w:sz w:val="1"/>
                <w:szCs w:val="1"/>
                <w:color w:val="auto"/>
              </w:rPr>
            </w:pPr>
          </w:p>
        </w:tc>
      </w:tr>
      <w:tr>
        <w:trPr>
          <w:trHeight w:val="192"/>
        </w:trPr>
        <w:tc>
          <w:tcPr>
            <w:tcW w:w="6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1,904</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Office equipment</w:t>
            </w:r>
          </w:p>
        </w:tc>
        <w:tc>
          <w:tcPr>
            <w:tcW w:w="2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hardware</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(3,254)</w:t>
            </w:r>
          </w:p>
        </w:tc>
        <w:tc>
          <w:tcPr>
            <w:tcW w:w="0" w:type="dxa"/>
            <w:vAlign w:val="bottom"/>
          </w:tcPr>
          <w:p>
            <w:pPr>
              <w:spacing w:after="0"/>
              <w:rPr>
                <w:sz w:val="1"/>
                <w:szCs w:val="1"/>
                <w:color w:val="auto"/>
              </w:rPr>
            </w:pP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Purchased software</w:t>
            </w:r>
          </w:p>
        </w:tc>
        <w:tc>
          <w:tcPr>
            <w:tcW w:w="2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35,148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(33,304)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34,155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(31,825)</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Costs of internal-use software</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(5,298)</w:t>
            </w:r>
          </w:p>
        </w:tc>
        <w:tc>
          <w:tcPr>
            <w:tcW w:w="0" w:type="dxa"/>
            <w:vAlign w:val="bottom"/>
          </w:tcPr>
          <w:p>
            <w:pPr>
              <w:spacing w:after="0"/>
              <w:rPr>
                <w:sz w:val="1"/>
                <w:szCs w:val="1"/>
                <w:color w:val="auto"/>
              </w:rPr>
            </w:pP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Leasehold improvements</w:t>
            </w:r>
          </w:p>
        </w:tc>
        <w:tc>
          <w:tcPr>
            <w:tcW w:w="2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4,007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3,836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54,662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51,500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(42,479)</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Policy Acquisition Costs</w:t>
      </w:r>
    </w:p>
    <w:p>
      <w:pPr>
        <w:spacing w:after="0" w:line="229"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We defer certain personnel costs and premium tax expense directly related to the successful acquisition of new insurance policies and amortize these costs over the period the related estimated gross profits are recognized in order to match costs and revenues. We do not defer any underwriting costs associated with our contract underwriting services. Costs related to the acquisition of mortgage insurance business are initially deferred and reported as deferred policy acquisition costs. Consistent with industry accounting practice, amortization of these costs for each underwriting year book of business is recognized in proportion to estimated gross profits. Estimated gross profits are composed of earned premium, interest income, losses and loss adjustment expenses. The deferred costs are adjusted as appropriate for policy cancellations to be consistent with our revenue recognition policy. We estimate the rate of amortization to reflect actual experience and any changes to persistency or loss development. Deferred policy acquisition costs are reviewed periodically to determine that they do not exceed recoverable amounts, after considering investment income. Policy acquisition costs deferred were $7.7 million, $6.6 million and $6.6</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337" w:right="239" w:bottom="1440" w:gutter="0" w:footer="0" w:header="0"/>
        </w:sectPr>
      </w:pPr>
    </w:p>
    <w:bookmarkStart w:id="95" w:name="page96"/>
    <w:bookmarkEnd w:id="95"/>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million for the years ended December 31, 2016, 2015 and 2014, respectively. Amortization of deferred policy acquisition costs totaled $5.8 million, $4.7 million and $3.2 million for the years ended December 31, 2016, 2015 and 2014, respectively, and was included in other underwriting and operating expenses on the consolidated statements of comprehensive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Premium Revenue Recognition</w:t>
      </w:r>
    </w:p>
    <w:p>
      <w:pPr>
        <w:spacing w:after="0" w:line="229"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Mortgage guaranty insurance policies are contracts that are generally non-cancelable by the insurer, are renewable at a fixed price, and provide for payment of premium on a monthly, annual or single basis. Upon renewal, we are not able to re-underwrite or re-price our policies. Consistent with industry accounting practices, premiums written on a monthly basis are earned as coverage is provided. Monthly policies accounted for 81% of earned premium in 2016. Premiums written on an annual basis are amortized on a pro rata basis over the year of coverage. Primary mortgage insurance written on policies covering more than one year are referred to as single premium policies. A portion of the revenue from single premium policies is recognized in earned premium in the current period, and the remaining portion is deferred as unearned premium and earned over the expected life of the policy. If single premium policies related to insured loans are cancelled due to repayment by the borrower, and the premium is non-refundable, then the remaining unearned premium related to each cancelled policy is recognized as earned premium upon notification of the cancellation. The Company recorded $36.9 million and $21.8 million of earned premium related to policy cancellations for the years ended December 31, 2016 and 2015, respectively. Unearned premium represents the portion of premium written that is applicable to the estimated unexpired risk of insured loans. Rates used to determine the earning of single premium policies are estimates based on an analysis of the expiration of risk.</w:t>
      </w:r>
    </w:p>
    <w:p>
      <w:pPr>
        <w:spacing w:after="0" w:line="183" w:lineRule="exact"/>
        <w:rPr>
          <w:sz w:val="20"/>
          <w:szCs w:val="20"/>
          <w:color w:val="auto"/>
        </w:rPr>
      </w:pPr>
    </w:p>
    <w:p>
      <w:pPr>
        <w:ind w:right="300" w:firstLine="432"/>
        <w:spacing w:after="0" w:line="342" w:lineRule="auto"/>
        <w:rPr>
          <w:sz w:val="20"/>
          <w:szCs w:val="20"/>
          <w:color w:val="auto"/>
        </w:rPr>
      </w:pPr>
      <w:r>
        <w:rPr>
          <w:rFonts w:ascii="Arial" w:cs="Arial" w:eastAsia="Arial" w:hAnsi="Arial"/>
          <w:sz w:val="16"/>
          <w:szCs w:val="16"/>
          <w:color w:val="auto"/>
        </w:rPr>
        <w:t>A significant portion of our premium revenue relates to master policies with certain lending institutions. For the year ended December 31, 2016 one lender represented 12% of our total revenue. The loss of this customer could have a significant impact on our revenues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 for Losses and Loss Adjustment Expenses</w:t>
      </w:r>
    </w:p>
    <w:p>
      <w:pPr>
        <w:spacing w:after="0" w:line="229"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We establish reserves for losses based on our best estimate of ultimate claim costs for defaulted loans using the general principles contained in ASC No. 944, in accordance with industry practice. However, consistent with industry standards for mortgage insurers, we do not establish loss reserves for future claims on insured loans which are not currently in default. Loans are classified as in default when the borrower has missed two consecutive payments. Once we are notified that a borrower has defaulted, we will consider internal and third-party information and models, including the status of the loan as reported by its servicer and the type of loan product to determine the likelihood that a default will reach claim status. In addition, we will project the amount that we will pay if a default becomes a claim (referred to as "claim severity"). Based on this information, at each reporting date we determine our best estimate of loss reserves at a given point in time. Included in loss reserves are reserves for incurred but not reported ("IBNR") claims. IBNR reserves represent our estimated unpaid losses on loans that are in default, but have not yet been reported to us as delinquent by our customers. We will also establish reserves for associated loss adjustment expenses, consisting of the estimated cost of the claims administration process, including legal and other fees and expenses associated with administering the claims process. Establishing reserves is inherently subjective as it requires estimates that are susceptible to significant revision as more information becomes available. Our estimates of claim rates and claim sizes will be strongly influenced by prevailing economic conditions, such as the overall state of the economy, current rates or trends in unemployment, changes in housing values and/or interest rates, and our best judgments as to the future values or trends of these macroeconomic factors. Losses incurred are also generally affected by the characteristics of our insured loans, such as the loan amount, loan-to-value ratio, the percentage of coverage on the insured loan and the credit quality of the borrower.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Premium Deficiency Reserve</w:t>
      </w:r>
    </w:p>
    <w:p>
      <w:pPr>
        <w:spacing w:after="0" w:line="229"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We are required to establish a premium deficiency reserve if the net present value of the expected future losses and expenses for a particular group of policies exceeds the net present value of expected future premium, anticipated investment income and existing reserves for that specified group of policies. We reassess our expectations for premium, losses and expenses of our mortgage insurance business periodically and update our premium deficiency analysis accordingly. As of December 31, 2016 and 2015, we concluded that no premium deficiency reserve was required to be recorded in the accompanying consolidated financial statements.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337" w:right="27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Through June 30, 2016, insurance and certain reinsurance policies issued by Essent Re in connection with Freddie Mac's Agency Credit Insurance Structure ("ACIS") program were accounted for as derivatives under GAAP with the fair value of these policies reported as an asset or liability and changes in the fair value of these policies reported in earnings as a component of other income. During the quarter ended September 30, 2016, these contracts were amended and are now accounted for as insurance contracts rather than as derivatives. As of December 31, 2016, the Company had no derivative instruments.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We measure the cost of employee services received in exchange for awards of equity instruments at the grant date of the award using a fair value based method. Prior to our initial public offering, we estimated the fair value of each nonvested share grant on the date of grant based on management's best estimate using methods further described in Note 10 of our consolidated financial statements. Subsequent to our initial public offering, fair value is determined on the date of grant based on quoted market prices. We recognize compensation expense on nonvested shares over the vesting period of the award.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Deferred income tax assets and liabilities are determined using the asset and liability (or balance sheet) method. Under this method, we determine the net deferred tax asset or liability based on the tax effects of the temporary differences between the book and tax bases of the various assets and liabilities and give current recognition to changes in tax rates and laws. Changes in tax laws, rates, regulations and policies, or the final determination of tax audits or examinations, could materially affect our tax estimates. We evaluate the realizability of the deferred tax asset and recognize a valuation allowance if, based on the weight of all available positive and negative evidence, it is more likely than not that some portion or all of the deferred tax asset will not be realized. When evaluating the realizability of the deferred tax asset, we consider estimates of expected future taxable income, existing and projected book/tax differences, carryback and carryforward periods, tax planning strategies available, and the general and industry specific economic outlook. This realizability analysis is inherently subjective, as it requires management to forecast changes in the mortgage market, as well as the related impact on mortgage insurance, and the competitive and general economic environment in future periods. Changes in the estimate of deferred tax asset realizability, if applicable, are included in income tax expense on the consolidated statements of comprehensive income.</w:t>
      </w:r>
    </w:p>
    <w:p>
      <w:pPr>
        <w:spacing w:after="0" w:line="178"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ASC No. 740 provides a recognition threshold and measurement attribute for the financial statement recognition and measurement of a tax position taken or expected to be taken in a tax return. In accordance with ASC No. 740, before a tax benefit can be recognized, a tax position is evaluated using a threshold that it is more likely than not that the tax position will be sustained upon examination. When evaluating the more-likely-than-not recognition threshold, ASC No. 740 provides that a company should presume the tax position will be examined by the appropriate taxing authority that has full knowledge of all relevant information. If the tax position meets the more-likely-than-not recognition threshold, it is initially and subsequently measured as the largest amount of benefit that is greater than 50% likely of being realized upon ultimate settlement.</w:t>
      </w:r>
    </w:p>
    <w:p>
      <w:pPr>
        <w:spacing w:after="0" w:line="178" w:lineRule="exact"/>
        <w:rPr>
          <w:sz w:val="20"/>
          <w:szCs w:val="20"/>
          <w:color w:val="auto"/>
        </w:rPr>
      </w:pPr>
    </w:p>
    <w:p>
      <w:pPr>
        <w:ind w:right="620" w:firstLine="432"/>
        <w:spacing w:after="0" w:line="342" w:lineRule="auto"/>
        <w:rPr>
          <w:sz w:val="20"/>
          <w:szCs w:val="20"/>
          <w:color w:val="auto"/>
        </w:rPr>
      </w:pPr>
      <w:r>
        <w:rPr>
          <w:rFonts w:ascii="Arial" w:cs="Arial" w:eastAsia="Arial" w:hAnsi="Arial"/>
          <w:sz w:val="16"/>
          <w:szCs w:val="16"/>
          <w:color w:val="auto"/>
        </w:rPr>
        <w:t>As described in Note 12, we purchase non-interest-bearing United States Mortgage Guaranty Tax and Loss Bonds ("T&amp;L Bonds") issued by the Treasury Department. These assets are carried at cost and are reported as prepaid federal income tax on the consolidated balance sheets.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 is our policy to classify interest and penalties related to unrecognized tax benefits as income tax expense.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Basic earnings per common share amounts are calculated based on income available to common stockholders and the weighted average number of common shares outstanding during the reporting period. Diluted earnings per common share amounts are calculated based on income available to common stockholders and the weighted average number of common and potential common shares outstanding during the reporting period. Potential common shares, composed of the incremental common shares issuable upon vesting of unvested common shares, are included in the earnings per share calculation to the extent that they are dilutive.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337" w:right="23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ASU 2014-09,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 (Topic 606)</w:t>
      </w:r>
      <w:r>
        <w:rPr>
          <w:rFonts w:ascii="Arial" w:cs="Arial" w:eastAsia="Arial" w:hAnsi="Arial"/>
          <w:sz w:val="17"/>
          <w:szCs w:val="17"/>
          <w:color w:val="auto"/>
        </w:rPr>
        <w:t>. This update is intended to provide a consistent approach in recognizing revenue. In accordance with the new standard,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recognition of revenue occurs when a customer obtains control of promised goods or services in an amount that reflects the consideration to which the entity expects to be entitled in exchange for those goods or services. In addition, the new standard requires that reporting companies disclose the nature, amount, timing, and uncertainty of revenue and cash flows arising from contracts with customers. In July 2015, the FASB delayed the effective date for this update to interim and annual periods beginning after December 15, 2017. In December 2016, the FASB clarified that all contracts that are within the scope of Topic 944, </w:t>
      </w:r>
      <w:r>
        <w:rPr>
          <w:rFonts w:ascii="Arial" w:cs="Arial" w:eastAsia="Arial" w:hAnsi="Arial"/>
          <w:sz w:val="17"/>
          <w:szCs w:val="17"/>
          <w:i w:val="1"/>
          <w:iCs w:val="1"/>
          <w:color w:val="auto"/>
        </w:rPr>
        <w:t>Financial Services-Insurance</w:t>
      </w:r>
      <w:r>
        <w:rPr>
          <w:rFonts w:ascii="Arial" w:cs="Arial" w:eastAsia="Arial" w:hAnsi="Arial"/>
          <w:sz w:val="17"/>
          <w:szCs w:val="17"/>
          <w:color w:val="auto"/>
        </w:rPr>
        <w:t>, are excluded from the scope of ASU 2014-09. Accordingly, this update will not impact the recognition of revenue related to insurance premiums or investments, which represent a significant portion of our total revenues. The adoption of this ASU is not expected to have a material effect on the Company's consolidated operating results or financial position.</w:t>
      </w:r>
    </w:p>
    <w:p>
      <w:pPr>
        <w:spacing w:after="0" w:line="182"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 xml:space="preserve">In May 2015, the FASB issued ASU 2015-09, </w:t>
      </w:r>
      <w:r>
        <w:rPr>
          <w:rFonts w:ascii="Arial" w:cs="Arial" w:eastAsia="Arial" w:hAnsi="Arial"/>
          <w:sz w:val="16"/>
          <w:szCs w:val="16"/>
          <w:i w:val="1"/>
          <w:iCs w:val="1"/>
          <w:color w:val="auto"/>
        </w:rPr>
        <w:t>Disclosures about Short-Duration Contracts (Topic 944)</w:t>
      </w:r>
      <w:r>
        <w:rPr>
          <w:rFonts w:ascii="Arial" w:cs="Arial" w:eastAsia="Arial" w:hAnsi="Arial"/>
          <w:sz w:val="16"/>
          <w:szCs w:val="16"/>
          <w:color w:val="auto"/>
        </w:rPr>
        <w:t>. The amendments in this update require insurance entities to disclose certain information about the liability for unpaid claims and claim adjustment expenses. The additional information required is focused on improvements in disclosures regarding insurance liabilities, including the nature, amount, timing, and uncertainty of cash flows related to those liabilities and the effect of those cash flows on the statement of comprehensive income. The disclosures required by this update are included in Note 6.</w:t>
      </w:r>
    </w:p>
    <w:p>
      <w:pPr>
        <w:spacing w:after="0" w:line="154"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This update will require organizations that lease assets to recognize on the balance sheet the assets and liabilities for the rights and obligations created by those leases. The new guidance will also require additional disclosures about the amount, timing and uncertainty of cash flows arising from leases. The provisions of this update are effective for annual and interim periods beginning after December 15, 2018. The Company expects a gross-up of its consolidated balance sheets as a result of recognizing lease liabilities and right of use assets. The Company is still evaluating the impact the adoption of this ASU will have on the consolidated financial statements.</w:t>
      </w:r>
    </w:p>
    <w:p>
      <w:pPr>
        <w:spacing w:after="0" w:line="158" w:lineRule="exact"/>
        <w:rPr>
          <w:sz w:val="20"/>
          <w:szCs w:val="20"/>
          <w:color w:val="auto"/>
        </w:rPr>
      </w:pPr>
    </w:p>
    <w:p>
      <w:pPr>
        <w:ind w:right="100" w:firstLine="432"/>
        <w:spacing w:after="0" w:line="269"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Improvements to Employee Share-Based Payment Accounting (Topic 718)</w:t>
      </w:r>
      <w:r>
        <w:rPr>
          <w:rFonts w:ascii="Arial" w:cs="Arial" w:eastAsia="Arial" w:hAnsi="Arial"/>
          <w:sz w:val="17"/>
          <w:szCs w:val="17"/>
          <w:color w:val="auto"/>
        </w:rPr>
        <w:t>. This update is intended to simplify several aspects of the accounting for share-based payment award transactions, including the income tax consequences, classification of awards as either equity or liabilities, and classification on the statement of cash flows. The new guidance requires all excess tax benefits and tax deficiencies to be recognized as income tax expense or benefit in the income statement and treated as discrete items in the reporting period. In addition, excess tax benefits are required to be classified along with other income tax cash flows as an operating activity. Further, the new guidance allows for a policy election to account for forfeitures as they occur rather than on an estimated basis. The Company adopted this ASU on January 1, 2017 and recorded a charge of $0.1 million to retained earnings as of that date representing a cumulative-effect adjustment associated with our election to recognize forfeitures as they occur. The classification of excess tax benefits and tax deficiencies as income tax benefit or expense may result in net income volatility in reporting periods subsequent to 2016. Through December 31, 2016, excess tax benefits have been recognized in additional paid-in-capital. The amount of excess tax benefits or tax deficiencies in future periods will vary based on the market value of the Company’s common stock at the vesting dates of nonvested common share and nonvested common share units.</w:t>
      </w:r>
    </w:p>
    <w:p>
      <w:pPr>
        <w:spacing w:after="0" w:line="183"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Measurement of Credit Losses on Financial Instruments (Topic 326)</w:t>
      </w:r>
      <w:r>
        <w:rPr>
          <w:rFonts w:ascii="Arial" w:cs="Arial" w:eastAsia="Arial" w:hAnsi="Arial"/>
          <w:sz w:val="17"/>
          <w:szCs w:val="17"/>
          <w:color w:val="auto"/>
        </w:rPr>
        <w:t>. This update is intended to provide financial statement users with more information about the expected credit losses on financial instruments and other commitments to extend credit held by a reporting entity at each reporting date. The amendments in this ASU replace the incurred loss impairment methodology in current GAAP with a methodology that reflects expected credit losses and requires consideration of a broader range of reasonable and supportable information to inform credit loss estimates. The new guidance requires financial assets measured at amortized cost to be presented at the net amount expected to be collected through the use of an allowance for credit losses. Credit losses relating to available-for-sale debt securities will also be recorded through an allowance rather than as a write-down of the amortized cost of the securities. The provisions of this update are effective for annual and interim periods beginning after December 15, 2019. While the Company is still evaluating this ASU, we do not expect it to impact our accounting for insurance losses and loss adjustment expenses ("LAE") as these items are not within the scope of this ASU.</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337" w:right="23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 Available for Sale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Investments available for sale consist of the following: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2016 (In thousands)</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4"/>
                <w:szCs w:val="14"/>
                <w:color w:val="auto"/>
              </w:rPr>
            </w:pPr>
          </w:p>
        </w:tc>
        <w:tc>
          <w:tcPr>
            <w:tcW w:w="10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4"/>
                <w:szCs w:val="14"/>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ind w:right="74"/>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195,990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(4,497)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191,548</w:t>
            </w: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U.S. agency securities</w:t>
            </w: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18,785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18,441</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324,654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(8,495)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316,494</w:t>
            </w: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securities(1)</w:t>
            </w: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334,048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3"/>
          </w:tcPr>
          <w:p>
            <w:pPr>
              <w:jc w:val="right"/>
              <w:ind w:right="14"/>
              <w:spacing w:after="0"/>
              <w:rPr>
                <w:sz w:val="20"/>
                <w:szCs w:val="20"/>
                <w:color w:val="auto"/>
              </w:rPr>
            </w:pPr>
            <w:r>
              <w:rPr>
                <w:rFonts w:ascii="Arial" w:cs="Arial" w:eastAsia="Arial" w:hAnsi="Arial"/>
                <w:sz w:val="18"/>
                <w:szCs w:val="18"/>
                <w:color w:val="auto"/>
              </w:rPr>
              <w:t>3,649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(3,373)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334,324</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securities(2)</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457,842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2,343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456,357</w:t>
            </w: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68,430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3"/>
          </w:tcPr>
          <w:p>
            <w:pPr>
              <w:jc w:val="right"/>
              <w:ind w:right="14"/>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68,336</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127,359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127,172</w:t>
            </w: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102,430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102,430</w:t>
            </w: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investments available for sale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1,629,538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7,130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(21,566)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1,615,102</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5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2015 (In thousands)</w:t>
            </w:r>
          </w:p>
        </w:tc>
        <w:tc>
          <w:tcPr>
            <w:tcW w:w="12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24"/>
                <w:szCs w:val="24"/>
                <w:color w:val="auto"/>
              </w:rPr>
            </w:pPr>
          </w:p>
        </w:tc>
        <w:tc>
          <w:tcPr>
            <w:tcW w:w="10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24"/>
                <w:szCs w:val="24"/>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ind w:right="74"/>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178,460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177,607</w:t>
            </w: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U.S. agency securities</w:t>
            </w: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13,955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3"/>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13,782</w:t>
            </w:r>
          </w:p>
        </w:tc>
        <w:tc>
          <w:tcPr>
            <w:tcW w:w="0" w:type="dxa"/>
            <w:vAlign w:val="bottom"/>
          </w:tcPr>
          <w:p>
            <w:pPr>
              <w:spacing w:after="0"/>
              <w:rPr>
                <w:sz w:val="1"/>
                <w:szCs w:val="1"/>
                <w:color w:val="auto"/>
              </w:rPr>
            </w:pPr>
          </w:p>
        </w:tc>
      </w:tr>
      <w:tr>
        <w:trPr>
          <w:trHeight w:val="27"/>
        </w:trPr>
        <w:tc>
          <w:tcPr>
            <w:tcW w:w="6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160,181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159,602</w:t>
            </w: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securities(1)</w:t>
            </w: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272,733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3"/>
          </w:tcPr>
          <w:p>
            <w:pPr>
              <w:jc w:val="right"/>
              <w:ind w:right="14"/>
              <w:spacing w:after="0"/>
              <w:rPr>
                <w:sz w:val="20"/>
                <w:szCs w:val="20"/>
                <w:color w:val="auto"/>
              </w:rPr>
            </w:pPr>
            <w:r>
              <w:rPr>
                <w:rFonts w:ascii="Arial" w:cs="Arial" w:eastAsia="Arial" w:hAnsi="Arial"/>
                <w:sz w:val="18"/>
                <w:szCs w:val="18"/>
                <w:color w:val="auto"/>
              </w:rPr>
              <w:t>7,357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279,828</w:t>
            </w:r>
          </w:p>
        </w:tc>
        <w:tc>
          <w:tcPr>
            <w:tcW w:w="0" w:type="dxa"/>
            <w:vAlign w:val="bottom"/>
          </w:tcPr>
          <w:p>
            <w:pPr>
              <w:spacing w:after="0"/>
              <w:rPr>
                <w:sz w:val="1"/>
                <w:szCs w:val="1"/>
                <w:color w:val="auto"/>
              </w:rPr>
            </w:pPr>
          </w:p>
        </w:tc>
      </w:tr>
      <w:tr>
        <w:trPr>
          <w:trHeight w:val="27"/>
        </w:trPr>
        <w:tc>
          <w:tcPr>
            <w:tcW w:w="6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securities(2)</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399,246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1,338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396,732</w:t>
            </w: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56,380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3"/>
          </w:tcPr>
          <w:p>
            <w:pPr>
              <w:jc w:val="right"/>
              <w:ind w:right="14"/>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55,356</w:t>
            </w:r>
          </w:p>
        </w:tc>
        <w:tc>
          <w:tcPr>
            <w:tcW w:w="0" w:type="dxa"/>
            <w:vAlign w:val="bottom"/>
          </w:tcPr>
          <w:p>
            <w:pPr>
              <w:spacing w:after="0"/>
              <w:rPr>
                <w:sz w:val="1"/>
                <w:szCs w:val="1"/>
                <w:color w:val="auto"/>
              </w:rPr>
            </w:pPr>
          </w:p>
        </w:tc>
      </w:tr>
      <w:tr>
        <w:trPr>
          <w:trHeight w:val="27"/>
        </w:trPr>
        <w:tc>
          <w:tcPr>
            <w:tcW w:w="6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127,919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126,629</w:t>
            </w: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67,098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67,098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investments available for sale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1,275,972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3"/>
            <w:shd w:val="clear" w:color="auto" w:fill="CCEEFF"/>
          </w:tcPr>
          <w:p>
            <w:pPr>
              <w:jc w:val="right"/>
              <w:ind w:right="14"/>
              <w:spacing w:after="0"/>
              <w:rPr>
                <w:sz w:val="20"/>
                <w:szCs w:val="20"/>
                <w:color w:val="auto"/>
              </w:rPr>
            </w:pPr>
            <w:r>
              <w:rPr>
                <w:rFonts w:ascii="Arial" w:cs="Arial" w:eastAsia="Arial" w:hAnsi="Arial"/>
                <w:sz w:val="18"/>
                <w:szCs w:val="18"/>
                <w:color w:val="auto"/>
              </w:rPr>
              <w:t>9,535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(8,873)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1,276,634</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w w:val="96"/>
              </w:rPr>
              <w:t>_______________________________________________________________________________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14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276"/>
        </w:trPr>
        <w:tc>
          <w:tcPr>
            <w:tcW w:w="6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(1) The following table summarizes municipal debt securities as of :</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Special revenue bonds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General obligation bonds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93"/>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24.5</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Certificate of participation bonds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Tax allocation bonds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9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Special tax bonds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0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100.0%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ind w:left="562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37" w:right="25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w:t>
            </w:r>
          </w:p>
        </w:tc>
        <w:tc>
          <w:tcPr>
            <w:tcW w:w="1280" w:type="dxa"/>
            <w:vAlign w:val="bottom"/>
          </w:tcPr>
          <w:p>
            <w:pPr>
              <w:jc w:val="right"/>
              <w:ind w:right="133"/>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 The following table summarizes corporate debt securities as of :</w:t>
            </w: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Consumer, non-cyclical</w:t>
            </w: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14.8</w:t>
            </w:r>
          </w:p>
        </w:tc>
      </w:tr>
      <w:tr>
        <w:trPr>
          <w:trHeight w:val="27"/>
        </w:trPr>
        <w:tc>
          <w:tcPr>
            <w:tcW w:w="8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9.0</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Consumer, cyclical</w:t>
            </w: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6.2</w:t>
            </w:r>
          </w:p>
        </w:tc>
      </w:tr>
      <w:tr>
        <w:trPr>
          <w:trHeight w:val="27"/>
        </w:trPr>
        <w:tc>
          <w:tcPr>
            <w:tcW w:w="8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Utilities</w:t>
            </w: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5.0</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Communications</w:t>
            </w: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7.1</w:t>
            </w:r>
          </w:p>
        </w:tc>
      </w:tr>
      <w:tr>
        <w:trPr>
          <w:trHeight w:val="27"/>
        </w:trPr>
        <w:tc>
          <w:tcPr>
            <w:tcW w:w="8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5.2</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Technology</w:t>
            </w: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3.8</w:t>
            </w:r>
          </w:p>
        </w:tc>
      </w:tr>
      <w:tr>
        <w:trPr>
          <w:trHeight w:val="27"/>
        </w:trPr>
        <w:tc>
          <w:tcPr>
            <w:tcW w:w="8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materials</w:t>
            </w: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4.0</w:t>
            </w:r>
          </w:p>
        </w:tc>
      </w:tr>
      <w:tr>
        <w:trPr>
          <w:trHeight w:val="257"/>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8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0" w:firstLine="432"/>
        <w:spacing w:after="0" w:line="259" w:lineRule="auto"/>
        <w:rPr>
          <w:sz w:val="20"/>
          <w:szCs w:val="20"/>
          <w:color w:val="auto"/>
        </w:rPr>
      </w:pPr>
      <w:r>
        <w:rPr>
          <w:rFonts w:ascii="Arial" w:cs="Arial" w:eastAsia="Arial" w:hAnsi="Arial"/>
          <w:sz w:val="18"/>
          <w:szCs w:val="18"/>
          <w:color w:val="auto"/>
        </w:rPr>
        <w:t>The amortized cost and fair value of investments available for sale at December 31, 2016, by contractual maturity, are shown below. Expected maturities will differ from contractual maturities because borrowers may have the right to call or prepay obligations with or without call or prepayment penalties. Because most U.S. agency mortgage-backed securities, residential and commercial mortgage securities and asset-backed securities provide for periodic payments throughout their lives, they are listed below in separate categories.</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gridSpan w:val="2"/>
          </w:tcPr>
          <w:p>
            <w:pPr>
              <w:ind w:left="260"/>
              <w:spacing w:after="0"/>
              <w:rPr>
                <w:sz w:val="20"/>
                <w:szCs w:val="20"/>
                <w:color w:val="auto"/>
              </w:rPr>
            </w:pPr>
            <w:r>
              <w:rPr>
                <w:rFonts w:ascii="Arial" w:cs="Arial" w:eastAsia="Arial" w:hAnsi="Arial"/>
                <w:sz w:val="14"/>
                <w:szCs w:val="14"/>
                <w:b w:val="1"/>
                <w:bCs w:val="1"/>
                <w:color w:val="auto"/>
              </w:rPr>
              <w:t>Amortized</w:t>
            </w:r>
          </w:p>
        </w:tc>
        <w:tc>
          <w:tcPr>
            <w:tcW w:w="440" w:type="dxa"/>
            <w:vAlign w:val="bottom"/>
          </w:tcPr>
          <w:p>
            <w:pPr>
              <w:spacing w:after="0"/>
              <w:rPr>
                <w:sz w:val="14"/>
                <w:szCs w:val="14"/>
                <w:color w:val="auto"/>
              </w:rPr>
            </w:pPr>
          </w:p>
        </w:tc>
        <w:tc>
          <w:tcPr>
            <w:tcW w:w="1500" w:type="dxa"/>
            <w:vAlign w:val="bottom"/>
          </w:tcPr>
          <w:p>
            <w:pPr>
              <w:jc w:val="right"/>
              <w:ind w:right="751"/>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51"/>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7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8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44,516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44,519</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31,075</w:t>
            </w:r>
          </w:p>
        </w:tc>
        <w:tc>
          <w:tcPr>
            <w:tcW w:w="0" w:type="dxa"/>
            <w:vAlign w:val="bottom"/>
          </w:tcPr>
          <w:p>
            <w:pPr>
              <w:spacing w:after="0"/>
              <w:rPr>
                <w:sz w:val="1"/>
                <w:szCs w:val="1"/>
                <w:color w:val="auto"/>
              </w:rPr>
            </w:pPr>
          </w:p>
        </w:tc>
      </w:tr>
      <w:tr>
        <w:trPr>
          <w:trHeight w:val="243"/>
        </w:trPr>
        <w:tc>
          <w:tcPr>
            <w:tcW w:w="738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106,366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102,835</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13,728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13,119</w:t>
            </w:r>
          </w:p>
        </w:tc>
        <w:tc>
          <w:tcPr>
            <w:tcW w:w="0" w:type="dxa"/>
            <w:vAlign w:val="bottom"/>
          </w:tcPr>
          <w:p>
            <w:pPr>
              <w:spacing w:after="0"/>
              <w:rPr>
                <w:sz w:val="1"/>
                <w:szCs w:val="1"/>
                <w:color w:val="auto"/>
              </w:rPr>
            </w:pPr>
          </w:p>
        </w:tc>
      </w:tr>
      <w:tr>
        <w:trPr>
          <w:trHeight w:val="237"/>
        </w:trPr>
        <w:tc>
          <w:tcPr>
            <w:tcW w:w="7380" w:type="dxa"/>
            <w:vAlign w:val="bottom"/>
            <w:gridSpan w:val="2"/>
          </w:tcPr>
          <w:p>
            <w:pPr>
              <w:ind w:left="48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195,990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191,548</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agency securities:</w:t>
            </w:r>
          </w:p>
        </w:tc>
        <w:tc>
          <w:tcPr>
            <w:tcW w:w="3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8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18,785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18,441</w:t>
            </w:r>
          </w:p>
        </w:tc>
        <w:tc>
          <w:tcPr>
            <w:tcW w:w="0" w:type="dxa"/>
            <w:vAlign w:val="bottom"/>
          </w:tcPr>
          <w:p>
            <w:pPr>
              <w:spacing w:after="0"/>
              <w:rPr>
                <w:sz w:val="1"/>
                <w:szCs w:val="1"/>
                <w:color w:val="auto"/>
              </w:rPr>
            </w:pPr>
          </w:p>
        </w:tc>
      </w:tr>
      <w:tr>
        <w:trPr>
          <w:trHeight w:val="237"/>
        </w:trPr>
        <w:tc>
          <w:tcPr>
            <w:tcW w:w="7380" w:type="dxa"/>
            <w:vAlign w:val="bottom"/>
            <w:gridSpan w:val="2"/>
          </w:tcPr>
          <w:p>
            <w:pPr>
              <w:ind w:left="48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18,785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18,441</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Municipal debt securities:</w:t>
            </w:r>
          </w:p>
        </w:tc>
        <w:tc>
          <w:tcPr>
            <w:tcW w:w="3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8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4,475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4,478</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110,649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109,988</w:t>
            </w:r>
          </w:p>
        </w:tc>
        <w:tc>
          <w:tcPr>
            <w:tcW w:w="0" w:type="dxa"/>
            <w:vAlign w:val="bottom"/>
          </w:tcPr>
          <w:p>
            <w:pPr>
              <w:spacing w:after="0"/>
              <w:rPr>
                <w:sz w:val="1"/>
                <w:szCs w:val="1"/>
                <w:color w:val="auto"/>
              </w:rPr>
            </w:pPr>
          </w:p>
        </w:tc>
      </w:tr>
      <w:tr>
        <w:trPr>
          <w:trHeight w:val="243"/>
        </w:trPr>
        <w:tc>
          <w:tcPr>
            <w:tcW w:w="738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130,963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132,079</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87,961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87,779</w:t>
            </w:r>
          </w:p>
        </w:tc>
        <w:tc>
          <w:tcPr>
            <w:tcW w:w="0" w:type="dxa"/>
            <w:vAlign w:val="bottom"/>
          </w:tcPr>
          <w:p>
            <w:pPr>
              <w:spacing w:after="0"/>
              <w:rPr>
                <w:sz w:val="1"/>
                <w:szCs w:val="1"/>
                <w:color w:val="auto"/>
              </w:rPr>
            </w:pPr>
          </w:p>
        </w:tc>
      </w:tr>
      <w:tr>
        <w:trPr>
          <w:trHeight w:val="237"/>
        </w:trPr>
        <w:tc>
          <w:tcPr>
            <w:tcW w:w="7380" w:type="dxa"/>
            <w:vAlign w:val="bottom"/>
            <w:gridSpan w:val="2"/>
          </w:tcPr>
          <w:p>
            <w:pPr>
              <w:ind w:left="48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334,048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334,324</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3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80" w:type="dxa"/>
            <w:vAlign w:val="bottom"/>
            <w:gridSpan w:val="2"/>
          </w:tcPr>
          <w:p>
            <w:pPr>
              <w:ind w:left="280"/>
              <w:spacing w:after="0"/>
              <w:rPr>
                <w:sz w:val="20"/>
                <w:szCs w:val="20"/>
                <w:color w:val="auto"/>
              </w:rPr>
            </w:pPr>
            <w:r>
              <w:rPr>
                <w:rFonts w:ascii="Arial" w:cs="Arial" w:eastAsia="Arial" w:hAnsi="Arial"/>
                <w:sz w:val="18"/>
                <w:szCs w:val="18"/>
                <w:color w:val="auto"/>
              </w:rPr>
              <w:t>Due in 1 year</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42,229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42,209</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252,946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252,684</w:t>
            </w:r>
          </w:p>
        </w:tc>
        <w:tc>
          <w:tcPr>
            <w:tcW w:w="0" w:type="dxa"/>
            <w:vAlign w:val="bottom"/>
          </w:tcPr>
          <w:p>
            <w:pPr>
              <w:spacing w:after="0"/>
              <w:rPr>
                <w:sz w:val="1"/>
                <w:szCs w:val="1"/>
                <w:color w:val="auto"/>
              </w:rPr>
            </w:pPr>
          </w:p>
        </w:tc>
      </w:tr>
      <w:tr>
        <w:trPr>
          <w:trHeight w:val="243"/>
        </w:trPr>
        <w:tc>
          <w:tcPr>
            <w:tcW w:w="7380" w:type="dxa"/>
            <w:vAlign w:val="bottom"/>
            <w:gridSpan w:val="2"/>
          </w:tcPr>
          <w:p>
            <w:pPr>
              <w:ind w:left="280"/>
              <w:spacing w:after="0"/>
              <w:rPr>
                <w:sz w:val="20"/>
                <w:szCs w:val="20"/>
                <w:color w:val="auto"/>
              </w:rPr>
            </w:pPr>
            <w:r>
              <w:rPr>
                <w:rFonts w:ascii="Arial" w:cs="Arial" w:eastAsia="Arial" w:hAnsi="Arial"/>
                <w:sz w:val="18"/>
                <w:szCs w:val="18"/>
                <w:color w:val="auto"/>
              </w:rPr>
              <w:t>Due after 5 but within 10 years</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157,582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156,512</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Due after 10 years</w:t>
            </w: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5,085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4,952</w:t>
            </w:r>
          </w:p>
        </w:tc>
        <w:tc>
          <w:tcPr>
            <w:tcW w:w="0" w:type="dxa"/>
            <w:vAlign w:val="bottom"/>
          </w:tcPr>
          <w:p>
            <w:pPr>
              <w:spacing w:after="0"/>
              <w:rPr>
                <w:sz w:val="1"/>
                <w:szCs w:val="1"/>
                <w:color w:val="auto"/>
              </w:rPr>
            </w:pPr>
          </w:p>
        </w:tc>
      </w:tr>
      <w:tr>
        <w:trPr>
          <w:trHeight w:val="237"/>
        </w:trPr>
        <w:tc>
          <w:tcPr>
            <w:tcW w:w="7380" w:type="dxa"/>
            <w:vAlign w:val="bottom"/>
            <w:gridSpan w:val="2"/>
          </w:tcPr>
          <w:p>
            <w:pPr>
              <w:ind w:left="48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457,842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456,357</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agency mortgage-backed securities</w:t>
            </w:r>
          </w:p>
        </w:tc>
        <w:tc>
          <w:tcPr>
            <w:tcW w:w="3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324,654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316,494</w:t>
            </w:r>
          </w:p>
        </w:tc>
        <w:tc>
          <w:tcPr>
            <w:tcW w:w="0" w:type="dxa"/>
            <w:vAlign w:val="bottom"/>
          </w:tcPr>
          <w:p>
            <w:pPr>
              <w:spacing w:after="0"/>
              <w:rPr>
                <w:sz w:val="1"/>
                <w:szCs w:val="1"/>
                <w:color w:val="auto"/>
              </w:rPr>
            </w:pPr>
          </w:p>
        </w:tc>
      </w:tr>
      <w:tr>
        <w:trPr>
          <w:trHeight w:val="237"/>
        </w:trPr>
        <w:tc>
          <w:tcPr>
            <w:tcW w:w="7380" w:type="dxa"/>
            <w:vAlign w:val="bottom"/>
            <w:gridSpan w:val="2"/>
          </w:tcPr>
          <w:p>
            <w:pPr>
              <w:ind w:left="20"/>
              <w:spacing w:after="0"/>
              <w:rPr>
                <w:sz w:val="20"/>
                <w:szCs w:val="20"/>
                <w:color w:val="auto"/>
              </w:rPr>
            </w:pPr>
            <w:r>
              <w:rPr>
                <w:rFonts w:ascii="Arial" w:cs="Arial" w:eastAsia="Arial" w:hAnsi="Arial"/>
                <w:sz w:val="18"/>
                <w:szCs w:val="18"/>
                <w:color w:val="auto"/>
              </w:rPr>
              <w:t>Residential and commercial mortgage securities</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68,430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68,336</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127,359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127,172</w:t>
            </w:r>
          </w:p>
        </w:tc>
        <w:tc>
          <w:tcPr>
            <w:tcW w:w="0" w:type="dxa"/>
            <w:vAlign w:val="bottom"/>
          </w:tcPr>
          <w:p>
            <w:pPr>
              <w:spacing w:after="0"/>
              <w:rPr>
                <w:sz w:val="1"/>
                <w:szCs w:val="1"/>
                <w:color w:val="auto"/>
              </w:rPr>
            </w:pPr>
          </w:p>
        </w:tc>
      </w:tr>
      <w:tr>
        <w:trPr>
          <w:trHeight w:val="237"/>
        </w:trPr>
        <w:tc>
          <w:tcPr>
            <w:tcW w:w="7380" w:type="dxa"/>
            <w:vAlign w:val="bottom"/>
            <w:gridSpan w:val="2"/>
          </w:tcPr>
          <w:p>
            <w:pPr>
              <w:ind w:left="20"/>
              <w:spacing w:after="0"/>
              <w:rPr>
                <w:sz w:val="20"/>
                <w:szCs w:val="20"/>
                <w:color w:val="auto"/>
              </w:rPr>
            </w:pPr>
            <w:r>
              <w:rPr>
                <w:rFonts w:ascii="Arial" w:cs="Arial" w:eastAsia="Arial" w:hAnsi="Arial"/>
                <w:sz w:val="18"/>
                <w:szCs w:val="18"/>
                <w:color w:val="auto"/>
              </w:rPr>
              <w:t>Money market funds</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102,430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102,430</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investments available for sale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1,629,538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1,615,102</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337" w:right="25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00"/>
          </w:cols>
          <w:pgMar w:left="240" w:top="337" w:right="259" w:bottom="1440" w:gutter="0" w:footer="0" w:header="0"/>
          <w:type w:val="continuous"/>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Gross gains and losses realized on the sale of investments available for sale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6"/>
                <w:szCs w:val="16"/>
                <w:color w:val="auto"/>
              </w:rPr>
            </w:pPr>
          </w:p>
        </w:tc>
      </w:tr>
      <w:tr>
        <w:trPr>
          <w:trHeight w:val="229"/>
        </w:trPr>
        <w:tc>
          <w:tcPr>
            <w:tcW w:w="82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9"/>
                <w:szCs w:val="19"/>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1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44"/>
        </w:trPr>
        <w:tc>
          <w:tcPr>
            <w:tcW w:w="8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Realized gross gains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2,822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1,368</w:t>
            </w:r>
          </w:p>
        </w:tc>
      </w:tr>
      <w:tr>
        <w:trPr>
          <w:trHeight w:val="243"/>
        </w:trPr>
        <w:tc>
          <w:tcPr>
            <w:tcW w:w="8220" w:type="dxa"/>
            <w:vAlign w:val="bottom"/>
            <w:gridSpan w:val="3"/>
          </w:tcPr>
          <w:p>
            <w:pPr>
              <w:ind w:left="40"/>
              <w:spacing w:after="0"/>
              <w:rPr>
                <w:sz w:val="20"/>
                <w:szCs w:val="20"/>
                <w:color w:val="auto"/>
              </w:rPr>
            </w:pPr>
            <w:r>
              <w:rPr>
                <w:rFonts w:ascii="Arial" w:cs="Arial" w:eastAsia="Arial" w:hAnsi="Arial"/>
                <w:sz w:val="18"/>
                <w:szCs w:val="18"/>
                <w:color w:val="auto"/>
              </w:rPr>
              <w:t>Realized gross losses</w:t>
            </w:r>
          </w:p>
        </w:tc>
        <w:tc>
          <w:tcPr>
            <w:tcW w:w="28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443</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 of investments in an unrealized loss position and the related unrealized losses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4"/>
                <w:szCs w:val="14"/>
                <w:b w:val="1"/>
                <w:bCs w:val="1"/>
                <w:color w:val="auto"/>
              </w:rPr>
              <w:t>12 months or more</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Total</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3"/>
                <w:szCs w:val="13"/>
                <w:color w:val="auto"/>
              </w:rPr>
            </w:pPr>
          </w:p>
        </w:tc>
        <w:tc>
          <w:tcPr>
            <w:tcW w:w="9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3"/>
                <w:szCs w:val="13"/>
                <w:color w:val="auto"/>
              </w:rPr>
            </w:pPr>
          </w:p>
        </w:tc>
        <w:tc>
          <w:tcPr>
            <w:tcW w:w="70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75"/>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2016 (In thousands)</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160,018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160,018</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U.S. agency securities</w:t>
            </w:r>
          </w:p>
        </w:tc>
        <w:tc>
          <w:tcPr>
            <w:tcW w:w="24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18,441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289,282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291,094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w:t>
            </w:r>
          </w:p>
        </w:tc>
        <w:tc>
          <w:tcPr>
            <w:tcW w:w="24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149,368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6,015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155,383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213,965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8,344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222,309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24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18,026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14,014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32,040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28,294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47,597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75,891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877,394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(20,789)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77,782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955,176</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(21,566)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4"/>
                <w:szCs w:val="14"/>
                <w:b w:val="1"/>
                <w:bCs w:val="1"/>
                <w:color w:val="auto"/>
              </w:rPr>
              <w:t>12 months or more</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Total</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3"/>
                <w:szCs w:val="13"/>
                <w:color w:val="auto"/>
              </w:rPr>
            </w:pPr>
          </w:p>
        </w:tc>
        <w:tc>
          <w:tcPr>
            <w:tcW w:w="9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3"/>
                <w:szCs w:val="13"/>
                <w:color w:val="auto"/>
              </w:rPr>
            </w:pPr>
          </w:p>
        </w:tc>
        <w:tc>
          <w:tcPr>
            <w:tcW w:w="70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75"/>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2015 (In thousands)</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110,699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110,699</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U.S. agency securities</w:t>
            </w:r>
          </w:p>
        </w:tc>
        <w:tc>
          <w:tcPr>
            <w:tcW w:w="24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11,362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agency mortgage-backed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101,465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w:t>
            </w:r>
          </w:p>
        </w:tc>
        <w:tc>
          <w:tcPr>
            <w:tcW w:w="24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47,850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49,104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252,792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9,404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262,196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Residential and commercial mortgage securities</w:t>
            </w:r>
          </w:p>
        </w:tc>
        <w:tc>
          <w:tcPr>
            <w:tcW w:w="24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23,360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26,075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49,435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86,431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26,364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112,795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633,959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66,780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700,739</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The gross unrealized losses on these investment securities are principally associated with the changes in market interest rates and credit spreads subsequent to their purchase. Each issuer is current on its scheduled interest and principal payments. We assess our intent to sell these securities and whether we will be required to sell these securities before the recovery of their amortized cost basis when determining whether an impairment is other-than-temporary. We recorded other-than-temporary impairments of $0.1 million and $0.3 million in the years ended December 31, 2016 and 2015, respectively, on securities in an unrealized loss position. The impairments resulted from our intent to sell these securities subsequent to the reporting date. There were no other-than-temporary impairments of investments in the year ended December 31, 2014.</w:t>
      </w:r>
    </w:p>
    <w:p>
      <w:pPr>
        <w:spacing w:after="0" w:line="17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fair value of investments deposited with insurance regulatory authorities to meet statutory requirements was $8.5 million at December 31, 2016 and $8.5 million at December 31, 2015. In connection with its insurance and reinsurance activities, Essent Re is required to maintain assets in trusts for the benefit of its contractual counterparties. The fair value of the investments on deposit in these trusts was $349.6 million at December 31, 2016 and $194.5 million at December 31, 2015.</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337" w:right="239" w:bottom="1440" w:gutter="0" w:footer="0" w:header="0"/>
          <w:type w:val="continuous"/>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investment income consists of:</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4"/>
                <w:szCs w:val="14"/>
                <w:b w:val="1"/>
                <w:bCs w:val="1"/>
                <w:color w:val="auto"/>
                <w:w w:val="96"/>
              </w:rPr>
              <w:t>Year Ended December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6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9"/>
                <w:szCs w:val="19"/>
                <w:color w:val="auto"/>
              </w:rPr>
            </w:pPr>
          </w:p>
        </w:tc>
        <w:tc>
          <w:tcPr>
            <w:tcW w:w="700" w:type="dxa"/>
            <w:vAlign w:val="bottom"/>
          </w:tcPr>
          <w:p>
            <w:pPr>
              <w:jc w:val="right"/>
              <w:ind w:right="15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23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29,865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21,693</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13,356</w:t>
            </w:r>
          </w:p>
        </w:tc>
        <w:tc>
          <w:tcPr>
            <w:tcW w:w="0" w:type="dxa"/>
            <w:vAlign w:val="bottom"/>
          </w:tcPr>
          <w:p>
            <w:pPr>
              <w:spacing w:after="0"/>
              <w:rPr>
                <w:sz w:val="1"/>
                <w:szCs w:val="1"/>
                <w:color w:val="auto"/>
              </w:rPr>
            </w:pP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21"/>
                <w:szCs w:val="21"/>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investment income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30,007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13,412</w:t>
            </w:r>
          </w:p>
        </w:tc>
        <w:tc>
          <w:tcPr>
            <w:tcW w:w="0" w:type="dxa"/>
            <w:vAlign w:val="bottom"/>
          </w:tcPr>
          <w:p>
            <w:pPr>
              <w:spacing w:after="0"/>
              <w:rPr>
                <w:sz w:val="1"/>
                <w:szCs w:val="1"/>
                <w:color w:val="auto"/>
              </w:rPr>
            </w:pP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Investment expenses</w:t>
            </w:r>
          </w:p>
        </w:tc>
        <w:tc>
          <w:tcPr>
            <w:tcW w:w="300" w:type="dxa"/>
            <w:vAlign w:val="bottom"/>
          </w:tcPr>
          <w:p>
            <w:pPr>
              <w:spacing w:after="0"/>
              <w:rPr>
                <w:sz w:val="21"/>
                <w:szCs w:val="21"/>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(2,117)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27,890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19,885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12,285</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Note 4. Accounts Receivable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766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7620" w:type="dxa"/>
            <w:vAlign w:val="bottom"/>
            <w:gridSpan w:val="2"/>
          </w:tcPr>
          <w:p>
            <w:pPr>
              <w:ind w:left="400"/>
              <w:spacing w:after="0"/>
              <w:rPr>
                <w:sz w:val="20"/>
                <w:szCs w:val="20"/>
                <w:color w:val="auto"/>
              </w:rPr>
            </w:pPr>
            <w:r>
              <w:rPr>
                <w:rFonts w:ascii="Arial" w:cs="Arial" w:eastAsia="Arial" w:hAnsi="Arial"/>
                <w:sz w:val="18"/>
                <w:szCs w:val="18"/>
                <w:color w:val="auto"/>
              </w:rPr>
              <w:t>Accounts receivable consists of the following at December 31:</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76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Premiums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16,034</w:t>
            </w:r>
          </w:p>
        </w:tc>
        <w:tc>
          <w:tcPr>
            <w:tcW w:w="0" w:type="dxa"/>
            <w:vAlign w:val="bottom"/>
          </w:tcPr>
          <w:p>
            <w:pPr>
              <w:spacing w:after="0"/>
              <w:rPr>
                <w:sz w:val="1"/>
                <w:szCs w:val="1"/>
                <w:color w:val="auto"/>
              </w:rPr>
            </w:pP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Other receivables</w:t>
            </w: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21,632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16,637</w:t>
            </w:r>
          </w:p>
        </w:tc>
        <w:tc>
          <w:tcPr>
            <w:tcW w:w="0" w:type="dxa"/>
            <w:vAlign w:val="bottom"/>
          </w:tcPr>
          <w:p>
            <w:pPr>
              <w:spacing w:after="0"/>
              <w:rPr>
                <w:sz w:val="1"/>
                <w:szCs w:val="1"/>
                <w:color w:val="auto"/>
              </w:rPr>
            </w:pP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Less: Allowance for doubtful accounts</w:t>
            </w: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30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21,632</w:t>
            </w:r>
          </w:p>
        </w:tc>
        <w:tc>
          <w:tcPr>
            <w:tcW w:w="12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16,637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Premiums receivable consists of premiums due on our mortgage insurance policies. If mortgage insurance premiums are unpaid for more than 90 days, the receivable is written off against earned premium and the related insurance policy is cancelled. For all periods presented, no provision or allowance for doubtful accounts was required.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Triad Transaction</w:t>
      </w:r>
    </w:p>
    <w:p>
      <w:pPr>
        <w:spacing w:after="0" w:line="229"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On December 1, 2009, under the terms of an asset purchase agreement (the "Asset Purchase Agreement") dated October 7, 2009 between Essent Guaranty and Triad Guaranty, Inc. and Triad Guaranty Insurance Corporation (collectively referred to as "Triad"), we acquired all of Triad's proprietary mortgage insurance information technology and operating platform, certain software and substantially all of the supporting hardware, as well as furniture and fixtures, in exchange for fixed payments of $15 million, contingent payments of $15 million, and the assumption of certain contractual obligations. The final contingent payment of $5 million was made in the year ended December 31, 2014 and no further amounts are due to Triad under the Asset Purchase Agreement.</w:t>
      </w:r>
    </w:p>
    <w:p>
      <w:pPr>
        <w:spacing w:after="0" w:line="193"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Effective with the completion of the transaction, Essent Guaranty began providing information systems maintenance and development services, customer service and policy administration support to Triad under the terms of a services agreement dated December 1, 2009. Triad retains the obligation for all risks insured under its existing insurance contracts and will continue to directly manage loss mitigation and claim activity on its insured business. Under the terms of the services agreement, we provide the following services to Triad in exchange for fees: (i) maintain and support the licensed technology and equipment and provide to Triad certain information and technology services; (ii) access to the Triad technology platform in order to support Triad's business pursuant to the license grant outlined in the services agreement; (iii) customer support-related services; and (iv) technology development services. Effective December 1, 2010, the fee is based principally on the number of Triad's insurance policies in force on a monthly basis. Accordingly, this fee is reduced as Triad's policies in force decline. We earned fees under the services agreement of $1.4 million, $1.8 million and $2.3 million for the years ended December 31, 2016, 2015 and 2014, respectively, which are included in other income in the accompanying consolidated statements of comprehensive income.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337" w:right="25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Reserve for Losses and Loss Adjustment Expenses</w:t>
      </w:r>
    </w:p>
    <w:p>
      <w:pPr>
        <w:spacing w:after="0" w:line="229"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reserve balances for losses and loss adjustment expenses ("LAE") for the years ended December 31:</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2015</w:t>
            </w:r>
          </w:p>
        </w:tc>
      </w:tr>
      <w:tr>
        <w:trPr>
          <w:trHeight w:val="250"/>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Reserve for losses and LAE at beginning of year</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17,760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8,427</w:t>
            </w:r>
          </w:p>
        </w:tc>
      </w:tr>
      <w:tr>
        <w:trPr>
          <w:trHeight w:val="243"/>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Less: Reinsurance recoverables</w:t>
            </w:r>
          </w:p>
        </w:tc>
        <w:tc>
          <w:tcPr>
            <w:tcW w:w="4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reserve for losses and LAE at beginning of year</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17,760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8,427</w:t>
            </w:r>
          </w:p>
        </w:tc>
      </w:tr>
      <w:tr>
        <w:trPr>
          <w:trHeight w:val="223"/>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Add provision for losses and LAE, net of reinsurance, occurring in:</w:t>
            </w: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7"/>
        </w:trPr>
        <w:tc>
          <w:tcPr>
            <w:tcW w:w="7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year</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21,889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14,956</w:t>
            </w:r>
          </w:p>
        </w:tc>
      </w:tr>
      <w:tr>
        <w:trPr>
          <w:trHeight w:val="243"/>
        </w:trPr>
        <w:tc>
          <w:tcPr>
            <w:tcW w:w="784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(6,364)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(3,051)</w:t>
            </w:r>
          </w:p>
        </w:tc>
      </w:tr>
      <w:tr>
        <w:trPr>
          <w:trHeight w:val="27"/>
        </w:trPr>
        <w:tc>
          <w:tcPr>
            <w:tcW w:w="7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incurred losses during the current year</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15,525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11,905</w:t>
            </w:r>
          </w:p>
        </w:tc>
      </w:tr>
      <w:tr>
        <w:trPr>
          <w:trHeight w:val="223"/>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Deduct payments for losses and LAE, net of reinsurance, occurring in:</w:t>
            </w: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7"/>
        </w:trPr>
        <w:tc>
          <w:tcPr>
            <w:tcW w:w="7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year</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544</w:t>
            </w:r>
          </w:p>
        </w:tc>
      </w:tr>
      <w:tr>
        <w:trPr>
          <w:trHeight w:val="243"/>
        </w:trPr>
        <w:tc>
          <w:tcPr>
            <w:tcW w:w="7840" w:type="dxa"/>
            <w:vAlign w:val="bottom"/>
            <w:gridSpan w:val="2"/>
          </w:tcPr>
          <w:p>
            <w:pPr>
              <w:ind w:left="280"/>
              <w:spacing w:after="0"/>
              <w:rPr>
                <w:sz w:val="20"/>
                <w:szCs w:val="20"/>
                <w:color w:val="auto"/>
              </w:rPr>
            </w:pPr>
            <w:r>
              <w:rPr>
                <w:rFonts w:ascii="Arial" w:cs="Arial" w:eastAsia="Arial" w:hAnsi="Arial"/>
                <w:sz w:val="18"/>
                <w:szCs w:val="18"/>
                <w:color w:val="auto"/>
              </w:rPr>
              <w:t>Prior years</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4,216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2,028</w:t>
            </w:r>
          </w:p>
        </w:tc>
      </w:tr>
      <w:tr>
        <w:trPr>
          <w:trHeight w:val="27"/>
        </w:trPr>
        <w:tc>
          <w:tcPr>
            <w:tcW w:w="7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 and LAE payments during the current year</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5,143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2,572</w:t>
            </w:r>
          </w:p>
        </w:tc>
      </w:tr>
      <w:tr>
        <w:trPr>
          <w:trHeight w:val="237"/>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Net reserve for losses and LAE at end of year</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28,142</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17,760</w:t>
            </w:r>
          </w:p>
        </w:tc>
      </w:tr>
      <w:tr>
        <w:trPr>
          <w:trHeight w:val="27"/>
        </w:trPr>
        <w:tc>
          <w:tcPr>
            <w:tcW w:w="7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Plus: Reinsurance recoverables</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Reserve for losses and LAE at end of year</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28,142</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17,760</w:t>
            </w:r>
          </w:p>
        </w:tc>
      </w:tr>
      <w:tr>
        <w:trPr>
          <w:trHeight w:val="67"/>
        </w:trPr>
        <w:tc>
          <w:tcPr>
            <w:tcW w:w="77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78"/>
        </w:trPr>
        <w:tc>
          <w:tcPr>
            <w:tcW w:w="7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Loans in default at end of year</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1,757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1,028</w:t>
            </w:r>
          </w:p>
        </w:tc>
      </w:tr>
    </w:tbl>
    <w:p>
      <w:pPr>
        <w:spacing w:after="0" w:line="229"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For the year ended December 31, 2016, $4.2 million was paid for incurred claims and claim adjustment expenses attributable to insured events of prior years. There has been a $6.4 million favorable prior year development during the year ended December 31, 2016. Reserves remaining as of December 31, 2016 for prior years are $7.2 million as a result of re-estimation of unpaid losses and loss adjustment expenses. For the year ended December 31, 2015, $2.0 million was paid for incurred claims and claim adjustment expenses attributable to insured events of prior years. There was a $3.1 million favorable prior-year development during the year ended December 31, 2015. Reserves remaining as of December 31, 2015 for prior years were $3.3 million as a result of re-estimation of unpaid losses and loss adjustment expenses. In both periods, the favorable prior years' loss development was the result of a re-estimation of amounts ultimately to be paid on prior year defaults in the default inventory, including the impact of previously identified defaults that cured. Original estimates are increased or decreased as additional information becomes known regarding individual claims.</w:t>
      </w:r>
    </w:p>
    <w:p>
      <w:pPr>
        <w:spacing w:after="0" w:line="166"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following table summarizes incurred loss and allocated loss adjustment expense development, IBNR plus expected development on reported defaults and the cumulative number of reported defaults. The information about incurred loss development for the years ended December 31, 2010 to 2015 is presented as supplementary information.</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100" w:type="dxa"/>
            <w:vAlign w:val="bottom"/>
            <w:gridSpan w:val="3"/>
          </w:tcPr>
          <w:p>
            <w:pPr>
              <w:jc w:val="right"/>
              <w:ind w:right="784"/>
              <w:spacing w:after="0"/>
              <w:rPr>
                <w:sz w:val="20"/>
                <w:szCs w:val="20"/>
                <w:color w:val="auto"/>
              </w:rPr>
            </w:pPr>
            <w:r>
              <w:rPr>
                <w:rFonts w:ascii="Arial" w:cs="Arial" w:eastAsia="Arial" w:hAnsi="Arial"/>
                <w:sz w:val="13"/>
                <w:szCs w:val="13"/>
                <w:b w:val="1"/>
                <w:bCs w:val="1"/>
                <w:color w:val="auto"/>
              </w:rPr>
              <w:t>Incurred Loss and Allocated LAE,</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 in thousands)</w:t>
            </w: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3"/>
          </w:tcPr>
          <w:p>
            <w:pPr>
              <w:jc w:val="right"/>
              <w:ind w:right="784"/>
              <w:spacing w:after="0"/>
              <w:rPr>
                <w:sz w:val="20"/>
                <w:szCs w:val="20"/>
                <w:color w:val="auto"/>
              </w:rPr>
            </w:pPr>
            <w:r>
              <w:rPr>
                <w:rFonts w:ascii="Arial" w:cs="Arial" w:eastAsia="Arial" w:hAnsi="Arial"/>
                <w:sz w:val="13"/>
                <w:szCs w:val="13"/>
                <w:b w:val="1"/>
                <w:bCs w:val="1"/>
                <w:color w:val="auto"/>
              </w:rPr>
              <w:t>For the Years Ended December 31,</w:t>
            </w: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2"/>
          </w:tcPr>
          <w:p>
            <w:pPr>
              <w:jc w:val="right"/>
              <w:ind w:right="717"/>
              <w:spacing w:after="0"/>
              <w:rPr>
                <w:sz w:val="20"/>
                <w:szCs w:val="20"/>
                <w:color w:val="auto"/>
              </w:rPr>
            </w:pPr>
            <w:r>
              <w:rPr>
                <w:rFonts w:ascii="Arial" w:cs="Arial" w:eastAsia="Arial" w:hAnsi="Arial"/>
                <w:sz w:val="13"/>
                <w:szCs w:val="13"/>
                <w:b w:val="1"/>
                <w:bCs w:val="1"/>
                <w:color w:val="auto"/>
              </w:rPr>
              <w:t>As of December 31, 2016</w:t>
            </w:r>
          </w:p>
        </w:tc>
        <w:tc>
          <w:tcPr>
            <w:tcW w:w="0" w:type="dxa"/>
            <w:vAlign w:val="bottom"/>
          </w:tcPr>
          <w:p>
            <w:pPr>
              <w:spacing w:after="0"/>
              <w:rPr>
                <w:sz w:val="1"/>
                <w:szCs w:val="1"/>
                <w:color w:val="auto"/>
              </w:rPr>
            </w:pPr>
          </w:p>
        </w:tc>
      </w:tr>
      <w:tr>
        <w:trPr>
          <w:trHeight w:val="144"/>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Cumulative</w:t>
            </w:r>
          </w:p>
        </w:tc>
        <w:tc>
          <w:tcPr>
            <w:tcW w:w="0" w:type="dxa"/>
            <w:vAlign w:val="bottom"/>
          </w:tcPr>
          <w:p>
            <w:pPr>
              <w:spacing w:after="0"/>
              <w:rPr>
                <w:sz w:val="1"/>
                <w:szCs w:val="1"/>
                <w:color w:val="auto"/>
              </w:rPr>
            </w:pPr>
          </w:p>
        </w:tc>
      </w:tr>
      <w:tr>
        <w:trPr>
          <w:trHeight w:val="135"/>
        </w:trPr>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Total of IBNR plus Expected</w:t>
            </w: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0" w:type="dxa"/>
            <w:vAlign w:val="bottom"/>
          </w:tcPr>
          <w:p>
            <w:pPr>
              <w:spacing w:after="0"/>
              <w:rPr>
                <w:sz w:val="1"/>
                <w:szCs w:val="1"/>
                <w:color w:val="auto"/>
              </w:rPr>
            </w:pPr>
          </w:p>
        </w:tc>
      </w:tr>
      <w:tr>
        <w:trPr>
          <w:trHeight w:val="135"/>
        </w:trPr>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ind w:right="550"/>
              <w:spacing w:after="0" w:line="135" w:lineRule="exact"/>
              <w:rPr>
                <w:sz w:val="20"/>
                <w:szCs w:val="20"/>
                <w:color w:val="auto"/>
              </w:rPr>
            </w:pPr>
            <w:r>
              <w:rPr>
                <w:rFonts w:ascii="Arial" w:cs="Arial" w:eastAsia="Arial" w:hAnsi="Arial"/>
                <w:sz w:val="13"/>
                <w:szCs w:val="13"/>
                <w:b w:val="1"/>
                <w:bCs w:val="1"/>
                <w:color w:val="auto"/>
              </w:rPr>
              <w:t>2010</w:t>
            </w:r>
          </w:p>
        </w:tc>
        <w:tc>
          <w:tcPr>
            <w:tcW w:w="1060" w:type="dxa"/>
            <w:vAlign w:val="bottom"/>
          </w:tcPr>
          <w:p>
            <w:pPr>
              <w:jc w:val="right"/>
              <w:ind w:right="547"/>
              <w:spacing w:after="0" w:line="135" w:lineRule="exact"/>
              <w:rPr>
                <w:sz w:val="20"/>
                <w:szCs w:val="20"/>
                <w:color w:val="auto"/>
              </w:rPr>
            </w:pPr>
            <w:r>
              <w:rPr>
                <w:rFonts w:ascii="Arial" w:cs="Arial" w:eastAsia="Arial" w:hAnsi="Arial"/>
                <w:sz w:val="13"/>
                <w:szCs w:val="13"/>
                <w:b w:val="1"/>
                <w:bCs w:val="1"/>
                <w:color w:val="auto"/>
              </w:rPr>
              <w:t>2011</w:t>
            </w:r>
          </w:p>
        </w:tc>
        <w:tc>
          <w:tcPr>
            <w:tcW w:w="1060" w:type="dxa"/>
            <w:vAlign w:val="bottom"/>
          </w:tcPr>
          <w:p>
            <w:pPr>
              <w:jc w:val="right"/>
              <w:ind w:right="544"/>
              <w:spacing w:after="0" w:line="135" w:lineRule="exact"/>
              <w:rPr>
                <w:sz w:val="20"/>
                <w:szCs w:val="20"/>
                <w:color w:val="auto"/>
              </w:rPr>
            </w:pPr>
            <w:r>
              <w:rPr>
                <w:rFonts w:ascii="Arial" w:cs="Arial" w:eastAsia="Arial" w:hAnsi="Arial"/>
                <w:sz w:val="13"/>
                <w:szCs w:val="13"/>
                <w:b w:val="1"/>
                <w:bCs w:val="1"/>
                <w:color w:val="auto"/>
              </w:rPr>
              <w:t>2012</w:t>
            </w:r>
          </w:p>
        </w:tc>
        <w:tc>
          <w:tcPr>
            <w:tcW w:w="1040" w:type="dxa"/>
            <w:vAlign w:val="bottom"/>
          </w:tcPr>
          <w:p>
            <w:pPr>
              <w:jc w:val="right"/>
              <w:ind w:right="545"/>
              <w:spacing w:after="0" w:line="135" w:lineRule="exact"/>
              <w:rPr>
                <w:sz w:val="20"/>
                <w:szCs w:val="20"/>
                <w:color w:val="auto"/>
              </w:rPr>
            </w:pPr>
            <w:r>
              <w:rPr>
                <w:rFonts w:ascii="Arial" w:cs="Arial" w:eastAsia="Arial" w:hAnsi="Arial"/>
                <w:sz w:val="13"/>
                <w:szCs w:val="13"/>
                <w:b w:val="1"/>
                <w:bCs w:val="1"/>
                <w:color w:val="auto"/>
              </w:rPr>
              <w:t>2013</w:t>
            </w:r>
          </w:p>
        </w:tc>
        <w:tc>
          <w:tcPr>
            <w:tcW w:w="1000" w:type="dxa"/>
            <w:vAlign w:val="bottom"/>
          </w:tcPr>
          <w:p>
            <w:pPr>
              <w:jc w:val="right"/>
              <w:ind w:right="504"/>
              <w:spacing w:after="0" w:line="135" w:lineRule="exact"/>
              <w:rPr>
                <w:sz w:val="20"/>
                <w:szCs w:val="20"/>
                <w:color w:val="auto"/>
              </w:rPr>
            </w:pPr>
            <w:r>
              <w:rPr>
                <w:rFonts w:ascii="Arial" w:cs="Arial" w:eastAsia="Arial" w:hAnsi="Arial"/>
                <w:sz w:val="13"/>
                <w:szCs w:val="13"/>
                <w:b w:val="1"/>
                <w:bCs w:val="1"/>
                <w:color w:val="auto"/>
              </w:rPr>
              <w:t>2014</w:t>
            </w:r>
          </w:p>
        </w:tc>
        <w:tc>
          <w:tcPr>
            <w:tcW w:w="860" w:type="dxa"/>
            <w:vAlign w:val="bottom"/>
          </w:tcPr>
          <w:p>
            <w:pPr>
              <w:jc w:val="right"/>
              <w:ind w:right="363"/>
              <w:spacing w:after="0" w:line="135" w:lineRule="exact"/>
              <w:rPr>
                <w:sz w:val="20"/>
                <w:szCs w:val="20"/>
                <w:color w:val="auto"/>
              </w:rPr>
            </w:pPr>
            <w:r>
              <w:rPr>
                <w:rFonts w:ascii="Arial" w:cs="Arial" w:eastAsia="Arial" w:hAnsi="Arial"/>
                <w:sz w:val="13"/>
                <w:szCs w:val="13"/>
                <w:b w:val="1"/>
                <w:bCs w:val="1"/>
                <w:color w:val="auto"/>
              </w:rPr>
              <w:t>2015</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6"/>
              </w:rPr>
              <w:t>Development on Reported</w:t>
            </w: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Reported Defaults</w:t>
            </w: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Accident Year</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50"/>
              <w:spacing w:after="0"/>
              <w:rPr>
                <w:sz w:val="20"/>
                <w:szCs w:val="20"/>
                <w:color w:val="auto"/>
              </w:rPr>
            </w:pPr>
            <w:r>
              <w:rPr>
                <w:rFonts w:ascii="Arial" w:cs="Arial" w:eastAsia="Arial" w:hAnsi="Arial"/>
                <w:sz w:val="13"/>
                <w:szCs w:val="13"/>
                <w:b w:val="1"/>
                <w:bCs w:val="1"/>
                <w:color w:val="auto"/>
                <w:w w:val="88"/>
              </w:rPr>
              <w:t>Unaudited</w:t>
            </w:r>
          </w:p>
        </w:tc>
        <w:tc>
          <w:tcPr>
            <w:tcW w:w="1060" w:type="dxa"/>
            <w:vAlign w:val="bottom"/>
            <w:tcBorders>
              <w:bottom w:val="single" w:sz="8" w:color="auto"/>
            </w:tcBorders>
          </w:tcPr>
          <w:p>
            <w:pPr>
              <w:jc w:val="center"/>
              <w:ind w:right="327"/>
              <w:spacing w:after="0"/>
              <w:rPr>
                <w:sz w:val="20"/>
                <w:szCs w:val="20"/>
                <w:color w:val="auto"/>
              </w:rPr>
            </w:pPr>
            <w:r>
              <w:rPr>
                <w:rFonts w:ascii="Arial" w:cs="Arial" w:eastAsia="Arial" w:hAnsi="Arial"/>
                <w:sz w:val="13"/>
                <w:szCs w:val="13"/>
                <w:b w:val="1"/>
                <w:bCs w:val="1"/>
                <w:color w:val="auto"/>
                <w:w w:val="88"/>
              </w:rPr>
              <w:t>Unaudited</w:t>
            </w:r>
          </w:p>
        </w:tc>
        <w:tc>
          <w:tcPr>
            <w:tcW w:w="1060" w:type="dxa"/>
            <w:vAlign w:val="bottom"/>
            <w:tcBorders>
              <w:bottom w:val="single" w:sz="8" w:color="auto"/>
            </w:tcBorders>
          </w:tcPr>
          <w:p>
            <w:pPr>
              <w:jc w:val="right"/>
              <w:ind w:right="384"/>
              <w:spacing w:after="0"/>
              <w:rPr>
                <w:sz w:val="20"/>
                <w:szCs w:val="20"/>
                <w:color w:val="auto"/>
              </w:rPr>
            </w:pPr>
            <w:r>
              <w:rPr>
                <w:rFonts w:ascii="Arial" w:cs="Arial" w:eastAsia="Arial" w:hAnsi="Arial"/>
                <w:sz w:val="13"/>
                <w:szCs w:val="13"/>
                <w:b w:val="1"/>
                <w:bCs w:val="1"/>
                <w:color w:val="auto"/>
                <w:w w:val="94"/>
              </w:rPr>
              <w:t>Unaudited</w:t>
            </w:r>
          </w:p>
        </w:tc>
        <w:tc>
          <w:tcPr>
            <w:tcW w:w="1040" w:type="dxa"/>
            <w:vAlign w:val="bottom"/>
            <w:tcBorders>
              <w:bottom w:val="single" w:sz="8" w:color="auto"/>
            </w:tcBorders>
          </w:tcPr>
          <w:p>
            <w:pPr>
              <w:jc w:val="right"/>
              <w:ind w:right="385"/>
              <w:spacing w:after="0"/>
              <w:rPr>
                <w:sz w:val="20"/>
                <w:szCs w:val="20"/>
                <w:color w:val="auto"/>
              </w:rPr>
            </w:pPr>
            <w:r>
              <w:rPr>
                <w:rFonts w:ascii="Arial" w:cs="Arial" w:eastAsia="Arial" w:hAnsi="Arial"/>
                <w:sz w:val="13"/>
                <w:szCs w:val="13"/>
                <w:b w:val="1"/>
                <w:bCs w:val="1"/>
                <w:color w:val="auto"/>
                <w:w w:val="91"/>
              </w:rPr>
              <w:t>Unaudited</w:t>
            </w:r>
          </w:p>
        </w:tc>
        <w:tc>
          <w:tcPr>
            <w:tcW w:w="1000" w:type="dxa"/>
            <w:vAlign w:val="bottom"/>
            <w:tcBorders>
              <w:bottom w:val="single" w:sz="8" w:color="auto"/>
            </w:tcBorders>
          </w:tcPr>
          <w:p>
            <w:pPr>
              <w:jc w:val="right"/>
              <w:ind w:right="344"/>
              <w:spacing w:after="0"/>
              <w:rPr>
                <w:sz w:val="20"/>
                <w:szCs w:val="20"/>
                <w:color w:val="auto"/>
              </w:rPr>
            </w:pPr>
            <w:r>
              <w:rPr>
                <w:rFonts w:ascii="Arial" w:cs="Arial" w:eastAsia="Arial" w:hAnsi="Arial"/>
                <w:sz w:val="13"/>
                <w:szCs w:val="13"/>
                <w:b w:val="1"/>
                <w:bCs w:val="1"/>
                <w:color w:val="auto"/>
                <w:w w:val="91"/>
              </w:rPr>
              <w:t>Unaudited</w:t>
            </w:r>
          </w:p>
        </w:tc>
        <w:tc>
          <w:tcPr>
            <w:tcW w:w="108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3"/>
                <w:szCs w:val="13"/>
                <w:b w:val="1"/>
                <w:bCs w:val="1"/>
                <w:color w:val="auto"/>
                <w:w w:val="91"/>
              </w:rPr>
              <w:t>Unaudited</w:t>
            </w:r>
          </w:p>
        </w:tc>
        <w:tc>
          <w:tcPr>
            <w:tcW w:w="680" w:type="dxa"/>
            <w:vAlign w:val="bottom"/>
            <w:tcBorders>
              <w:bottom w:val="single" w:sz="8" w:color="auto"/>
            </w:tcBorders>
          </w:tcPr>
          <w:p>
            <w:pPr>
              <w:jc w:val="right"/>
              <w:ind w:right="263"/>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89"/>
              </w:rPr>
              <w:t>Defaults</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0" w:type="dxa"/>
            <w:vAlign w:val="bottom"/>
          </w:tcPr>
          <w:p>
            <w:pPr>
              <w:spacing w:after="0"/>
              <w:rPr>
                <w:sz w:val="1"/>
                <w:szCs w:val="1"/>
                <w:color w:val="auto"/>
              </w:rPr>
            </w:pPr>
          </w:p>
        </w:tc>
      </w:tr>
      <w:tr>
        <w:trPr>
          <w:trHeight w:val="173"/>
        </w:trPr>
        <w:tc>
          <w:tcPr>
            <w:tcW w:w="1160" w:type="dxa"/>
            <w:vAlign w:val="bottom"/>
          </w:tcPr>
          <w:p>
            <w:pPr>
              <w:ind w:left="40"/>
              <w:spacing w:after="0"/>
              <w:rPr>
                <w:sz w:val="20"/>
                <w:szCs w:val="20"/>
                <w:color w:val="auto"/>
              </w:rPr>
            </w:pPr>
            <w:r>
              <w:rPr>
                <w:rFonts w:ascii="Arial" w:cs="Arial" w:eastAsia="Arial" w:hAnsi="Arial"/>
                <w:sz w:val="13"/>
                <w:szCs w:val="13"/>
                <w:color w:val="auto"/>
              </w:rPr>
              <w:t>2010</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vMerge w:val="restart"/>
          </w:tcPr>
          <w:p>
            <w:pPr>
              <w:ind w:left="540"/>
              <w:spacing w:after="0"/>
              <w:rPr>
                <w:sz w:val="20"/>
                <w:szCs w:val="20"/>
                <w:color w:val="auto"/>
              </w:rPr>
            </w:pPr>
            <w:r>
              <w:rPr>
                <w:rFonts w:ascii="Arial" w:cs="Arial" w:eastAsia="Arial" w:hAnsi="Arial"/>
                <w:sz w:val="13"/>
                <w:szCs w:val="13"/>
                <w:color w:val="auto"/>
                <w:w w:val="82"/>
              </w:rPr>
              <w:t>—$</w:t>
            </w:r>
          </w:p>
        </w:tc>
        <w:tc>
          <w:tcPr>
            <w:tcW w:w="1060" w:type="dxa"/>
            <w:vAlign w:val="bottom"/>
            <w:vMerge w:val="restart"/>
          </w:tcPr>
          <w:p>
            <w:pPr>
              <w:ind w:left="560"/>
              <w:spacing w:after="0"/>
              <w:rPr>
                <w:sz w:val="20"/>
                <w:szCs w:val="20"/>
                <w:color w:val="auto"/>
              </w:rPr>
            </w:pPr>
            <w:r>
              <w:rPr>
                <w:rFonts w:ascii="Arial" w:cs="Arial" w:eastAsia="Arial" w:hAnsi="Arial"/>
                <w:sz w:val="13"/>
                <w:szCs w:val="13"/>
                <w:color w:val="auto"/>
                <w:w w:val="82"/>
              </w:rPr>
              <w:t>—$</w:t>
            </w:r>
          </w:p>
        </w:tc>
        <w:tc>
          <w:tcPr>
            <w:tcW w:w="1060" w:type="dxa"/>
            <w:vAlign w:val="bottom"/>
            <w:vMerge w:val="restart"/>
          </w:tcPr>
          <w:p>
            <w:pPr>
              <w:jc w:val="right"/>
              <w:ind w:right="4"/>
              <w:spacing w:after="0"/>
              <w:rPr>
                <w:sz w:val="20"/>
                <w:szCs w:val="20"/>
                <w:color w:val="auto"/>
              </w:rPr>
            </w:pPr>
            <w:r>
              <w:rPr>
                <w:rFonts w:ascii="Arial" w:cs="Arial" w:eastAsia="Arial" w:hAnsi="Arial"/>
                <w:sz w:val="13"/>
                <w:szCs w:val="13"/>
                <w:color w:val="auto"/>
                <w:w w:val="82"/>
              </w:rPr>
              <w:t>—$</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w w:val="82"/>
              </w:rPr>
              <w:t>—$</w:t>
            </w:r>
          </w:p>
        </w:tc>
        <w:tc>
          <w:tcPr>
            <w:tcW w:w="900" w:type="dxa"/>
            <w:vAlign w:val="bottom"/>
            <w:gridSpan w:val="3"/>
            <w:vMerge w:val="restart"/>
          </w:tcPr>
          <w:p>
            <w:pPr>
              <w:ind w:left="440"/>
              <w:spacing w:after="0"/>
              <w:rPr>
                <w:sz w:val="20"/>
                <w:szCs w:val="20"/>
                <w:color w:val="auto"/>
              </w:rPr>
            </w:pPr>
            <w:r>
              <w:rPr>
                <w:rFonts w:ascii="Arial" w:cs="Arial" w:eastAsia="Arial" w:hAnsi="Arial"/>
                <w:sz w:val="13"/>
                <w:szCs w:val="13"/>
                <w:color w:val="auto"/>
                <w:w w:val="82"/>
              </w:rPr>
              <w:t>—$</w:t>
            </w:r>
          </w:p>
        </w:tc>
        <w:tc>
          <w:tcPr>
            <w:tcW w:w="1640" w:type="dxa"/>
            <w:vAlign w:val="bottom"/>
            <w:vMerge w:val="restart"/>
          </w:tcPr>
          <w:p>
            <w:pPr>
              <w:jc w:val="right"/>
              <w:ind w:right="117"/>
              <w:spacing w:after="0"/>
              <w:rPr>
                <w:sz w:val="20"/>
                <w:szCs w:val="20"/>
                <w:color w:val="auto"/>
              </w:rPr>
            </w:pPr>
            <w:r>
              <w:rPr>
                <w:rFonts w:ascii="Arial" w:cs="Arial" w:eastAsia="Arial" w:hAnsi="Arial"/>
                <w:sz w:val="13"/>
                <w:szCs w:val="13"/>
                <w:color w:val="auto"/>
              </w:rPr>
              <w:t>—</w:t>
            </w:r>
          </w:p>
        </w:tc>
        <w:tc>
          <w:tcPr>
            <w:tcW w:w="118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9"/>
        </w:trPr>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2011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ind w:left="560"/>
              <w:spacing w:after="0"/>
              <w:rPr>
                <w:sz w:val="20"/>
                <w:szCs w:val="20"/>
                <w:color w:val="auto"/>
              </w:rPr>
            </w:pPr>
            <w:r>
              <w:rPr>
                <w:rFonts w:ascii="Arial" w:cs="Arial" w:eastAsia="Arial" w:hAnsi="Arial"/>
                <w:sz w:val="13"/>
                <w:szCs w:val="13"/>
                <w:color w:val="auto"/>
              </w:rPr>
              <w:t>57</w:t>
            </w:r>
          </w:p>
        </w:tc>
        <w:tc>
          <w:tcPr>
            <w:tcW w:w="1060" w:type="dxa"/>
            <w:vAlign w:val="bottom"/>
            <w:vMerge w:val="restart"/>
            <w:shd w:val="clear" w:color="auto" w:fill="CCEEFF"/>
          </w:tcPr>
          <w:p>
            <w:pPr>
              <w:jc w:val="right"/>
              <w:ind w:right="324"/>
              <w:spacing w:after="0"/>
              <w:rPr>
                <w:sz w:val="20"/>
                <w:szCs w:val="20"/>
                <w:color w:val="auto"/>
              </w:rPr>
            </w:pPr>
            <w:r>
              <w:rPr>
                <w:rFonts w:ascii="Arial" w:cs="Arial" w:eastAsia="Arial" w:hAnsi="Arial"/>
                <w:sz w:val="13"/>
                <w:szCs w:val="13"/>
                <w:color w:val="auto"/>
              </w:rPr>
              <w:t>—</w:t>
            </w:r>
          </w:p>
        </w:tc>
        <w:tc>
          <w:tcPr>
            <w:tcW w:w="1040" w:type="dxa"/>
            <w:vAlign w:val="bottom"/>
            <w:vMerge w:val="restart"/>
            <w:shd w:val="clear" w:color="auto" w:fill="CCEEFF"/>
          </w:tcPr>
          <w:p>
            <w:pPr>
              <w:jc w:val="right"/>
              <w:ind w:right="325"/>
              <w:spacing w:after="0"/>
              <w:rPr>
                <w:sz w:val="20"/>
                <w:szCs w:val="20"/>
                <w:color w:val="auto"/>
              </w:rPr>
            </w:pPr>
            <w:r>
              <w:rPr>
                <w:rFonts w:ascii="Arial" w:cs="Arial" w:eastAsia="Arial" w:hAnsi="Arial"/>
                <w:sz w:val="13"/>
                <w:szCs w:val="13"/>
                <w:color w:val="auto"/>
              </w:rPr>
              <w:t>—</w:t>
            </w:r>
          </w:p>
        </w:tc>
        <w:tc>
          <w:tcPr>
            <w:tcW w:w="1000" w:type="dxa"/>
            <w:vAlign w:val="bottom"/>
            <w:vMerge w:val="restart"/>
            <w:shd w:val="clear" w:color="auto" w:fill="CCEEFF"/>
          </w:tcPr>
          <w:p>
            <w:pPr>
              <w:jc w:val="right"/>
              <w:ind w:right="284"/>
              <w:spacing w:after="0"/>
              <w:rPr>
                <w:sz w:val="20"/>
                <w:szCs w:val="20"/>
                <w:color w:val="auto"/>
              </w:rPr>
            </w:pPr>
            <w:r>
              <w:rPr>
                <w:rFonts w:ascii="Arial" w:cs="Arial" w:eastAsia="Arial" w:hAnsi="Arial"/>
                <w:sz w:val="13"/>
                <w:szCs w:val="13"/>
                <w:color w:val="auto"/>
              </w:rPr>
              <w:t>—</w:t>
            </w:r>
          </w:p>
        </w:tc>
        <w:tc>
          <w:tcPr>
            <w:tcW w:w="1080" w:type="dxa"/>
            <w:vAlign w:val="bottom"/>
            <w:gridSpan w:val="2"/>
            <w:vMerge w:val="restart"/>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900" w:type="dxa"/>
            <w:vAlign w:val="bottom"/>
            <w:gridSpan w:val="3"/>
            <w:vMerge w:val="restart"/>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64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11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97"/>
        </w:trPr>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60" w:type="dxa"/>
            <w:vAlign w:val="bottom"/>
            <w:vMerge w:val="continue"/>
            <w:shd w:val="clear" w:color="auto" w:fill="CCEEFF"/>
          </w:tcPr>
          <w:p>
            <w:pPr>
              <w:spacing w:after="0"/>
              <w:rPr>
                <w:sz w:val="8"/>
                <w:szCs w:val="8"/>
                <w:color w:val="auto"/>
              </w:rPr>
            </w:pPr>
          </w:p>
        </w:tc>
        <w:tc>
          <w:tcPr>
            <w:tcW w:w="1060" w:type="dxa"/>
            <w:vAlign w:val="bottom"/>
            <w:vMerge w:val="continue"/>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1080" w:type="dxa"/>
            <w:vAlign w:val="bottom"/>
            <w:gridSpan w:val="2"/>
            <w:vMerge w:val="continue"/>
            <w:shd w:val="clear" w:color="auto" w:fill="CCEEFF"/>
          </w:tcPr>
          <w:p>
            <w:pPr>
              <w:spacing w:after="0"/>
              <w:rPr>
                <w:sz w:val="8"/>
                <w:szCs w:val="8"/>
                <w:color w:val="auto"/>
              </w:rPr>
            </w:pPr>
          </w:p>
        </w:tc>
        <w:tc>
          <w:tcPr>
            <w:tcW w:w="900" w:type="dxa"/>
            <w:vAlign w:val="bottom"/>
            <w:gridSpan w:val="3"/>
            <w:vMerge w:val="continue"/>
            <w:shd w:val="clear" w:color="auto" w:fill="CCEEFF"/>
          </w:tcPr>
          <w:p>
            <w:pPr>
              <w:spacing w:after="0"/>
              <w:rPr>
                <w:sz w:val="8"/>
                <w:szCs w:val="8"/>
                <w:color w:val="auto"/>
              </w:rPr>
            </w:pPr>
          </w:p>
        </w:tc>
        <w:tc>
          <w:tcPr>
            <w:tcW w:w="1640" w:type="dxa"/>
            <w:vAlign w:val="bottom"/>
            <w:vMerge w:val="continue"/>
            <w:shd w:val="clear" w:color="auto" w:fill="CCEEFF"/>
          </w:tcPr>
          <w:p>
            <w:pPr>
              <w:spacing w:after="0"/>
              <w:rPr>
                <w:sz w:val="8"/>
                <w:szCs w:val="8"/>
                <w:color w:val="auto"/>
              </w:rPr>
            </w:pPr>
          </w:p>
        </w:tc>
        <w:tc>
          <w:tcPr>
            <w:tcW w:w="11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160" w:type="dxa"/>
            <w:vAlign w:val="bottom"/>
          </w:tcPr>
          <w:p>
            <w:pPr>
              <w:ind w:left="40"/>
              <w:spacing w:after="0"/>
              <w:rPr>
                <w:sz w:val="20"/>
                <w:szCs w:val="20"/>
                <w:color w:val="auto"/>
              </w:rPr>
            </w:pPr>
            <w:r>
              <w:rPr>
                <w:rFonts w:ascii="Arial" w:cs="Arial" w:eastAsia="Arial" w:hAnsi="Arial"/>
                <w:sz w:val="13"/>
                <w:szCs w:val="13"/>
                <w:color w:val="auto"/>
              </w:rPr>
              <w:t>2012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vMerge w:val="restart"/>
          </w:tcPr>
          <w:p>
            <w:pPr>
              <w:jc w:val="right"/>
              <w:ind w:right="324"/>
              <w:spacing w:after="0"/>
              <w:rPr>
                <w:sz w:val="20"/>
                <w:szCs w:val="20"/>
                <w:color w:val="auto"/>
              </w:rPr>
            </w:pPr>
            <w:r>
              <w:rPr>
                <w:rFonts w:ascii="Arial" w:cs="Arial" w:eastAsia="Arial" w:hAnsi="Arial"/>
                <w:sz w:val="13"/>
                <w:szCs w:val="13"/>
                <w:color w:val="auto"/>
              </w:rPr>
              <w:t>1,523</w:t>
            </w:r>
          </w:p>
        </w:tc>
        <w:tc>
          <w:tcPr>
            <w:tcW w:w="1040" w:type="dxa"/>
            <w:vAlign w:val="bottom"/>
            <w:vMerge w:val="restart"/>
          </w:tcPr>
          <w:p>
            <w:pPr>
              <w:jc w:val="right"/>
              <w:ind w:right="325"/>
              <w:spacing w:after="0"/>
              <w:rPr>
                <w:sz w:val="20"/>
                <w:szCs w:val="20"/>
                <w:color w:val="auto"/>
              </w:rPr>
            </w:pPr>
            <w:r>
              <w:rPr>
                <w:rFonts w:ascii="Arial" w:cs="Arial" w:eastAsia="Arial" w:hAnsi="Arial"/>
                <w:sz w:val="13"/>
                <w:szCs w:val="13"/>
                <w:color w:val="auto"/>
              </w:rPr>
              <w:t>858</w:t>
            </w:r>
          </w:p>
        </w:tc>
        <w:tc>
          <w:tcPr>
            <w:tcW w:w="1000" w:type="dxa"/>
            <w:vAlign w:val="bottom"/>
            <w:vMerge w:val="restart"/>
          </w:tcPr>
          <w:p>
            <w:pPr>
              <w:jc w:val="right"/>
              <w:ind w:right="284"/>
              <w:spacing w:after="0"/>
              <w:rPr>
                <w:sz w:val="20"/>
                <w:szCs w:val="20"/>
                <w:color w:val="auto"/>
              </w:rPr>
            </w:pPr>
            <w:r>
              <w:rPr>
                <w:rFonts w:ascii="Arial" w:cs="Arial" w:eastAsia="Arial" w:hAnsi="Arial"/>
                <w:sz w:val="13"/>
                <w:szCs w:val="13"/>
                <w:color w:val="auto"/>
              </w:rPr>
              <w:t>814</w:t>
            </w:r>
          </w:p>
        </w:tc>
        <w:tc>
          <w:tcPr>
            <w:tcW w:w="860" w:type="dxa"/>
            <w:vAlign w:val="bottom"/>
            <w:vMerge w:val="restart"/>
          </w:tcPr>
          <w:p>
            <w:pPr>
              <w:jc w:val="right"/>
              <w:ind w:right="143"/>
              <w:spacing w:after="0"/>
              <w:rPr>
                <w:sz w:val="20"/>
                <w:szCs w:val="20"/>
                <w:color w:val="auto"/>
              </w:rPr>
            </w:pPr>
            <w:r>
              <w:rPr>
                <w:rFonts w:ascii="Arial" w:cs="Arial" w:eastAsia="Arial" w:hAnsi="Arial"/>
                <w:sz w:val="13"/>
                <w:szCs w:val="13"/>
                <w:color w:val="auto"/>
              </w:rPr>
              <w:t>781</w:t>
            </w:r>
          </w:p>
        </w:tc>
        <w:tc>
          <w:tcPr>
            <w:tcW w:w="220" w:type="dxa"/>
            <w:vAlign w:val="bottom"/>
          </w:tcPr>
          <w:p>
            <w:pPr>
              <w:spacing w:after="0"/>
              <w:rPr>
                <w:sz w:val="15"/>
                <w:szCs w:val="15"/>
                <w:color w:val="auto"/>
              </w:rPr>
            </w:pPr>
          </w:p>
        </w:tc>
        <w:tc>
          <w:tcPr>
            <w:tcW w:w="680" w:type="dxa"/>
            <w:vAlign w:val="bottom"/>
            <w:vMerge w:val="restart"/>
          </w:tcPr>
          <w:p>
            <w:pPr>
              <w:jc w:val="right"/>
              <w:ind w:right="43"/>
              <w:spacing w:after="0"/>
              <w:rPr>
                <w:sz w:val="20"/>
                <w:szCs w:val="20"/>
                <w:color w:val="auto"/>
              </w:rPr>
            </w:pPr>
            <w:r>
              <w:rPr>
                <w:rFonts w:ascii="Arial" w:cs="Arial" w:eastAsia="Arial" w:hAnsi="Arial"/>
                <w:sz w:val="13"/>
                <w:szCs w:val="13"/>
                <w:color w:val="auto"/>
              </w:rPr>
              <w:t>748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vMerge w:val="restart"/>
          </w:tcPr>
          <w:p>
            <w:pPr>
              <w:jc w:val="right"/>
              <w:ind w:right="117"/>
              <w:spacing w:after="0"/>
              <w:rPr>
                <w:sz w:val="20"/>
                <w:szCs w:val="20"/>
                <w:color w:val="auto"/>
              </w:rPr>
            </w:pPr>
            <w:r>
              <w:rPr>
                <w:rFonts w:ascii="Arial" w:cs="Arial" w:eastAsia="Arial" w:hAnsi="Arial"/>
                <w:sz w:val="13"/>
                <w:szCs w:val="13"/>
                <w:color w:val="auto"/>
              </w:rPr>
              <w:t>6</w:t>
            </w:r>
          </w:p>
        </w:tc>
        <w:tc>
          <w:tcPr>
            <w:tcW w:w="1180" w:type="dxa"/>
            <w:vAlign w:val="bottom"/>
            <w:vMerge w:val="restart"/>
          </w:tcPr>
          <w:p>
            <w:pPr>
              <w:jc w:val="right"/>
              <w:ind w:right="37"/>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89"/>
        </w:trPr>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2013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325"/>
              <w:spacing w:after="0"/>
              <w:rPr>
                <w:sz w:val="20"/>
                <w:szCs w:val="20"/>
                <w:color w:val="auto"/>
              </w:rPr>
            </w:pPr>
            <w:r>
              <w:rPr>
                <w:rFonts w:ascii="Arial" w:cs="Arial" w:eastAsia="Arial" w:hAnsi="Arial"/>
                <w:sz w:val="13"/>
                <w:szCs w:val="13"/>
                <w:color w:val="auto"/>
              </w:rPr>
              <w:t>2,986</w:t>
            </w:r>
          </w:p>
        </w:tc>
        <w:tc>
          <w:tcPr>
            <w:tcW w:w="1000" w:type="dxa"/>
            <w:vAlign w:val="bottom"/>
            <w:vMerge w:val="restart"/>
            <w:shd w:val="clear" w:color="auto" w:fill="CCEEFF"/>
          </w:tcPr>
          <w:p>
            <w:pPr>
              <w:jc w:val="right"/>
              <w:ind w:right="284"/>
              <w:spacing w:after="0"/>
              <w:rPr>
                <w:sz w:val="20"/>
                <w:szCs w:val="20"/>
                <w:color w:val="auto"/>
              </w:rPr>
            </w:pPr>
            <w:r>
              <w:rPr>
                <w:rFonts w:ascii="Arial" w:cs="Arial" w:eastAsia="Arial" w:hAnsi="Arial"/>
                <w:sz w:val="13"/>
                <w:szCs w:val="13"/>
                <w:color w:val="auto"/>
              </w:rPr>
              <w:t>2,461</w:t>
            </w:r>
          </w:p>
        </w:tc>
        <w:tc>
          <w:tcPr>
            <w:tcW w:w="860" w:type="dxa"/>
            <w:vAlign w:val="bottom"/>
            <w:vMerge w:val="restart"/>
            <w:shd w:val="clear" w:color="auto" w:fill="CCEEFF"/>
          </w:tcPr>
          <w:p>
            <w:pPr>
              <w:jc w:val="right"/>
              <w:ind w:right="143"/>
              <w:spacing w:after="0"/>
              <w:rPr>
                <w:sz w:val="20"/>
                <w:szCs w:val="20"/>
                <w:color w:val="auto"/>
              </w:rPr>
            </w:pPr>
            <w:r>
              <w:rPr>
                <w:rFonts w:ascii="Arial" w:cs="Arial" w:eastAsia="Arial" w:hAnsi="Arial"/>
                <w:sz w:val="13"/>
                <w:szCs w:val="13"/>
                <w:color w:val="auto"/>
              </w:rPr>
              <w:t>2,008</w:t>
            </w:r>
          </w:p>
        </w:tc>
        <w:tc>
          <w:tcPr>
            <w:tcW w:w="2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3"/>
              <w:spacing w:after="0"/>
              <w:rPr>
                <w:sz w:val="20"/>
                <w:szCs w:val="20"/>
                <w:color w:val="auto"/>
              </w:rPr>
            </w:pPr>
            <w:r>
              <w:rPr>
                <w:rFonts w:ascii="Arial" w:cs="Arial" w:eastAsia="Arial" w:hAnsi="Arial"/>
                <w:sz w:val="13"/>
                <w:szCs w:val="13"/>
                <w:color w:val="auto"/>
              </w:rPr>
              <w:t>1,997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16</w:t>
            </w:r>
          </w:p>
        </w:tc>
        <w:tc>
          <w:tcPr>
            <w:tcW w:w="11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97"/>
        </w:trPr>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40" w:type="dxa"/>
            <w:vAlign w:val="bottom"/>
            <w:vMerge w:val="continue"/>
            <w:shd w:val="clear" w:color="auto" w:fill="CCEEFF"/>
          </w:tcPr>
          <w:p>
            <w:pPr>
              <w:spacing w:after="0"/>
              <w:rPr>
                <w:sz w:val="8"/>
                <w:szCs w:val="8"/>
                <w:color w:val="auto"/>
              </w:rPr>
            </w:pPr>
          </w:p>
        </w:tc>
        <w:tc>
          <w:tcPr>
            <w:tcW w:w="11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160" w:type="dxa"/>
            <w:vAlign w:val="bottom"/>
          </w:tcPr>
          <w:p>
            <w:pPr>
              <w:ind w:left="40"/>
              <w:spacing w:after="0"/>
              <w:rPr>
                <w:sz w:val="20"/>
                <w:szCs w:val="20"/>
                <w:color w:val="auto"/>
              </w:rPr>
            </w:pPr>
            <w:r>
              <w:rPr>
                <w:rFonts w:ascii="Arial" w:cs="Arial" w:eastAsia="Arial" w:hAnsi="Arial"/>
                <w:sz w:val="13"/>
                <w:szCs w:val="13"/>
                <w:color w:val="auto"/>
              </w:rPr>
              <w:t>2014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vMerge w:val="restart"/>
          </w:tcPr>
          <w:p>
            <w:pPr>
              <w:jc w:val="right"/>
              <w:ind w:right="284"/>
              <w:spacing w:after="0"/>
              <w:rPr>
                <w:sz w:val="20"/>
                <w:szCs w:val="20"/>
                <w:color w:val="auto"/>
              </w:rPr>
            </w:pPr>
            <w:r>
              <w:rPr>
                <w:rFonts w:ascii="Arial" w:cs="Arial" w:eastAsia="Arial" w:hAnsi="Arial"/>
                <w:sz w:val="13"/>
                <w:szCs w:val="13"/>
                <w:color w:val="auto"/>
              </w:rPr>
              <w:t>6,877</w:t>
            </w:r>
          </w:p>
        </w:tc>
        <w:tc>
          <w:tcPr>
            <w:tcW w:w="860" w:type="dxa"/>
            <w:vAlign w:val="bottom"/>
            <w:vMerge w:val="restart"/>
          </w:tcPr>
          <w:p>
            <w:pPr>
              <w:jc w:val="right"/>
              <w:ind w:right="143"/>
              <w:spacing w:after="0"/>
              <w:rPr>
                <w:sz w:val="20"/>
                <w:szCs w:val="20"/>
                <w:color w:val="auto"/>
              </w:rPr>
            </w:pPr>
            <w:r>
              <w:rPr>
                <w:rFonts w:ascii="Arial" w:cs="Arial" w:eastAsia="Arial" w:hAnsi="Arial"/>
                <w:sz w:val="13"/>
                <w:szCs w:val="13"/>
                <w:color w:val="auto"/>
              </w:rPr>
              <w:t>4,312</w:t>
            </w:r>
          </w:p>
        </w:tc>
        <w:tc>
          <w:tcPr>
            <w:tcW w:w="220" w:type="dxa"/>
            <w:vAlign w:val="bottom"/>
          </w:tcPr>
          <w:p>
            <w:pPr>
              <w:spacing w:after="0"/>
              <w:rPr>
                <w:sz w:val="15"/>
                <w:szCs w:val="15"/>
                <w:color w:val="auto"/>
              </w:rPr>
            </w:pPr>
          </w:p>
        </w:tc>
        <w:tc>
          <w:tcPr>
            <w:tcW w:w="680" w:type="dxa"/>
            <w:vAlign w:val="bottom"/>
            <w:vMerge w:val="restart"/>
          </w:tcPr>
          <w:p>
            <w:pPr>
              <w:jc w:val="right"/>
              <w:ind w:right="43"/>
              <w:spacing w:after="0"/>
              <w:rPr>
                <w:sz w:val="20"/>
                <w:szCs w:val="20"/>
                <w:color w:val="auto"/>
              </w:rPr>
            </w:pPr>
            <w:r>
              <w:rPr>
                <w:rFonts w:ascii="Arial" w:cs="Arial" w:eastAsia="Arial" w:hAnsi="Arial"/>
                <w:sz w:val="13"/>
                <w:szCs w:val="13"/>
                <w:color w:val="auto"/>
              </w:rPr>
              <w:t>3,323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vMerge w:val="restart"/>
          </w:tcPr>
          <w:p>
            <w:pPr>
              <w:jc w:val="right"/>
              <w:ind w:right="117"/>
              <w:spacing w:after="0"/>
              <w:rPr>
                <w:sz w:val="20"/>
                <w:szCs w:val="20"/>
                <w:color w:val="auto"/>
              </w:rPr>
            </w:pPr>
            <w:r>
              <w:rPr>
                <w:rFonts w:ascii="Arial" w:cs="Arial" w:eastAsia="Arial" w:hAnsi="Arial"/>
                <w:sz w:val="13"/>
                <w:szCs w:val="13"/>
                <w:color w:val="auto"/>
              </w:rPr>
              <w:t>60</w:t>
            </w:r>
          </w:p>
        </w:tc>
        <w:tc>
          <w:tcPr>
            <w:tcW w:w="1180" w:type="dxa"/>
            <w:vAlign w:val="bottom"/>
            <w:vMerge w:val="restart"/>
          </w:tcPr>
          <w:p>
            <w:pPr>
              <w:jc w:val="right"/>
              <w:ind w:right="37"/>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89"/>
        </w:trPr>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2015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143"/>
              <w:spacing w:after="0"/>
              <w:rPr>
                <w:sz w:val="20"/>
                <w:szCs w:val="20"/>
                <w:color w:val="auto"/>
              </w:rPr>
            </w:pPr>
            <w:r>
              <w:rPr>
                <w:rFonts w:ascii="Arial" w:cs="Arial" w:eastAsia="Arial" w:hAnsi="Arial"/>
                <w:sz w:val="13"/>
                <w:szCs w:val="13"/>
                <w:color w:val="auto"/>
              </w:rPr>
              <w:t>14,956</w:t>
            </w:r>
          </w:p>
        </w:tc>
        <w:tc>
          <w:tcPr>
            <w:tcW w:w="2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3"/>
              <w:spacing w:after="0"/>
              <w:rPr>
                <w:sz w:val="20"/>
                <w:szCs w:val="20"/>
                <w:color w:val="auto"/>
              </w:rPr>
            </w:pPr>
            <w:r>
              <w:rPr>
                <w:rFonts w:ascii="Arial" w:cs="Arial" w:eastAsia="Arial" w:hAnsi="Arial"/>
                <w:sz w:val="13"/>
                <w:szCs w:val="13"/>
                <w:color w:val="auto"/>
              </w:rPr>
              <w:t>9,625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ind w:right="117"/>
              <w:spacing w:after="0"/>
              <w:rPr>
                <w:sz w:val="20"/>
                <w:szCs w:val="20"/>
                <w:color w:val="auto"/>
              </w:rPr>
            </w:pPr>
            <w:r>
              <w:rPr>
                <w:rFonts w:ascii="Arial" w:cs="Arial" w:eastAsia="Arial" w:hAnsi="Arial"/>
                <w:sz w:val="13"/>
                <w:szCs w:val="13"/>
                <w:color w:val="auto"/>
              </w:rPr>
              <w:t>416</w:t>
            </w:r>
          </w:p>
        </w:tc>
        <w:tc>
          <w:tcPr>
            <w:tcW w:w="11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97"/>
        </w:trPr>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40" w:type="dxa"/>
            <w:vAlign w:val="bottom"/>
            <w:vMerge w:val="continue"/>
            <w:shd w:val="clear" w:color="auto" w:fill="CCEEFF"/>
          </w:tcPr>
          <w:p>
            <w:pPr>
              <w:spacing w:after="0"/>
              <w:rPr>
                <w:sz w:val="8"/>
                <w:szCs w:val="8"/>
                <w:color w:val="auto"/>
              </w:rPr>
            </w:pPr>
          </w:p>
        </w:tc>
        <w:tc>
          <w:tcPr>
            <w:tcW w:w="11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160" w:type="dxa"/>
            <w:vAlign w:val="bottom"/>
          </w:tcPr>
          <w:p>
            <w:pPr>
              <w:ind w:left="40"/>
              <w:spacing w:after="0"/>
              <w:rPr>
                <w:sz w:val="20"/>
                <w:szCs w:val="20"/>
                <w:color w:val="auto"/>
              </w:rPr>
            </w:pPr>
            <w:r>
              <w:rPr>
                <w:rFonts w:ascii="Arial" w:cs="Arial" w:eastAsia="Arial" w:hAnsi="Arial"/>
                <w:sz w:val="13"/>
                <w:szCs w:val="13"/>
                <w:color w:val="auto"/>
              </w:rPr>
              <w:t>2016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vMerge w:val="restart"/>
          </w:tcPr>
          <w:p>
            <w:pPr>
              <w:jc w:val="right"/>
              <w:ind w:right="43"/>
              <w:spacing w:after="0"/>
              <w:rPr>
                <w:sz w:val="20"/>
                <w:szCs w:val="20"/>
                <w:color w:val="auto"/>
              </w:rPr>
            </w:pPr>
            <w:r>
              <w:rPr>
                <w:rFonts w:ascii="Arial" w:cs="Arial" w:eastAsia="Arial" w:hAnsi="Arial"/>
                <w:sz w:val="13"/>
                <w:szCs w:val="13"/>
                <w:color w:val="auto"/>
              </w:rPr>
              <w:t>21,889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vMerge w:val="restart"/>
          </w:tcPr>
          <w:p>
            <w:pPr>
              <w:jc w:val="right"/>
              <w:ind w:right="117"/>
              <w:spacing w:after="0"/>
              <w:rPr>
                <w:sz w:val="20"/>
                <w:szCs w:val="20"/>
                <w:color w:val="auto"/>
              </w:rPr>
            </w:pPr>
            <w:r>
              <w:rPr>
                <w:rFonts w:ascii="Arial" w:cs="Arial" w:eastAsia="Arial" w:hAnsi="Arial"/>
                <w:sz w:val="13"/>
                <w:szCs w:val="13"/>
                <w:color w:val="auto"/>
              </w:rPr>
              <w:t>1,434</w:t>
            </w:r>
          </w:p>
        </w:tc>
        <w:tc>
          <w:tcPr>
            <w:tcW w:w="1180" w:type="dxa"/>
            <w:vAlign w:val="bottom"/>
            <w:vMerge w:val="restart"/>
          </w:tcPr>
          <w:p>
            <w:pPr>
              <w:jc w:val="right"/>
              <w:ind w:right="37"/>
              <w:spacing w:after="0"/>
              <w:rPr>
                <w:sz w:val="20"/>
                <w:szCs w:val="20"/>
                <w:color w:val="auto"/>
              </w:rPr>
            </w:pPr>
            <w:r>
              <w:rPr>
                <w:rFonts w:ascii="Arial" w:cs="Arial" w:eastAsia="Arial" w:hAnsi="Arial"/>
                <w:sz w:val="13"/>
                <w:szCs w:val="13"/>
                <w:color w:val="auto"/>
              </w:rPr>
              <w:t>1,559</w:t>
            </w:r>
          </w:p>
        </w:tc>
        <w:tc>
          <w:tcPr>
            <w:tcW w:w="0" w:type="dxa"/>
            <w:vAlign w:val="bottom"/>
          </w:tcPr>
          <w:p>
            <w:pPr>
              <w:spacing w:after="0"/>
              <w:rPr>
                <w:sz w:val="1"/>
                <w:szCs w:val="1"/>
                <w:color w:val="auto"/>
              </w:rPr>
            </w:pPr>
          </w:p>
        </w:tc>
      </w:tr>
      <w:tr>
        <w:trPr>
          <w:trHeight w:val="91"/>
        </w:trPr>
        <w:tc>
          <w:tcPr>
            <w:tcW w:w="116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1040" w:type="dxa"/>
            <w:vAlign w:val="bottom"/>
            <w:tcBorders>
              <w:bottom w:val="single" w:sz="8" w:color="CCEEFF"/>
            </w:tcBorders>
          </w:tcPr>
          <w:p>
            <w:pPr>
              <w:spacing w:after="0"/>
              <w:rPr>
                <w:sz w:val="7"/>
                <w:szCs w:val="7"/>
                <w:color w:val="auto"/>
              </w:rPr>
            </w:pPr>
          </w:p>
        </w:tc>
        <w:tc>
          <w:tcPr>
            <w:tcW w:w="1060" w:type="dxa"/>
            <w:vAlign w:val="bottom"/>
            <w:tcBorders>
              <w:bottom w:val="single" w:sz="8" w:color="CCEEFF"/>
            </w:tcBorders>
          </w:tcPr>
          <w:p>
            <w:pPr>
              <w:spacing w:after="0"/>
              <w:rPr>
                <w:sz w:val="7"/>
                <w:szCs w:val="7"/>
                <w:color w:val="auto"/>
              </w:rPr>
            </w:pPr>
          </w:p>
        </w:tc>
        <w:tc>
          <w:tcPr>
            <w:tcW w:w="1060" w:type="dxa"/>
            <w:vAlign w:val="bottom"/>
            <w:tcBorders>
              <w:bottom w:val="single" w:sz="8" w:color="CCEEFF"/>
            </w:tcBorders>
          </w:tcPr>
          <w:p>
            <w:pPr>
              <w:spacing w:after="0"/>
              <w:rPr>
                <w:sz w:val="7"/>
                <w:szCs w:val="7"/>
                <w:color w:val="auto"/>
              </w:rPr>
            </w:pPr>
          </w:p>
        </w:tc>
        <w:tc>
          <w:tcPr>
            <w:tcW w:w="1040" w:type="dxa"/>
            <w:vAlign w:val="bottom"/>
            <w:tcBorders>
              <w:bottom w:val="single" w:sz="8" w:color="CCEEFF"/>
            </w:tcBorders>
          </w:tcPr>
          <w:p>
            <w:pPr>
              <w:spacing w:after="0"/>
              <w:rPr>
                <w:sz w:val="7"/>
                <w:szCs w:val="7"/>
                <w:color w:val="auto"/>
              </w:rPr>
            </w:pPr>
          </w:p>
        </w:tc>
        <w:tc>
          <w:tcPr>
            <w:tcW w:w="1000" w:type="dxa"/>
            <w:vAlign w:val="bottom"/>
            <w:tcBorders>
              <w:bottom w:val="single" w:sz="8" w:color="CCEEFF"/>
            </w:tcBorders>
          </w:tcPr>
          <w:p>
            <w:pPr>
              <w:spacing w:after="0"/>
              <w:rPr>
                <w:sz w:val="7"/>
                <w:szCs w:val="7"/>
                <w:color w:val="auto"/>
              </w:rPr>
            </w:pPr>
          </w:p>
        </w:tc>
        <w:tc>
          <w:tcPr>
            <w:tcW w:w="86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640" w:type="dxa"/>
            <w:vAlign w:val="bottom"/>
            <w:tcBorders>
              <w:bottom w:val="single" w:sz="8" w:color="CCEEFF"/>
            </w:tcBorders>
            <w:vMerge w:val="continue"/>
          </w:tcPr>
          <w:p>
            <w:pPr>
              <w:spacing w:after="0"/>
              <w:rPr>
                <w:sz w:val="7"/>
                <w:szCs w:val="7"/>
                <w:color w:val="auto"/>
              </w:rPr>
            </w:pPr>
          </w:p>
        </w:tc>
        <w:tc>
          <w:tcPr>
            <w:tcW w:w="1180" w:type="dxa"/>
            <w:vAlign w:val="bottom"/>
            <w:tcBorders>
              <w:bottom w:val="single" w:sz="8" w:color="CCEEF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12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ind w:right="43"/>
              <w:spacing w:after="0"/>
              <w:rPr>
                <w:sz w:val="20"/>
                <w:szCs w:val="20"/>
                <w:color w:val="auto"/>
              </w:rPr>
            </w:pPr>
            <w:r>
              <w:rPr>
                <w:rFonts w:ascii="Arial" w:cs="Arial" w:eastAsia="Arial" w:hAnsi="Arial"/>
                <w:sz w:val="13"/>
                <w:szCs w:val="13"/>
                <w:color w:val="auto"/>
              </w:rPr>
              <w:t>37,582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80" w:type="dxa"/>
            <w:vAlign w:val="bottom"/>
            <w:gridSpan w:val="2"/>
            <w:vMerge w:val="continue"/>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114" w:lineRule="exact"/>
        <w:rPr>
          <w:sz w:val="20"/>
          <w:szCs w:val="20"/>
          <w:color w:val="auto"/>
        </w:rPr>
      </w:pPr>
    </w:p>
    <w:p>
      <w:pPr>
        <w:ind w:left="220" w:hanging="185"/>
        <w:spacing w:after="0"/>
        <w:tabs>
          <w:tab w:leader="none" w:pos="220" w:val="left"/>
        </w:tabs>
        <w:numPr>
          <w:ilvl w:val="0"/>
          <w:numId w:val="52"/>
        </w:numPr>
        <w:rPr>
          <w:rFonts w:ascii="Arial" w:cs="Arial" w:eastAsia="Arial" w:hAnsi="Arial"/>
          <w:sz w:val="13"/>
          <w:szCs w:val="13"/>
          <w:b w:val="1"/>
          <w:bCs w:val="1"/>
          <w:color w:val="auto"/>
        </w:rPr>
      </w:pPr>
      <w:r>
        <w:rPr>
          <w:rFonts w:ascii="Arial" w:cs="Arial" w:eastAsia="Arial" w:hAnsi="Arial"/>
          <w:sz w:val="13"/>
          <w:szCs w:val="13"/>
          <w:color w:val="auto"/>
        </w:rPr>
        <w:t>Cumulative number of reported defaults includes cumulative paid claims plus loans in default by accident year as of December 31, 2016.</w:t>
      </w:r>
    </w:p>
    <w:p>
      <w:pPr>
        <w:sectPr>
          <w:pgSz w:w="11900" w:h="16838" w:orient="portrait"/>
          <w:cols w:equalWidth="0" w:num="1">
            <w:col w:w="11420"/>
          </w:cols>
          <w:pgMar w:left="240" w:top="337" w:right="2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337" w:right="239" w:bottom="1440"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 following table summarizes cumulative paid losses and allocated loss adjustment expenses, net of reinsurance. The information about paid loss development for the years ended December 31, 2010 through 2015 is presented as supplementary information.</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80" w:type="dxa"/>
            <w:vAlign w:val="bottom"/>
            <w:gridSpan w:val="3"/>
          </w:tcPr>
          <w:p>
            <w:pPr>
              <w:jc w:val="center"/>
              <w:ind w:right="350"/>
              <w:spacing w:after="0"/>
              <w:rPr>
                <w:sz w:val="20"/>
                <w:szCs w:val="20"/>
                <w:color w:val="auto"/>
              </w:rPr>
            </w:pPr>
            <w:r>
              <w:rPr>
                <w:rFonts w:ascii="Arial" w:cs="Arial" w:eastAsia="Arial" w:hAnsi="Arial"/>
                <w:sz w:val="18"/>
                <w:szCs w:val="18"/>
                <w:b w:val="1"/>
                <w:bCs w:val="1"/>
                <w:color w:val="auto"/>
                <w:w w:val="90"/>
              </w:rPr>
              <w:t>Cumulative Paid Losses and Allocated LAE</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5"/>
        </w:trPr>
        <w:tc>
          <w:tcPr>
            <w:tcW w:w="1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4080" w:type="dxa"/>
            <w:vAlign w:val="bottom"/>
            <w:tcBorders>
              <w:bottom w:val="single" w:sz="8" w:color="auto"/>
            </w:tcBorders>
            <w:gridSpan w:val="3"/>
          </w:tcPr>
          <w:p>
            <w:pPr>
              <w:jc w:val="center"/>
              <w:ind w:right="350"/>
              <w:spacing w:after="0"/>
              <w:rPr>
                <w:sz w:val="20"/>
                <w:szCs w:val="20"/>
                <w:color w:val="auto"/>
              </w:rPr>
            </w:pPr>
            <w:r>
              <w:rPr>
                <w:rFonts w:ascii="Arial" w:cs="Arial" w:eastAsia="Arial" w:hAnsi="Arial"/>
                <w:sz w:val="18"/>
                <w:szCs w:val="18"/>
                <w:b w:val="1"/>
                <w:bCs w:val="1"/>
                <w:color w:val="auto"/>
                <w:w w:val="90"/>
              </w:rPr>
              <w:t>For the Years Ended December 31,</w:t>
            </w:r>
          </w:p>
        </w:tc>
        <w:tc>
          <w:tcPr>
            <w:tcW w:w="12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r>
      <w:tr>
        <w:trPr>
          <w:trHeight w:val="224"/>
        </w:trPr>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2010</w:t>
            </w:r>
          </w:p>
        </w:tc>
        <w:tc>
          <w:tcPr>
            <w:tcW w:w="1360" w:type="dxa"/>
            <w:vAlign w:val="bottom"/>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1360" w:type="dxa"/>
            <w:vAlign w:val="bottom"/>
          </w:tcPr>
          <w:p>
            <w:pPr>
              <w:jc w:val="right"/>
              <w:ind w:right="630"/>
              <w:spacing w:after="0"/>
              <w:rPr>
                <w:sz w:val="20"/>
                <w:szCs w:val="20"/>
                <w:color w:val="auto"/>
              </w:rPr>
            </w:pPr>
            <w:r>
              <w:rPr>
                <w:rFonts w:ascii="Arial" w:cs="Arial" w:eastAsia="Arial" w:hAnsi="Arial"/>
                <w:sz w:val="18"/>
                <w:szCs w:val="18"/>
                <w:b w:val="1"/>
                <w:bCs w:val="1"/>
                <w:color w:val="auto"/>
              </w:rPr>
              <w:t>2012</w:t>
            </w:r>
          </w:p>
        </w:tc>
        <w:tc>
          <w:tcPr>
            <w:tcW w:w="1360" w:type="dxa"/>
            <w:vAlign w:val="bottom"/>
          </w:tcPr>
          <w:p>
            <w:pPr>
              <w:jc w:val="center"/>
              <w:ind w:right="350"/>
              <w:spacing w:after="0"/>
              <w:rPr>
                <w:sz w:val="20"/>
                <w:szCs w:val="20"/>
                <w:color w:val="auto"/>
              </w:rPr>
            </w:pPr>
            <w:r>
              <w:rPr>
                <w:rFonts w:ascii="Arial" w:cs="Arial" w:eastAsia="Arial" w:hAnsi="Arial"/>
                <w:sz w:val="18"/>
                <w:szCs w:val="18"/>
                <w:b w:val="1"/>
                <w:bCs w:val="1"/>
                <w:color w:val="auto"/>
                <w:w w:val="89"/>
              </w:rPr>
              <w:t>2013</w:t>
            </w:r>
          </w:p>
        </w:tc>
        <w:tc>
          <w:tcPr>
            <w:tcW w:w="1360" w:type="dxa"/>
            <w:vAlign w:val="bottom"/>
          </w:tcPr>
          <w:p>
            <w:pPr>
              <w:jc w:val="right"/>
              <w:ind w:right="630"/>
              <w:spacing w:after="0"/>
              <w:rPr>
                <w:sz w:val="20"/>
                <w:szCs w:val="20"/>
                <w:color w:val="auto"/>
              </w:rPr>
            </w:pPr>
            <w:r>
              <w:rPr>
                <w:rFonts w:ascii="Arial" w:cs="Arial" w:eastAsia="Arial" w:hAnsi="Arial"/>
                <w:sz w:val="18"/>
                <w:szCs w:val="18"/>
                <w:b w:val="1"/>
                <w:bCs w:val="1"/>
                <w:color w:val="auto"/>
              </w:rPr>
              <w:t>2014</w:t>
            </w: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4"/>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Accident Year</w:t>
            </w:r>
          </w:p>
        </w:tc>
        <w:tc>
          <w:tcPr>
            <w:tcW w:w="180" w:type="dxa"/>
            <w:vAlign w:val="bottom"/>
          </w:tcPr>
          <w:p>
            <w:pPr>
              <w:spacing w:after="0"/>
              <w:rPr>
                <w:sz w:val="20"/>
                <w:szCs w:val="20"/>
                <w:color w:val="auto"/>
              </w:rPr>
            </w:pPr>
          </w:p>
        </w:tc>
        <w:tc>
          <w:tcPr>
            <w:tcW w:w="1380" w:type="dxa"/>
            <w:vAlign w:val="bottom"/>
          </w:tcPr>
          <w:p>
            <w:pPr>
              <w:jc w:val="center"/>
              <w:ind w:right="370"/>
              <w:spacing w:after="0"/>
              <w:rPr>
                <w:sz w:val="20"/>
                <w:szCs w:val="20"/>
                <w:color w:val="auto"/>
              </w:rPr>
            </w:pPr>
            <w:r>
              <w:rPr>
                <w:rFonts w:ascii="Arial" w:cs="Arial" w:eastAsia="Arial" w:hAnsi="Arial"/>
                <w:sz w:val="18"/>
                <w:szCs w:val="18"/>
                <w:b w:val="1"/>
                <w:bCs w:val="1"/>
                <w:color w:val="auto"/>
                <w:w w:val="90"/>
              </w:rPr>
              <w:t>Unaudited</w:t>
            </w:r>
          </w:p>
        </w:tc>
        <w:tc>
          <w:tcPr>
            <w:tcW w:w="1360" w:type="dxa"/>
            <w:vAlign w:val="bottom"/>
          </w:tcPr>
          <w:p>
            <w:pPr>
              <w:jc w:val="center"/>
              <w:ind w:right="370"/>
              <w:spacing w:after="0"/>
              <w:rPr>
                <w:sz w:val="20"/>
                <w:szCs w:val="20"/>
                <w:color w:val="auto"/>
              </w:rPr>
            </w:pPr>
            <w:r>
              <w:rPr>
                <w:rFonts w:ascii="Arial" w:cs="Arial" w:eastAsia="Arial" w:hAnsi="Arial"/>
                <w:sz w:val="18"/>
                <w:szCs w:val="18"/>
                <w:b w:val="1"/>
                <w:bCs w:val="1"/>
                <w:color w:val="auto"/>
                <w:w w:val="93"/>
              </w:rPr>
              <w:t>Unaudited</w:t>
            </w:r>
          </w:p>
        </w:tc>
        <w:tc>
          <w:tcPr>
            <w:tcW w:w="1360" w:type="dxa"/>
            <w:vAlign w:val="bottom"/>
          </w:tcPr>
          <w:p>
            <w:pPr>
              <w:jc w:val="center"/>
              <w:ind w:right="350"/>
              <w:spacing w:after="0"/>
              <w:rPr>
                <w:sz w:val="20"/>
                <w:szCs w:val="20"/>
                <w:color w:val="auto"/>
              </w:rPr>
            </w:pPr>
            <w:r>
              <w:rPr>
                <w:rFonts w:ascii="Arial" w:cs="Arial" w:eastAsia="Arial" w:hAnsi="Arial"/>
                <w:sz w:val="18"/>
                <w:szCs w:val="18"/>
                <w:b w:val="1"/>
                <w:bCs w:val="1"/>
                <w:color w:val="auto"/>
                <w:w w:val="90"/>
              </w:rPr>
              <w:t>Unaudited</w:t>
            </w:r>
          </w:p>
        </w:tc>
        <w:tc>
          <w:tcPr>
            <w:tcW w:w="1360" w:type="dxa"/>
            <w:vAlign w:val="bottom"/>
          </w:tcPr>
          <w:p>
            <w:pPr>
              <w:jc w:val="center"/>
              <w:ind w:right="350"/>
              <w:spacing w:after="0"/>
              <w:rPr>
                <w:sz w:val="20"/>
                <w:szCs w:val="20"/>
                <w:color w:val="auto"/>
              </w:rPr>
            </w:pPr>
            <w:r>
              <w:rPr>
                <w:rFonts w:ascii="Arial" w:cs="Arial" w:eastAsia="Arial" w:hAnsi="Arial"/>
                <w:sz w:val="18"/>
                <w:szCs w:val="18"/>
                <w:b w:val="1"/>
                <w:bCs w:val="1"/>
                <w:color w:val="auto"/>
                <w:w w:val="90"/>
              </w:rPr>
              <w:t>Unaudited</w:t>
            </w: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w w:val="95"/>
              </w:rPr>
              <w:t>Unaudited</w:t>
            </w:r>
          </w:p>
        </w:tc>
        <w:tc>
          <w:tcPr>
            <w:tcW w:w="120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Unaudited</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1840" w:type="dxa"/>
            <w:vAlign w:val="bottom"/>
          </w:tcPr>
          <w:p>
            <w:pPr>
              <w:ind w:left="4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ind w:left="800"/>
              <w:spacing w:after="0"/>
              <w:rPr>
                <w:sz w:val="20"/>
                <w:szCs w:val="20"/>
                <w:color w:val="auto"/>
              </w:rPr>
            </w:pPr>
            <w:r>
              <w:rPr>
                <w:rFonts w:ascii="Arial" w:cs="Arial" w:eastAsia="Arial" w:hAnsi="Arial"/>
                <w:sz w:val="18"/>
                <w:szCs w:val="18"/>
                <w:color w:val="auto"/>
              </w:rPr>
              <w:t>—   $</w:t>
            </w:r>
          </w:p>
        </w:tc>
        <w:tc>
          <w:tcPr>
            <w:tcW w:w="1360" w:type="dxa"/>
            <w:vAlign w:val="bottom"/>
          </w:tcPr>
          <w:p>
            <w:pPr>
              <w:ind w:left="800"/>
              <w:spacing w:after="0"/>
              <w:rPr>
                <w:sz w:val="20"/>
                <w:szCs w:val="20"/>
                <w:color w:val="auto"/>
              </w:rPr>
            </w:pPr>
            <w:r>
              <w:rPr>
                <w:rFonts w:ascii="Arial" w:cs="Arial" w:eastAsia="Arial" w:hAnsi="Arial"/>
                <w:sz w:val="18"/>
                <w:szCs w:val="18"/>
                <w:color w:val="auto"/>
              </w:rPr>
              <w:t>—   $</w:t>
            </w:r>
          </w:p>
        </w:tc>
        <w:tc>
          <w:tcPr>
            <w:tcW w:w="1360" w:type="dxa"/>
            <w:vAlign w:val="bottom"/>
          </w:tcPr>
          <w:p>
            <w:pPr>
              <w:ind w:left="800"/>
              <w:spacing w:after="0"/>
              <w:rPr>
                <w:sz w:val="20"/>
                <w:szCs w:val="20"/>
                <w:color w:val="auto"/>
              </w:rPr>
            </w:pPr>
            <w:r>
              <w:rPr>
                <w:rFonts w:ascii="Arial" w:cs="Arial" w:eastAsia="Arial" w:hAnsi="Arial"/>
                <w:sz w:val="18"/>
                <w:szCs w:val="18"/>
                <w:color w:val="auto"/>
              </w:rPr>
              <w:t>—   $</w:t>
            </w:r>
          </w:p>
        </w:tc>
        <w:tc>
          <w:tcPr>
            <w:tcW w:w="1360" w:type="dxa"/>
            <w:vAlign w:val="bottom"/>
          </w:tcPr>
          <w:p>
            <w:pPr>
              <w:jc w:val="right"/>
              <w:spacing w:after="0"/>
              <w:rPr>
                <w:sz w:val="20"/>
                <w:szCs w:val="20"/>
                <w:color w:val="auto"/>
              </w:rPr>
            </w:pPr>
            <w:r>
              <w:rPr>
                <w:rFonts w:ascii="Arial" w:cs="Arial" w:eastAsia="Arial" w:hAnsi="Arial"/>
                <w:sz w:val="18"/>
                <w:szCs w:val="18"/>
                <w:color w:val="auto"/>
              </w:rPr>
              <w:t>—   $</w:t>
            </w:r>
          </w:p>
        </w:tc>
        <w:tc>
          <w:tcPr>
            <w:tcW w:w="1360" w:type="dxa"/>
            <w:vAlign w:val="bottom"/>
          </w:tcPr>
          <w:p>
            <w:pPr>
              <w:jc w:val="right"/>
              <w:spacing w:after="0"/>
              <w:rPr>
                <w:sz w:val="20"/>
                <w:szCs w:val="20"/>
                <w:color w:val="auto"/>
              </w:rPr>
            </w:pPr>
            <w:r>
              <w:rPr>
                <w:rFonts w:ascii="Arial" w:cs="Arial" w:eastAsia="Arial" w:hAnsi="Arial"/>
                <w:sz w:val="18"/>
                <w:szCs w:val="18"/>
                <w:color w:val="auto"/>
              </w:rPr>
              <w:t>—   $</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360" w:type="dxa"/>
            <w:vAlign w:val="bottom"/>
          </w:tcPr>
          <w:p>
            <w:pPr>
              <w:ind w:left="800"/>
              <w:spacing w:after="0"/>
              <w:rPr>
                <w:sz w:val="20"/>
                <w:szCs w:val="20"/>
                <w:color w:val="auto"/>
              </w:rPr>
            </w:pPr>
            <w:r>
              <w:rPr>
                <w:rFonts w:ascii="Arial" w:cs="Arial" w:eastAsia="Arial" w:hAnsi="Arial"/>
                <w:sz w:val="18"/>
                <w:szCs w:val="18"/>
                <w:color w:val="auto"/>
              </w:rPr>
              <w:t>24</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535</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659</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665</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665</w:t>
            </w:r>
          </w:p>
        </w:tc>
      </w:tr>
      <w:tr>
        <w:trPr>
          <w:trHeight w:val="27"/>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239</w:t>
            </w:r>
          </w:p>
        </w:tc>
        <w:tc>
          <w:tcPr>
            <w:tcW w:w="13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928</w:t>
            </w: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1,501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1,775</w:t>
            </w: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138</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1,587</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2,463</w:t>
            </w:r>
          </w:p>
        </w:tc>
      </w:tr>
      <w:tr>
        <w:trPr>
          <w:trHeight w:val="27"/>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544</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3,610</w:t>
            </w: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927</w:t>
            </w:r>
          </w:p>
        </w:tc>
      </w:tr>
      <w:tr>
        <w:trPr>
          <w:trHeight w:val="27"/>
        </w:trPr>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9,440</w:t>
            </w:r>
          </w:p>
        </w:tc>
      </w:tr>
      <w:tr>
        <w:trPr>
          <w:trHeight w:val="243"/>
        </w:trPr>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280" w:type="dxa"/>
            <w:vAlign w:val="bottom"/>
            <w:gridSpan w:val="4"/>
          </w:tcPr>
          <w:p>
            <w:pPr>
              <w:jc w:val="right"/>
              <w:ind w:right="130"/>
              <w:spacing w:after="0"/>
              <w:rPr>
                <w:sz w:val="20"/>
                <w:szCs w:val="20"/>
                <w:color w:val="auto"/>
              </w:rPr>
            </w:pPr>
            <w:r>
              <w:rPr>
                <w:rFonts w:ascii="Arial" w:cs="Arial" w:eastAsia="Arial" w:hAnsi="Arial"/>
                <w:sz w:val="18"/>
                <w:szCs w:val="18"/>
                <w:color w:val="auto"/>
              </w:rPr>
              <w:t>All outstanding liabilities before 2010, net of reinsurance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92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1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39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w w:val="97"/>
              </w:rPr>
              <w:t>Reserve for losses and LAE, net of reinsurance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28,142</w:t>
            </w:r>
          </w:p>
        </w:tc>
      </w:tr>
      <w:tr>
        <w:trPr>
          <w:trHeight w:val="27"/>
        </w:trPr>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our mortgage insurance portfolio, our average annual payout of losses as of December 31, 2016 is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Annual Percentage Payout of Incurred Losses and Allocated LAE by Year</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67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w:t>
            </w:r>
          </w:p>
        </w:tc>
        <w:tc>
          <w:tcPr>
            <w:tcW w:w="84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auto"/>
              <w:bottom w:val="single" w:sz="8" w:color="CCEEFF"/>
            </w:tcBorders>
            <w:shd w:val="clear" w:color="auto" w:fill="CCEEFF"/>
          </w:tcPr>
          <w:p>
            <w:pPr>
              <w:spacing w:after="0"/>
              <w:rPr>
                <w:sz w:val="24"/>
                <w:szCs w:val="24"/>
                <w:color w:val="auto"/>
              </w:rPr>
            </w:pPr>
          </w:p>
        </w:tc>
        <w:tc>
          <w:tcPr>
            <w:tcW w:w="84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auto"/>
              <w:bottom w:val="single" w:sz="8" w:color="CCEEFF"/>
            </w:tcBorders>
            <w:shd w:val="clear" w:color="auto" w:fill="CCEEFF"/>
          </w:tcPr>
          <w:p>
            <w:pPr>
              <w:spacing w:after="0"/>
              <w:rPr>
                <w:sz w:val="24"/>
                <w:szCs w:val="24"/>
                <w:color w:val="auto"/>
              </w:rPr>
            </w:pPr>
          </w:p>
        </w:tc>
        <w:tc>
          <w:tcPr>
            <w:tcW w:w="84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auto"/>
              <w:bottom w:val="single" w:sz="8" w:color="CCEEFF"/>
            </w:tcBorders>
            <w:shd w:val="clear" w:color="auto" w:fill="CCEEFF"/>
          </w:tcPr>
          <w:p>
            <w:pPr>
              <w:spacing w:after="0"/>
              <w:rPr>
                <w:sz w:val="24"/>
                <w:szCs w:val="24"/>
                <w:color w:val="auto"/>
              </w:rPr>
            </w:pPr>
          </w:p>
        </w:tc>
        <w:tc>
          <w:tcPr>
            <w:tcW w:w="84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86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w:t>
            </w:r>
          </w:p>
        </w:tc>
      </w:tr>
      <w:tr>
        <w:trPr>
          <w:trHeight w:val="277"/>
        </w:trPr>
        <w:tc>
          <w:tcPr>
            <w:tcW w:w="674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Payout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7"/>
        </w:trPr>
        <w:tc>
          <w:tcPr>
            <w:tcW w:w="67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On April 19, 2016, Essent Group and its subsidiaries, Essent Irish Intermediate Holdings Limited and Essent US Holdings, Inc. (collectively, the "Borrowers"), entered into a three-year, secured revolving credit facility with a committed capacity of $200 million (the “Facility”). Borrowings under the Facility may be used for working capital and general corporate purposes, including, without limitation, capital contributions to Essent’s insurance and reinsurance subsidiaries. Borrowings will accrue interest at a floating rate tied to a standard short-term borrowing index, selected at the Company’s option, plus an applicable margin. A commitment fee is due quarterly on the average daily amount of the undrawn revolving commitment. The applicable margin and the commitment fee are based on the senior unsecured debt rating or long-term issuer rating of Essent Group to the extent available, or the insurer financial strength rating of Essent Guaranty. The current annual commitment fee rate is 0.35%. The obligations under the Facility are secured by certain assets of the Borrowers, excluding the stock and assets of its insurance and reinsurance subsidiaries. The Facility contains several covenants, including financial covenants relating to minimum net worth, capital and liquidity levels, maximum debt to capitalization level and Essent Guaranty's compliance with the PMIERs (see Note 17). This description is not intended to be complete in all respects and is qualified in its entirety by the terms of the Facility, including its covenants. As of December 31, 2016, the Company was in compliance with the covenants and $100 million had been borrowed under the Facility with a weighted average interest rate of 2.73%.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337" w:right="23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under Guarantees</w:t>
      </w:r>
    </w:p>
    <w:p>
      <w:pPr>
        <w:spacing w:after="0" w:line="229"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Under the terms of CUW Solutions' contract underwriting agreements with lenders and subject to contractual limitations on liability, we agree to indemnify certain lenders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 the loan. The indemnification may be in the form of monetary or other remedies. For the years ended December 31, 2016 and 2015, we paid $129,669 and $25,829, respectively, related to remedies. As of December 31, 2016, management believes any potential claims for indemnification related to contract underwriting services through December 31, 2016 are not material to our consolidated financial position or results of operations.</w:t>
      </w:r>
    </w:p>
    <w:p>
      <w:pPr>
        <w:spacing w:after="0" w:line="165"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December 31, 2016,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consolidated balance sheets related to these indemnifications.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lease office space for use in our operations under leases accounted for as operating leases. Total rent expense was $1.9 million, $1.9 million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$1.6 million for the years ended December 31, 2016, 2015 and 2014, respectively. The future minimum lease payments of non-cancelable operating leases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follows at December 31, 2016:</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6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 31 (In thousands)</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2480" w:type="dxa"/>
            <w:vAlign w:val="bottom"/>
            <w:tcBorders>
              <w:top w:val="single" w:sz="8" w:color="auto"/>
            </w:tcBorders>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7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2,356</w:t>
            </w:r>
          </w:p>
        </w:tc>
      </w:tr>
      <w:tr>
        <w:trPr>
          <w:trHeight w:val="243"/>
        </w:trPr>
        <w:tc>
          <w:tcPr>
            <w:tcW w:w="2520" w:type="dxa"/>
            <w:vAlign w:val="bottom"/>
            <w:gridSpan w:val="2"/>
          </w:tcPr>
          <w:p>
            <w:pPr>
              <w:ind w:left="40"/>
              <w:spacing w:after="0"/>
              <w:rPr>
                <w:sz w:val="20"/>
                <w:szCs w:val="20"/>
                <w:color w:val="auto"/>
              </w:rPr>
            </w:pPr>
            <w:r>
              <w:rPr>
                <w:rFonts w:ascii="Arial" w:cs="Arial" w:eastAsia="Arial" w:hAnsi="Arial"/>
                <w:sz w:val="18"/>
                <w:szCs w:val="18"/>
                <w:color w:val="auto"/>
              </w:rPr>
              <w:t>2018</w:t>
            </w:r>
          </w:p>
        </w:tc>
        <w:tc>
          <w:tcPr>
            <w:tcW w:w="7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2,414</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7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2,468</w:t>
            </w:r>
          </w:p>
        </w:tc>
      </w:tr>
      <w:tr>
        <w:trPr>
          <w:trHeight w:val="243"/>
        </w:trPr>
        <w:tc>
          <w:tcPr>
            <w:tcW w:w="252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7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2,427</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7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2,483</w:t>
            </w:r>
          </w:p>
        </w:tc>
      </w:tr>
      <w:tr>
        <w:trPr>
          <w:trHeight w:val="243"/>
        </w:trPr>
        <w:tc>
          <w:tcPr>
            <w:tcW w:w="10160" w:type="dxa"/>
            <w:vAlign w:val="bottom"/>
            <w:gridSpan w:val="3"/>
          </w:tcPr>
          <w:p>
            <w:pPr>
              <w:ind w:left="40"/>
              <w:spacing w:after="0"/>
              <w:rPr>
                <w:sz w:val="20"/>
                <w:szCs w:val="20"/>
                <w:color w:val="auto"/>
              </w:rPr>
            </w:pPr>
            <w:r>
              <w:rPr>
                <w:rFonts w:ascii="Arial" w:cs="Arial" w:eastAsia="Arial" w:hAnsi="Arial"/>
                <w:sz w:val="18"/>
                <w:szCs w:val="18"/>
                <w:color w:val="auto"/>
              </w:rPr>
              <w:t>2022 and thereafter</w:t>
            </w: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6,881</w:t>
            </w:r>
          </w:p>
        </w:tc>
      </w:tr>
      <w:tr>
        <w:trPr>
          <w:trHeight w:val="27"/>
        </w:trPr>
        <w:tc>
          <w:tcPr>
            <w:tcW w:w="4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7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10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minimum payments required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19,029</w:t>
            </w:r>
          </w:p>
        </w:tc>
      </w:tr>
      <w:tr>
        <w:trPr>
          <w:trHeight w:val="20"/>
        </w:trPr>
        <w:tc>
          <w:tcPr>
            <w:tcW w:w="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Minimum lease payments shown above have not been reduced by minimum sublease rental income of $0.1 million due in 2017 under the non-cancelable sublease.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337" w:right="239" w:bottom="1440" w:gutter="0" w:footer="0" w:header="0"/>
        </w:sectPr>
      </w:pPr>
    </w:p>
    <w:bookmarkStart w:id="105" w:name="page106"/>
    <w:bookmarkEnd w:id="105"/>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Capital Stock</w:t>
      </w:r>
    </w:p>
    <w:p>
      <w:pPr>
        <w:spacing w:after="0" w:line="229"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Our authorized share capital consists of 233.3 million shares of a single class of common shares (the "Common Shares"). The Common Shares have no pre-emptive rights or other rights to subscribe for additional shares, and no rights of redemption, conversion or exchange. Under certain circumstances and subject to the provisions of Bermuda law and our bye-laws, we may be required to make an offer to repurchase shares held by members. The Common Shares rank pari passu with one another in all respects as to rights of payment and distribution. In general, holders of Common Shares will have one vote for each Common Share held by them and will be entitled to vote, on a non-cumulative basis, at all meetings of shareholders. In the event that a shareholder is considered a 9.5% Shareholder under our bye-laws, such shareholder's votes will be reduced by whatever amount is necessary so that after any such reduction the votes of such shareholder will not result in any other person being treated as a 9.5% Shareholder with respect to the vote on such matter. Under these provisions certain shareholders may have their voting rights limited to less than one vote per share, while other shareholders may have voting rights in excess of one vote per share.</w:t>
      </w:r>
    </w:p>
    <w:p>
      <w:pPr>
        <w:spacing w:after="0" w:line="182" w:lineRule="exact"/>
        <w:rPr>
          <w:sz w:val="20"/>
          <w:szCs w:val="20"/>
          <w:color w:val="auto"/>
        </w:rPr>
      </w:pPr>
    </w:p>
    <w:p>
      <w:pPr>
        <w:jc w:val="both"/>
        <w:ind w:right="460" w:firstLine="432"/>
        <w:spacing w:after="0" w:line="312" w:lineRule="auto"/>
        <w:rPr>
          <w:sz w:val="20"/>
          <w:szCs w:val="20"/>
          <w:color w:val="auto"/>
        </w:rPr>
      </w:pPr>
      <w:r>
        <w:rPr>
          <w:rFonts w:ascii="Arial" w:cs="Arial" w:eastAsia="Arial" w:hAnsi="Arial"/>
          <w:sz w:val="16"/>
          <w:szCs w:val="16"/>
          <w:color w:val="auto"/>
        </w:rPr>
        <w:t>In November 2014, Essent Group completed the sale of 6.0 million Common Shares in a public offering at a price of $22.25 per share and certain selling shareholders sold 7.8 million Common Shares. We did not receive any proceeds from the sale of shares by the selling shareholders. The total net proceeds from this offering were approximately $126.7 million after deducting underwriting discounts, commissions and other offering expenses.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229" w:lineRule="exact"/>
        <w:rPr>
          <w:sz w:val="20"/>
          <w:szCs w:val="20"/>
          <w:color w:val="auto"/>
        </w:rPr>
      </w:pPr>
    </w:p>
    <w:p>
      <w:pPr>
        <w:ind w:right="40" w:firstLine="432"/>
        <w:spacing w:after="0" w:line="284" w:lineRule="auto"/>
        <w:rPr>
          <w:sz w:val="20"/>
          <w:szCs w:val="20"/>
          <w:color w:val="auto"/>
        </w:rPr>
      </w:pPr>
      <w:r>
        <w:rPr>
          <w:rFonts w:ascii="Arial" w:cs="Arial" w:eastAsia="Arial" w:hAnsi="Arial"/>
          <w:sz w:val="16"/>
          <w:szCs w:val="16"/>
          <w:color w:val="auto"/>
        </w:rPr>
        <w:t>On February 6, 2009, Essent Group adopted the 2009 Restricted Share Plan. In connection with the IPO in 2013, Essent Group's Board of Directors amended and restated the 2009 Restricted Share Plan, effective immediately prior to the initial public offering. In addition, Essent Group's Board of Directors adopted, and Essent Group's shareholders approved, the Essent Group Ltd. 2013 Long-Term Incentive Plan (the "2013 Plan"), which was effective upon completion of the initial public offering. The types of awards available under the 2013 Plan include nonvested shares, nonvested share units, non-qualified share options, incentive stock options, share appreciation rights, and other share-based or cash-based awards. The 2013 Plan authorized a total of 14.7 million Common Shares, which will be increased on the first day of each of the Company's fiscal years beginning with fiscal year 2014, in an amount equal to the lesser of (i) 1.5 million Common Shares, (ii) 2% of the Company's outstanding Common Shares on the last day of the immediately preceding fiscal year, or</w:t>
      </w:r>
    </w:p>
    <w:p>
      <w:pPr>
        <w:spacing w:after="0" w:line="3" w:lineRule="exact"/>
        <w:rPr>
          <w:sz w:val="20"/>
          <w:szCs w:val="20"/>
          <w:color w:val="auto"/>
        </w:rPr>
      </w:pPr>
    </w:p>
    <w:p>
      <w:pPr>
        <w:ind w:right="260" w:firstLine="8"/>
        <w:spacing w:after="0" w:line="255" w:lineRule="auto"/>
        <w:tabs>
          <w:tab w:leader="none" w:pos="315"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such number of Common Shares as determined by the Company's Board of Directors. The maximum number of common shares that may be issued in respect of incentive share options is 14.7 million. As of December 31, 2016, there were 14.1 million Common Shares available for future grant under the 2013 Plan.</w:t>
      </w:r>
    </w:p>
    <w:p>
      <w:pPr>
        <w:spacing w:after="0" w:line="190"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In September 2013 and February 2014, certain members of senior management were granted nonvested Common Shares under the 2013 Plan that were subject to time-based and performance-based vesting. The time-based share awards granted in September 2013 vest in four equal installments on January 1, 2015, 2016, 2017 and 2018. The time-based share awards granted in February 2014 vest in three equal installments on March 1, 2015, 2016 and 2017. The performance-based share awards vest based upon our compounded annual book value per share growth percentage during a three-year performance period that commenced on January 1, 2014. The September 2013 performance-based share awards vest on the one-year anniversary of the completion of the performance period, and the February 2014 performance-based share awards vest on March 1, 2017.</w:t>
      </w:r>
    </w:p>
    <w:p>
      <w:pPr>
        <w:spacing w:after="0" w:line="165"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In February 2015, certain members of senior management were granted nonvested Common Shares under the 2013 Plan that were subject to time-based and performance-based vesting. The time-based share awards granted in February 2015 vest in three equal installments on March 1, 2016, 2017 and</w:t>
      </w:r>
    </w:p>
    <w:p>
      <w:pPr>
        <w:ind w:right="500"/>
        <w:spacing w:after="0" w:line="261" w:lineRule="auto"/>
        <w:rPr>
          <w:sz w:val="20"/>
          <w:szCs w:val="20"/>
          <w:color w:val="auto"/>
        </w:rPr>
      </w:pPr>
      <w:r>
        <w:rPr>
          <w:rFonts w:ascii="Arial" w:cs="Arial" w:eastAsia="Arial" w:hAnsi="Arial"/>
          <w:sz w:val="18"/>
          <w:szCs w:val="18"/>
          <w:color w:val="auto"/>
        </w:rPr>
        <w:t>2018. The performance-based share awards granted in February 2015 vest based upon our compounded annual book value per share growth percentage during a three-year performance period that commenced on January 1, 2015 and vest on March 1, 2018.</w:t>
      </w:r>
    </w:p>
    <w:p>
      <w:pPr>
        <w:spacing w:after="0" w:line="184"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In May 2015, nonvested Common Shares were granted to an employee in connection with an employment agreement that are subject to time-based and performance-based vesting. The time-based share award vests in four equal installments on July 1, 2016, 2017, 2018 and 2019. The performance-based share award vests based upon our compounded annual book value per share growth percentage during a three-year performance period that commenced on January 1, 2015 and vests on July 1, 2019.</w:t>
      </w:r>
    </w:p>
    <w:p>
      <w:pPr>
        <w:spacing w:after="0" w:line="187"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In February 2016, certain members of senior management were granted nonvested common shares under the 2013 Plan that are subject to time-based and performance-based vesting. The time-based share awards granted in February 2016 vest in three equal installments on March 1, 2017, 2018 and 2019. The performance-based share awards granted in February 2016 vest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337" w:right="25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based upon our compounded annual book value per share growth percentage during a three-year performance period that commenced on January 1, 2016 and vest on March 1, 2019.</w:t>
      </w:r>
    </w:p>
    <w:p>
      <w:pPr>
        <w:spacing w:after="0" w:line="17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portion of the nonvested performance-based share awards that will be earned based upon the achievement of compounded annual book value per share growth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80" w:type="dxa"/>
            <w:vAlign w:val="bottom"/>
            <w:tcBorders>
              <w:bottom w:val="single" w:sz="8" w:color="auto"/>
            </w:tcBorders>
            <w:gridSpan w:val="3"/>
          </w:tcPr>
          <w:p>
            <w:pPr>
              <w:jc w:val="right"/>
              <w:ind w:right="995"/>
              <w:spacing w:after="0"/>
              <w:rPr>
                <w:sz w:val="20"/>
                <w:szCs w:val="20"/>
                <w:color w:val="auto"/>
              </w:rPr>
            </w:pPr>
            <w:r>
              <w:rPr>
                <w:rFonts w:ascii="Arial" w:cs="Arial" w:eastAsia="Arial" w:hAnsi="Arial"/>
                <w:sz w:val="14"/>
                <w:szCs w:val="14"/>
                <w:b w:val="1"/>
                <w:bCs w:val="1"/>
                <w:color w:val="auto"/>
              </w:rPr>
              <w:t>2016 Performance-Based Grants</w:t>
            </w:r>
          </w:p>
        </w:tc>
        <w:tc>
          <w:tcPr>
            <w:tcW w:w="120" w:type="dxa"/>
            <w:vAlign w:val="bottom"/>
          </w:tcPr>
          <w:p>
            <w:pPr>
              <w:spacing w:after="0"/>
              <w:rPr>
                <w:sz w:val="16"/>
                <w:szCs w:val="16"/>
                <w:color w:val="auto"/>
              </w:rPr>
            </w:pPr>
          </w:p>
        </w:tc>
        <w:tc>
          <w:tcPr>
            <w:tcW w:w="418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b w:val="1"/>
                <w:bCs w:val="1"/>
                <w:color w:val="auto"/>
              </w:rPr>
              <w:t>2013, 2014 and 2015 Performance-Based Grants</w:t>
            </w:r>
          </w:p>
        </w:tc>
        <w:tc>
          <w:tcPr>
            <w:tcW w:w="0" w:type="dxa"/>
            <w:vAlign w:val="bottom"/>
          </w:tcPr>
          <w:p>
            <w:pPr>
              <w:spacing w:after="0"/>
              <w:rPr>
                <w:sz w:val="1"/>
                <w:szCs w:val="1"/>
                <w:color w:val="auto"/>
              </w:rPr>
            </w:pPr>
          </w:p>
        </w:tc>
      </w:tr>
      <w:tr>
        <w:trPr>
          <w:trHeight w:val="152"/>
        </w:trPr>
        <w:tc>
          <w:tcPr>
            <w:tcW w:w="2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Performance level</w:t>
            </w:r>
          </w:p>
        </w:tc>
        <w:tc>
          <w:tcPr>
            <w:tcW w:w="22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Compounded Annual Book Value</w:t>
            </w:r>
          </w:p>
        </w:tc>
        <w:tc>
          <w:tcPr>
            <w:tcW w:w="20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Nonvested Common</w:t>
            </w:r>
          </w:p>
        </w:tc>
        <w:tc>
          <w:tcPr>
            <w:tcW w:w="22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Compounded Annual Book Value</w:t>
            </w:r>
          </w:p>
        </w:tc>
        <w:tc>
          <w:tcPr>
            <w:tcW w:w="192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Nonvested Common</w:t>
            </w:r>
          </w:p>
        </w:tc>
        <w:tc>
          <w:tcPr>
            <w:tcW w:w="0" w:type="dxa"/>
            <w:vAlign w:val="bottom"/>
          </w:tcPr>
          <w:p>
            <w:pPr>
              <w:spacing w:after="0"/>
              <w:rPr>
                <w:sz w:val="1"/>
                <w:szCs w:val="1"/>
                <w:color w:val="auto"/>
              </w:rPr>
            </w:pPr>
          </w:p>
        </w:tc>
      </w:tr>
      <w:tr>
        <w:trPr>
          <w:trHeight w:val="192"/>
        </w:trPr>
        <w:tc>
          <w:tcPr>
            <w:tcW w:w="2940" w:type="dxa"/>
            <w:vAlign w:val="bottom"/>
            <w:gridSpan w:val="2"/>
            <w:vMerge w:val="continue"/>
          </w:tcPr>
          <w:p>
            <w:pPr>
              <w:spacing w:after="0"/>
              <w:rPr>
                <w:sz w:val="16"/>
                <w:szCs w:val="16"/>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Per Share Growth</w:t>
            </w: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Shares Earned</w:t>
            </w: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Per Share Growth</w:t>
            </w:r>
          </w:p>
        </w:tc>
        <w:tc>
          <w:tcPr>
            <w:tcW w:w="1920" w:type="dxa"/>
            <w:vAlign w:val="bottom"/>
          </w:tcPr>
          <w:p>
            <w:pPr>
              <w:jc w:val="right"/>
              <w:ind w:right="414"/>
              <w:spacing w:after="0"/>
              <w:rPr>
                <w:sz w:val="20"/>
                <w:szCs w:val="20"/>
                <w:color w:val="auto"/>
              </w:rPr>
            </w:pPr>
            <w:r>
              <w:rPr>
                <w:rFonts w:ascii="Arial" w:cs="Arial" w:eastAsia="Arial" w:hAnsi="Arial"/>
                <w:sz w:val="14"/>
                <w:szCs w:val="14"/>
                <w:b w:val="1"/>
                <w:bCs w:val="1"/>
                <w:color w:val="auto"/>
              </w:rPr>
              <w:t>Shares Earned</w:t>
            </w:r>
          </w:p>
        </w:tc>
        <w:tc>
          <w:tcPr>
            <w:tcW w:w="0" w:type="dxa"/>
            <w:vAlign w:val="bottom"/>
          </w:tcPr>
          <w:p>
            <w:pPr>
              <w:spacing w:after="0"/>
              <w:rPr>
                <w:sz w:val="1"/>
                <w:szCs w:val="1"/>
                <w:color w:val="auto"/>
              </w:rPr>
            </w:pPr>
          </w:p>
        </w:tc>
      </w:tr>
      <w:tr>
        <w:trPr>
          <w:trHeight w:val="243"/>
        </w:trPr>
        <w:tc>
          <w:tcPr>
            <w:tcW w:w="2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&lt;13%</w:t>
            </w:r>
          </w:p>
        </w:tc>
        <w:tc>
          <w:tcPr>
            <w:tcW w:w="100" w:type="dxa"/>
            <w:vAlign w:val="bottom"/>
          </w:tcPr>
          <w:p>
            <w:pPr>
              <w:spacing w:after="0"/>
              <w:rPr>
                <w:sz w:val="21"/>
                <w:szCs w:val="21"/>
                <w:color w:val="auto"/>
              </w:rPr>
            </w:pP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&lt;11%</w:t>
            </w:r>
          </w:p>
        </w:tc>
        <w:tc>
          <w:tcPr>
            <w:tcW w:w="100" w:type="dxa"/>
            <w:vAlign w:val="bottom"/>
          </w:tcPr>
          <w:p>
            <w:pPr>
              <w:spacing w:after="0"/>
              <w:rPr>
                <w:sz w:val="21"/>
                <w:szCs w:val="21"/>
                <w:color w:val="auto"/>
              </w:rPr>
            </w:pP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Threshold</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2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2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Maximum</w:t>
            </w:r>
          </w:p>
        </w:tc>
        <w:tc>
          <w:tcPr>
            <w:tcW w:w="2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97"/>
        </w:trPr>
        <w:tc>
          <w:tcPr>
            <w:tcW w:w="2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In the event that the compounded annual book value per share growth falls between the performance levels shown above, the nonvested Common Shares earned will be determined on a straight-line basis between the respective levels shown.</w:t>
      </w:r>
    </w:p>
    <w:p>
      <w:pPr>
        <w:spacing w:after="0" w:line="170" w:lineRule="exact"/>
        <w:rPr>
          <w:sz w:val="20"/>
          <w:szCs w:val="20"/>
          <w:color w:val="auto"/>
        </w:rPr>
      </w:pPr>
    </w:p>
    <w:p>
      <w:pPr>
        <w:ind w:right="220" w:firstLine="432"/>
        <w:spacing w:after="0" w:line="255" w:lineRule="auto"/>
        <w:rPr>
          <w:sz w:val="20"/>
          <w:szCs w:val="20"/>
          <w:color w:val="auto"/>
        </w:rPr>
      </w:pPr>
      <w:r>
        <w:rPr>
          <w:rFonts w:ascii="Arial" w:cs="Arial" w:eastAsia="Arial" w:hAnsi="Arial"/>
          <w:sz w:val="18"/>
          <w:szCs w:val="18"/>
          <w:color w:val="auto"/>
        </w:rPr>
        <w:t>In connection with our incentive program covering bonus awards for performance year 2013, in February 2014, time-based share awards and share units were issued to certain employees that vest in three equal installments on January 1, 2015, 2016 and 2017. In connection with our incentive program covering bonus awards for performance year 2014, in February 2015, time-based share awards and share units were issued to certain employees that vest in three equal installments on March 1, 2016, 2017 and 2018. In connection with our incentive program covering bonus awards for performance year 2015, in February 2016, time-based share awards and share units were issued to certain employees that vest in three equal installments on March 1, 2017, 2018 and 2019.</w:t>
      </w:r>
    </w:p>
    <w:p>
      <w:pPr>
        <w:spacing w:after="0" w:line="19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May 2014, time-based share units were issued to non-employee directors that vest one year from the date of grant. The portion of the grant that related to director compensation for the period from our initial public offering through April 2014 vested on November 1, 2014 and the portion of the grant that related to director compensation from May 2014 through April 2015 vested on May 6, 2015. In May 2015, time-based share units were granted to non-employee directors that vested one year from the date of grant. In May 2016, time-based share units were granted to non-employee directors that vest one year from the date of grant.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summarize nonvested Common Share and nonvested Common Share unit activity for the year ended December 31: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2016</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gridSpan w:val="5"/>
          </w:tcPr>
          <w:p>
            <w:pPr>
              <w:ind w:left="440"/>
              <w:spacing w:after="0" w:line="153" w:lineRule="exact"/>
              <w:rPr>
                <w:sz w:val="20"/>
                <w:szCs w:val="20"/>
                <w:color w:val="auto"/>
              </w:rPr>
            </w:pPr>
            <w:r>
              <w:rPr>
                <w:rFonts w:ascii="Arial" w:cs="Arial" w:eastAsia="Arial" w:hAnsi="Arial"/>
                <w:sz w:val="14"/>
                <w:szCs w:val="14"/>
                <w:b w:val="1"/>
                <w:bCs w:val="1"/>
                <w:color w:val="auto"/>
              </w:rPr>
              <w:t>Time and Performance-</w:t>
            </w:r>
          </w:p>
        </w:tc>
        <w:tc>
          <w:tcPr>
            <w:tcW w:w="2360" w:type="dxa"/>
            <w:vAlign w:val="bottom"/>
            <w:gridSpan w:val="5"/>
          </w:tcPr>
          <w:p>
            <w:pPr>
              <w:jc w:val="center"/>
              <w:ind w:right="60"/>
              <w:spacing w:after="0" w:line="153" w:lineRule="exact"/>
              <w:rPr>
                <w:sz w:val="20"/>
                <w:szCs w:val="20"/>
                <w:color w:val="auto"/>
              </w:rPr>
            </w:pPr>
            <w:r>
              <w:rPr>
                <w:rFonts w:ascii="Arial" w:cs="Arial" w:eastAsia="Arial" w:hAnsi="Arial"/>
                <w:sz w:val="14"/>
                <w:szCs w:val="14"/>
                <w:b w:val="1"/>
                <w:bCs w:val="1"/>
                <w:color w:val="auto"/>
                <w:w w:val="93"/>
              </w:rPr>
              <w:t>Time-Based</w:t>
            </w:r>
          </w:p>
        </w:tc>
        <w:tc>
          <w:tcPr>
            <w:tcW w:w="2380" w:type="dxa"/>
            <w:vAlign w:val="bottom"/>
            <w:gridSpan w:val="4"/>
            <w:vMerge w:val="restart"/>
          </w:tcPr>
          <w:p>
            <w:pPr>
              <w:jc w:val="right"/>
              <w:ind w:right="738"/>
              <w:spacing w:after="0"/>
              <w:rPr>
                <w:sz w:val="20"/>
                <w:szCs w:val="20"/>
                <w:color w:val="auto"/>
              </w:rPr>
            </w:pPr>
            <w:r>
              <w:rPr>
                <w:rFonts w:ascii="Arial" w:cs="Arial" w:eastAsia="Arial" w:hAnsi="Arial"/>
                <w:sz w:val="14"/>
                <w:szCs w:val="14"/>
                <w:b w:val="1"/>
                <w:bCs w:val="1"/>
                <w:color w:val="auto"/>
              </w:rPr>
              <w:t>Share Units</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rPr>
              <w:t>Based Share Awards</w:t>
            </w:r>
          </w:p>
        </w:tc>
        <w:tc>
          <w:tcPr>
            <w:tcW w:w="100" w:type="dxa"/>
            <w:vAlign w:val="bottom"/>
          </w:tcPr>
          <w:p>
            <w:pPr>
              <w:spacing w:after="0"/>
              <w:rPr>
                <w:sz w:val="16"/>
                <w:szCs w:val="16"/>
                <w:color w:val="auto"/>
              </w:rPr>
            </w:pPr>
          </w:p>
        </w:tc>
        <w:tc>
          <w:tcPr>
            <w:tcW w:w="2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Share Awards</w:t>
            </w:r>
          </w:p>
        </w:tc>
        <w:tc>
          <w:tcPr>
            <w:tcW w:w="100" w:type="dxa"/>
            <w:vAlign w:val="bottom"/>
          </w:tcPr>
          <w:p>
            <w:pPr>
              <w:spacing w:after="0"/>
              <w:rPr>
                <w:sz w:val="16"/>
                <w:szCs w:val="16"/>
                <w:color w:val="auto"/>
              </w:rPr>
            </w:pPr>
          </w:p>
        </w:tc>
        <w:tc>
          <w:tcPr>
            <w:tcW w:w="23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7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ind w:right="11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20" w:type="dxa"/>
            <w:vAlign w:val="bottom"/>
            <w:vMerge w:val="restart"/>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Share Units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1,294</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15.15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890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12.31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544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21"/>
                <w:szCs w:val="21"/>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end of year</w:t>
            </w:r>
          </w:p>
        </w:tc>
        <w:tc>
          <w:tcPr>
            <w:tcW w:w="10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1,503</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15.41</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605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493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vMerge w:val="restart"/>
          </w:tcPr>
          <w:p>
            <w:pPr>
              <w:jc w:val="right"/>
              <w:ind w:right="637"/>
              <w:spacing w:after="0"/>
              <w:rPr>
                <w:sz w:val="20"/>
                <w:szCs w:val="20"/>
                <w:color w:val="auto"/>
              </w:rPr>
            </w:pPr>
            <w:r>
              <w:rPr>
                <w:rFonts w:ascii="Arial" w:cs="Arial" w:eastAsia="Arial" w:hAnsi="Arial"/>
                <w:sz w:val="18"/>
                <w:szCs w:val="18"/>
                <w:color w:val="auto"/>
                <w:w w:val="93"/>
              </w:rPr>
              <w:t>102</w:t>
            </w: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2015</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7"/>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Time and Performance-</w:t>
            </w:r>
          </w:p>
        </w:tc>
        <w:tc>
          <w:tcPr>
            <w:tcW w:w="2360" w:type="dxa"/>
            <w:vAlign w:val="bottom"/>
            <w:gridSpan w:val="5"/>
          </w:tcPr>
          <w:p>
            <w:pPr>
              <w:jc w:val="center"/>
              <w:ind w:right="60"/>
              <w:spacing w:after="0" w:line="153" w:lineRule="exact"/>
              <w:rPr>
                <w:sz w:val="20"/>
                <w:szCs w:val="20"/>
                <w:color w:val="auto"/>
              </w:rPr>
            </w:pPr>
            <w:r>
              <w:rPr>
                <w:rFonts w:ascii="Arial" w:cs="Arial" w:eastAsia="Arial" w:hAnsi="Arial"/>
                <w:sz w:val="14"/>
                <w:szCs w:val="14"/>
                <w:b w:val="1"/>
                <w:bCs w:val="1"/>
                <w:color w:val="auto"/>
                <w:w w:val="93"/>
              </w:rPr>
              <w:t>Time-Based</w:t>
            </w:r>
          </w:p>
        </w:tc>
        <w:tc>
          <w:tcPr>
            <w:tcW w:w="2380" w:type="dxa"/>
            <w:vAlign w:val="bottom"/>
            <w:gridSpan w:val="4"/>
            <w:vMerge w:val="restart"/>
          </w:tcPr>
          <w:p>
            <w:pPr>
              <w:jc w:val="right"/>
              <w:ind w:right="738"/>
              <w:spacing w:after="0"/>
              <w:rPr>
                <w:sz w:val="20"/>
                <w:szCs w:val="20"/>
                <w:color w:val="auto"/>
              </w:rPr>
            </w:pPr>
            <w:r>
              <w:rPr>
                <w:rFonts w:ascii="Arial" w:cs="Arial" w:eastAsia="Arial" w:hAnsi="Arial"/>
                <w:sz w:val="14"/>
                <w:szCs w:val="14"/>
                <w:b w:val="1"/>
                <w:bCs w:val="1"/>
                <w:color w:val="auto"/>
              </w:rPr>
              <w:t>Share Units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Based Share Awards</w:t>
            </w:r>
          </w:p>
        </w:tc>
        <w:tc>
          <w:tcPr>
            <w:tcW w:w="100" w:type="dxa"/>
            <w:vAlign w:val="bottom"/>
          </w:tcPr>
          <w:p>
            <w:pPr>
              <w:spacing w:after="0"/>
              <w:rPr>
                <w:sz w:val="16"/>
                <w:szCs w:val="16"/>
                <w:color w:val="auto"/>
              </w:rPr>
            </w:pPr>
          </w:p>
        </w:tc>
        <w:tc>
          <w:tcPr>
            <w:tcW w:w="2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Share Awards</w:t>
            </w:r>
          </w:p>
        </w:tc>
        <w:tc>
          <w:tcPr>
            <w:tcW w:w="100" w:type="dxa"/>
            <w:vAlign w:val="bottom"/>
          </w:tcPr>
          <w:p>
            <w:pPr>
              <w:spacing w:after="0"/>
              <w:rPr>
                <w:sz w:val="16"/>
                <w:szCs w:val="16"/>
                <w:color w:val="auto"/>
              </w:rPr>
            </w:pPr>
          </w:p>
        </w:tc>
        <w:tc>
          <w:tcPr>
            <w:tcW w:w="23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7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2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Share Units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040" w:type="dxa"/>
            <w:vAlign w:val="bottom"/>
            <w:tcBorders>
              <w:bottom w:val="single" w:sz="8" w:color="CCEEFF"/>
            </w:tcBorders>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1,290</w:t>
            </w:r>
          </w:p>
        </w:tc>
        <w:tc>
          <w:tcPr>
            <w:tcW w:w="30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14.83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1,472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664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Granted</w:t>
            </w:r>
          </w:p>
        </w:tc>
        <w:tc>
          <w:tcPr>
            <w:tcW w:w="1040" w:type="dxa"/>
            <w:vAlign w:val="bottom"/>
            <w:gridSpan w:val="2"/>
          </w:tcPr>
          <w:p>
            <w:pPr>
              <w:jc w:val="right"/>
              <w:ind w:right="43"/>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24.58</w:t>
            </w:r>
          </w:p>
        </w:tc>
        <w:tc>
          <w:tcPr>
            <w:tcW w:w="100" w:type="dxa"/>
            <w:vAlign w:val="bottom"/>
          </w:tcPr>
          <w:p>
            <w:pPr>
              <w:spacing w:after="0"/>
              <w:rPr>
                <w:sz w:val="21"/>
                <w:szCs w:val="21"/>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24.51</w:t>
            </w:r>
          </w:p>
        </w:tc>
        <w:tc>
          <w:tcPr>
            <w:tcW w:w="10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Forfeited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Outstanding at end of year</w:t>
            </w:r>
          </w:p>
        </w:tc>
        <w:tc>
          <w:tcPr>
            <w:tcW w:w="1040" w:type="dxa"/>
            <w:vAlign w:val="bottom"/>
            <w:tcBorders>
              <w:bottom w:val="single" w:sz="8" w:color="auto"/>
            </w:tcBorders>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1,294</w:t>
            </w:r>
          </w:p>
        </w:tc>
        <w:tc>
          <w:tcPr>
            <w:tcW w:w="30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15.15</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890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12.31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544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9"/>
              </w:rPr>
              <w:t>2014</w:t>
            </w: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vMerge w:val="continue"/>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7"/>
          </w:tcPr>
          <w:p>
            <w:pPr>
              <w:jc w:val="center"/>
              <w:ind w:right="80"/>
              <w:spacing w:after="0" w:line="153" w:lineRule="exact"/>
              <w:rPr>
                <w:sz w:val="20"/>
                <w:szCs w:val="20"/>
                <w:color w:val="auto"/>
              </w:rPr>
            </w:pPr>
            <w:r>
              <w:rPr>
                <w:rFonts w:ascii="Arial" w:cs="Arial" w:eastAsia="Arial" w:hAnsi="Arial"/>
                <w:sz w:val="14"/>
                <w:szCs w:val="14"/>
                <w:b w:val="1"/>
                <w:bCs w:val="1"/>
                <w:color w:val="auto"/>
                <w:w w:val="95"/>
              </w:rPr>
              <w:t>Time and Performance-</w:t>
            </w:r>
          </w:p>
        </w:tc>
        <w:tc>
          <w:tcPr>
            <w:tcW w:w="2360" w:type="dxa"/>
            <w:vAlign w:val="bottom"/>
            <w:gridSpan w:val="5"/>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Time-Based</w:t>
            </w:r>
          </w:p>
        </w:tc>
        <w:tc>
          <w:tcPr>
            <w:tcW w:w="2380" w:type="dxa"/>
            <w:vAlign w:val="bottom"/>
            <w:gridSpan w:val="4"/>
            <w:vMerge w:val="restart"/>
          </w:tcPr>
          <w:p>
            <w:pPr>
              <w:jc w:val="right"/>
              <w:ind w:right="738"/>
              <w:spacing w:after="0"/>
              <w:rPr>
                <w:sz w:val="20"/>
                <w:szCs w:val="20"/>
                <w:color w:val="auto"/>
              </w:rPr>
            </w:pPr>
            <w:r>
              <w:rPr>
                <w:rFonts w:ascii="Arial" w:cs="Arial" w:eastAsia="Arial" w:hAnsi="Arial"/>
                <w:sz w:val="14"/>
                <w:szCs w:val="14"/>
                <w:b w:val="1"/>
                <w:bCs w:val="1"/>
                <w:color w:val="auto"/>
              </w:rPr>
              <w:t>Share Units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Based Share Awards</w:t>
            </w:r>
          </w:p>
        </w:tc>
        <w:tc>
          <w:tcPr>
            <w:tcW w:w="100" w:type="dxa"/>
            <w:vAlign w:val="bottom"/>
          </w:tcPr>
          <w:p>
            <w:pPr>
              <w:spacing w:after="0"/>
              <w:rPr>
                <w:sz w:val="16"/>
                <w:szCs w:val="16"/>
                <w:color w:val="auto"/>
              </w:rPr>
            </w:pPr>
          </w:p>
        </w:tc>
        <w:tc>
          <w:tcPr>
            <w:tcW w:w="2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Share Awards</w:t>
            </w:r>
          </w:p>
        </w:tc>
        <w:tc>
          <w:tcPr>
            <w:tcW w:w="100" w:type="dxa"/>
            <w:vAlign w:val="bottom"/>
          </w:tcPr>
          <w:p>
            <w:pPr>
              <w:spacing w:after="0"/>
              <w:rPr>
                <w:sz w:val="16"/>
                <w:szCs w:val="16"/>
                <w:color w:val="auto"/>
              </w:rPr>
            </w:pPr>
          </w:p>
        </w:tc>
        <w:tc>
          <w:tcPr>
            <w:tcW w:w="23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98"/>
              <w:spacing w:after="0" w:line="153"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1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1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 Units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1040" w:type="dxa"/>
            <w:vAlign w:val="bottom"/>
            <w:tcBorders>
              <w:bottom w:val="single" w:sz="8" w:color="CCEEFF"/>
            </w:tcBorders>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1,238</w:t>
            </w:r>
          </w:p>
        </w:tc>
        <w:tc>
          <w:tcPr>
            <w:tcW w:w="3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2,839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528</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3"/>
          </w:tcPr>
          <w:p>
            <w:pPr>
              <w:ind w:left="20"/>
              <w:spacing w:after="0"/>
              <w:rPr>
                <w:sz w:val="20"/>
                <w:szCs w:val="20"/>
                <w:color w:val="auto"/>
              </w:rPr>
            </w:pPr>
            <w:r>
              <w:rPr>
                <w:rFonts w:ascii="Arial" w:cs="Arial" w:eastAsia="Arial" w:hAnsi="Arial"/>
                <w:sz w:val="18"/>
                <w:szCs w:val="18"/>
                <w:color w:val="auto"/>
              </w:rPr>
              <w:t>Granted</w:t>
            </w:r>
          </w:p>
        </w:tc>
        <w:tc>
          <w:tcPr>
            <w:tcW w:w="1040" w:type="dxa"/>
            <w:vAlign w:val="bottom"/>
            <w:gridSpan w:val="2"/>
          </w:tcPr>
          <w:p>
            <w:pPr>
              <w:jc w:val="right"/>
              <w:ind w:right="23"/>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22.68</w:t>
            </w:r>
          </w:p>
        </w:tc>
        <w:tc>
          <w:tcPr>
            <w:tcW w:w="100" w:type="dxa"/>
            <w:vAlign w:val="bottom"/>
          </w:tcPr>
          <w:p>
            <w:pPr>
              <w:spacing w:after="0"/>
              <w:rPr>
                <w:sz w:val="21"/>
                <w:szCs w:val="21"/>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23.47</w:t>
            </w:r>
          </w:p>
        </w:tc>
        <w:tc>
          <w:tcPr>
            <w:tcW w:w="10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3"/>
          </w:tcPr>
          <w:p>
            <w:pPr>
              <w:ind w:left="20"/>
              <w:spacing w:after="0"/>
              <w:rPr>
                <w:sz w:val="20"/>
                <w:szCs w:val="20"/>
                <w:color w:val="auto"/>
              </w:rPr>
            </w:pPr>
            <w:r>
              <w:rPr>
                <w:rFonts w:ascii="Arial" w:cs="Arial" w:eastAsia="Arial" w:hAnsi="Arial"/>
                <w:sz w:val="18"/>
                <w:szCs w:val="18"/>
                <w:color w:val="auto"/>
              </w:rPr>
              <w:t>Forfeited</w:t>
            </w:r>
          </w:p>
        </w:tc>
        <w:tc>
          <w:tcPr>
            <w:tcW w:w="20" w:type="dxa"/>
            <w:vAlign w:val="bottom"/>
          </w:tcPr>
          <w:p>
            <w:pPr>
              <w:spacing w:after="0"/>
              <w:rPr>
                <w:sz w:val="21"/>
                <w:szCs w:val="21"/>
                <w:color w:val="auto"/>
              </w:rPr>
            </w:pPr>
          </w:p>
        </w:tc>
        <w:tc>
          <w:tcPr>
            <w:tcW w:w="102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10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gridSpan w:val="2"/>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gridSpan w:val="2"/>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Outstanding at end of year</w:t>
            </w:r>
          </w:p>
        </w:tc>
        <w:tc>
          <w:tcPr>
            <w:tcW w:w="10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1,290</w:t>
            </w:r>
          </w:p>
        </w:tc>
        <w:tc>
          <w:tcPr>
            <w:tcW w:w="3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14.83</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1,472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9.04</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664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Quoted market prices are used for the valuation of Common Shares granted subsequent to our initial public offering. For nonvested Common Share units granted in October 2013, the initial public offering price of Common Shares was used. For nonvested Common Shares granted in September 2013, prior to our IPO, the valuation estimate was based on analysis provided by the underwriters regarding the estimated fair value of Essent and the estimated IPO price range. Factors considered in determining the IPO price range and Common Share valuation included prevailing market conditions, estimates of the Company's business potential and earnings prospects, the Company's historical operating results, market valuations of companies deemed comparable to the Company and an assessment of risks and opportunities.</w:t>
      </w:r>
    </w:p>
    <w:p>
      <w:pPr>
        <w:spacing w:after="0" w:line="178"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The total fair value of nonvested shares or share units that vested was $15.6 million, $22.4 million and $32.7 million for the years ended December 31, 2016, 2015 and 2014, respectively. As of December 31, 2016, there was $16.0 million of total unrecognized compensation expense related to nonvested shares or share units outstanding at December 31, 2016 and we expect to recognize the expense over a weighted average period of 1.6 years.</w:t>
      </w:r>
    </w:p>
    <w:p>
      <w:pPr>
        <w:spacing w:after="0" w:line="147"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In January 2017, 290,965 nonvested Common Share units were issued to all vice president and staff level employees and are subject to time-based vesting. In connection with our incentive program covering bonus awards for performance year 2016, in February 2017, 90,508 nonvested Common Shares and 70,862 nonvested Common Share units were issued to certain employees and are subject to time-based vesting. In February 2017, 140,108 nonvested Common Shares were granted to certain members of senior management and are subject to time-based and performance-based vesting.</w:t>
      </w:r>
    </w:p>
    <w:p>
      <w:pPr>
        <w:spacing w:after="0" w:line="154"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Employees have the option to tender shares to Essent Group to pay the minimum employee statutory withholding taxes associated with shares upon vesting. Common Shares tendered by employees to pay employee withholding taxes totaled 184,583, 201,553 and 105,317 in 2016, 2015 and 2014, respectively. The tendered shares were recorded at cost and included in treasury stock. All treasury stock has been cancelled as of December 31, 2016 and 2015.</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337" w:right="23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Compensation expense, net of forfeitures, and related tax effects recognized in connection with nonvested shares were as follows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2014</w:t>
            </w: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expense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16,881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13,633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12,520</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Income tax benefit</w:t>
            </w:r>
          </w:p>
        </w:tc>
        <w:tc>
          <w:tcPr>
            <w:tcW w:w="3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5,455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4,378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4,382</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Dividends Restrictions</w:t>
      </w:r>
    </w:p>
    <w:p>
      <w:pPr>
        <w:spacing w:after="0" w:line="229"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Our U.S. insurance subsidiaries are subject to certain capital and dividend rules and regulations as prescribed by jurisdictions in which they are authorized to operate. Under the insurance laws of the Commonwealth of Pennsylvania, Essent Guaranty and Essent PA may pay dividends during any 12-month period in an amount equal to the greater of (i) 10% of the preceding year-end statutory policyholders' surplus or (ii) the preceding year's statutory net income. The Pennsylvania statute also specifies that dividends and other distributions can be paid out of positive unassigned surplus without prior approval. At December 31, 2016, Essent Guaranty had unassigned surplus of approximately $13.6 million. Essent Guaranty paid no dividends to Essent Group or any intermediate holding companies in the years ended December 31, 2016, 2015 or 2014. Essent PA had unassigned surplus of approximately $8.4 million as of December 31, 2016. In the years ended December 31, 2016 and 2014, Essent PA paid to its parent company, Essent US Holdings, Inc. ("Essent Holdings") a dividend of $3.75 million and $200,000, respectively. Essent PA did not pay a dividend in 2015. Essent PA paid a $5.0 million dividend to Essent Holdings in February 2017.</w:t>
      </w:r>
    </w:p>
    <w:p>
      <w:pPr>
        <w:spacing w:after="0" w:line="197"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Essent Re is subject to certain dividend restrictions as prescribed by the Bermuda Monetary Authority and under certain agreements with counterparties. In connection with the quota share reinsurance agreement with Essent Guaranty, Essent Re has agreed to maintain a minimum total equity of $100 million. As of December 31, 2016, Essent Re had total equity of $401.3 million.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2016, our insurance subsidiaries were in compliance with these rules, regulations and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229" w:lineRule="exact"/>
        <w:rPr>
          <w:sz w:val="20"/>
          <w:szCs w:val="20"/>
          <w:color w:val="auto"/>
        </w:rPr>
      </w:pPr>
    </w:p>
    <w:p>
      <w:pPr>
        <w:ind w:right="200" w:firstLine="432"/>
        <w:spacing w:after="0" w:line="342" w:lineRule="auto"/>
        <w:rPr>
          <w:sz w:val="20"/>
          <w:szCs w:val="20"/>
          <w:color w:val="auto"/>
        </w:rPr>
      </w:pPr>
      <w:r>
        <w:rPr>
          <w:rFonts w:ascii="Arial" w:cs="Arial" w:eastAsia="Arial" w:hAnsi="Arial"/>
          <w:sz w:val="16"/>
          <w:szCs w:val="16"/>
          <w:color w:val="auto"/>
        </w:rPr>
        <w:t>As of December 31, 2016, the statutory income tax rates of the countries where the Company does business are 35% in the United States and 0.0% in Bermuda. The statutory income tax rate of each country is applied against the taxable income from each country to calculate the income tax expense.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Income tax expense consists of the following components for the years ended December 31: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2014</w:t>
            </w: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31,712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2,816</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Deferred</w:t>
            </w: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57,564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52,157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44,614</w:t>
            </w:r>
          </w:p>
        </w:tc>
      </w:tr>
      <w:tr>
        <w:trPr>
          <w:trHeight w:val="27"/>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income tax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89,276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71,067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47,430</w:t>
            </w: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For the year ended December 31, 2016 pre-tax income attributable to Bermuda and U.S. operations was $51.6 million and $260.3 million, respectively, as compared to $21.4 million and $207.0 million, respectively, for the year ended December 31, 2015. For the year ended December 31, 2014 pre-tax income attributable to Bermuda operations was not significant in comparison to total pre-tax income.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337" w:right="25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Income tax expense is different from that which would be obtained by applying the applicable statutory income tax rates to income before taxes by jurisdiction (i.e. U.S. 35%; Bermuda 0.0%). The reconciliation of the difference between income tax expense and the expected tax provision at the weighted average tax rate was as follows for the years ended December 31:</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 of pretax</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 of pretax</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113"/>
              <w:spacing w:after="0"/>
              <w:rPr>
                <w:sz w:val="20"/>
                <w:szCs w:val="20"/>
                <w:color w:val="auto"/>
              </w:rPr>
            </w:pPr>
            <w:r>
              <w:rPr>
                <w:rFonts w:ascii="Arial" w:cs="Arial" w:eastAsia="Arial" w:hAnsi="Arial"/>
                <w:sz w:val="16"/>
                <w:szCs w:val="16"/>
                <w:b w:val="1"/>
                <w:bCs w:val="1"/>
                <w:color w:val="auto"/>
              </w:rPr>
              <w:t>% of pretax</w:t>
            </w:r>
          </w:p>
        </w:tc>
      </w:tr>
      <w:tr>
        <w:trPr>
          <w:trHeight w:val="210"/>
        </w:trPr>
        <w:tc>
          <w:tcPr>
            <w:tcW w:w="4480" w:type="dxa"/>
            <w:vAlign w:val="bottom"/>
            <w:gridSpan w:val="2"/>
          </w:tcPr>
          <w:p>
            <w:pPr>
              <w:ind w:left="40"/>
              <w:spacing w:after="0"/>
              <w:rPr>
                <w:sz w:val="20"/>
                <w:szCs w:val="20"/>
                <w:color w:val="auto"/>
              </w:rPr>
            </w:pPr>
            <w:r>
              <w:rPr>
                <w:rFonts w:ascii="Arial" w:cs="Arial" w:eastAsia="Arial" w:hAnsi="Arial"/>
                <w:sz w:val="16"/>
                <w:szCs w:val="16"/>
                <w:b w:val="1"/>
                <w:bCs w:val="1"/>
                <w:color w:val="auto"/>
              </w:rPr>
              <w:t>($ in thousands)</w:t>
            </w:r>
          </w:p>
        </w:tc>
        <w:tc>
          <w:tcPr>
            <w:tcW w:w="200" w:type="dxa"/>
            <w:vAlign w:val="bottom"/>
          </w:tcPr>
          <w:p>
            <w:pPr>
              <w:spacing w:after="0"/>
              <w:rPr>
                <w:sz w:val="18"/>
                <w:szCs w:val="18"/>
                <w:color w:val="auto"/>
              </w:rPr>
            </w:pPr>
          </w:p>
        </w:tc>
        <w:tc>
          <w:tcPr>
            <w:tcW w:w="700" w:type="dxa"/>
            <w:vAlign w:val="bottom"/>
          </w:tcPr>
          <w:p>
            <w:pPr>
              <w:jc w:val="right"/>
              <w:ind w:right="19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income</w:t>
            </w:r>
          </w:p>
        </w:tc>
        <w:tc>
          <w:tcPr>
            <w:tcW w:w="220" w:type="dxa"/>
            <w:vAlign w:val="bottom"/>
          </w:tcPr>
          <w:p>
            <w:pPr>
              <w:spacing w:after="0"/>
              <w:rPr>
                <w:sz w:val="18"/>
                <w:szCs w:val="18"/>
                <w:color w:val="auto"/>
              </w:rPr>
            </w:pPr>
          </w:p>
        </w:tc>
        <w:tc>
          <w:tcPr>
            <w:tcW w:w="700" w:type="dxa"/>
            <w:vAlign w:val="bottom"/>
          </w:tcPr>
          <w:p>
            <w:pPr>
              <w:jc w:val="right"/>
              <w:ind w:right="21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income</w:t>
            </w:r>
          </w:p>
        </w:tc>
        <w:tc>
          <w:tcPr>
            <w:tcW w:w="200" w:type="dxa"/>
            <w:vAlign w:val="bottom"/>
          </w:tcPr>
          <w:p>
            <w:pPr>
              <w:spacing w:after="0"/>
              <w:rPr>
                <w:sz w:val="18"/>
                <w:szCs w:val="18"/>
                <w:color w:val="auto"/>
              </w:rPr>
            </w:pPr>
          </w:p>
        </w:tc>
        <w:tc>
          <w:tcPr>
            <w:tcW w:w="700" w:type="dxa"/>
            <w:vAlign w:val="bottom"/>
          </w:tcPr>
          <w:p>
            <w:pPr>
              <w:jc w:val="right"/>
              <w:ind w:right="191"/>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1220" w:type="dxa"/>
            <w:vAlign w:val="bottom"/>
          </w:tcPr>
          <w:p>
            <w:pPr>
              <w:jc w:val="right"/>
              <w:ind w:right="273"/>
              <w:spacing w:after="0"/>
              <w:rPr>
                <w:sz w:val="20"/>
                <w:szCs w:val="20"/>
                <w:color w:val="auto"/>
              </w:rPr>
            </w:pPr>
            <w:r>
              <w:rPr>
                <w:rFonts w:ascii="Arial" w:cs="Arial" w:eastAsia="Arial" w:hAnsi="Arial"/>
                <w:sz w:val="16"/>
                <w:szCs w:val="16"/>
                <w:b w:val="1"/>
                <w:bCs w:val="1"/>
                <w:color w:val="auto"/>
              </w:rPr>
              <w:t>income</w:t>
            </w:r>
          </w:p>
        </w:tc>
      </w:tr>
      <w:tr>
        <w:trPr>
          <w:trHeight w:val="33"/>
        </w:trPr>
        <w:tc>
          <w:tcPr>
            <w:tcW w:w="4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 provision at weighted average statutory rates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91,092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72,461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47,930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35.3 %</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Non-deductible expenses</w:t>
            </w: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1"/>
                <w:szCs w:val="21"/>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1"/>
                <w:szCs w:val="21"/>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0.3</w:t>
            </w: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 exempt interest, net of proration</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(0.7)</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0.0</w:t>
            </w:r>
          </w:p>
        </w:tc>
      </w:tr>
      <w:tr>
        <w:trPr>
          <w:trHeight w:val="27"/>
        </w:trPr>
        <w:tc>
          <w:tcPr>
            <w:tcW w:w="4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income tax provision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89,276</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28.6 %</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71,067</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47,430</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34.9 %</w:t>
            </w:r>
          </w:p>
        </w:tc>
      </w:tr>
      <w:tr>
        <w:trPr>
          <w:trHeight w:val="20"/>
        </w:trPr>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60" w:firstLine="432"/>
        <w:spacing w:after="0" w:line="308" w:lineRule="auto"/>
        <w:rPr>
          <w:sz w:val="20"/>
          <w:szCs w:val="20"/>
          <w:color w:val="auto"/>
        </w:rPr>
      </w:pPr>
      <w:r>
        <w:rPr>
          <w:rFonts w:ascii="Arial" w:cs="Arial" w:eastAsia="Arial" w:hAnsi="Arial"/>
          <w:sz w:val="17"/>
          <w:szCs w:val="17"/>
          <w:color w:val="auto"/>
        </w:rPr>
        <w:t>We provide deferred taxes to reflect the estimated future tax effects of the differences between the financial statement and tax bases of assets and liabilities using currently enacted tax laws. The net deferred tax liability was comprised of the following at December 31:</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43,291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36,908</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(185,878)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(124,872)</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deferred tax liability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(142,587)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(87,964)</w:t>
            </w: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ind w:left="440"/>
              <w:spacing w:after="0"/>
              <w:rPr>
                <w:sz w:val="20"/>
                <w:szCs w:val="20"/>
                <w:color w:val="auto"/>
              </w:rPr>
            </w:pPr>
            <w:r>
              <w:rPr>
                <w:rFonts w:ascii="Arial" w:cs="Arial" w:eastAsia="Arial" w:hAnsi="Arial"/>
                <w:sz w:val="18"/>
                <w:szCs w:val="18"/>
                <w:color w:val="auto"/>
              </w:rPr>
              <w:t>The components of the net deferred tax liability were as follows at December 31:</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5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8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Contingency reserves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(181,031)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(119,896)</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Unearned premium reserve</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19,722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17,801</w:t>
            </w:r>
          </w:p>
        </w:tc>
        <w:tc>
          <w:tcPr>
            <w:tcW w:w="0" w:type="dxa"/>
            <w:vAlign w:val="bottom"/>
          </w:tcPr>
          <w:p>
            <w:pPr>
              <w:spacing w:after="0"/>
              <w:rPr>
                <w:sz w:val="1"/>
                <w:szCs w:val="1"/>
                <w:color w:val="auto"/>
              </w:rPr>
            </w:pPr>
          </w:p>
        </w:tc>
      </w:tr>
      <w:tr>
        <w:trPr>
          <w:trHeight w:val="27"/>
        </w:trPr>
        <w:tc>
          <w:tcPr>
            <w:tcW w:w="85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shares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5,842</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Fixed assets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4,702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5,879</w:t>
            </w:r>
          </w:p>
        </w:tc>
        <w:tc>
          <w:tcPr>
            <w:tcW w:w="0" w:type="dxa"/>
            <w:vAlign w:val="bottom"/>
          </w:tcPr>
          <w:p>
            <w:pPr>
              <w:spacing w:after="0"/>
              <w:rPr>
                <w:sz w:val="1"/>
                <w:szCs w:val="1"/>
                <w:color w:val="auto"/>
              </w:rPr>
            </w:pPr>
          </w:p>
        </w:tc>
      </w:tr>
      <w:tr>
        <w:trPr>
          <w:trHeight w:val="27"/>
        </w:trPr>
        <w:tc>
          <w:tcPr>
            <w:tcW w:w="85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policy acquisition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(4,035)</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Start-up expenditures, net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3,705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4,158</w:t>
            </w:r>
          </w:p>
        </w:tc>
        <w:tc>
          <w:tcPr>
            <w:tcW w:w="0" w:type="dxa"/>
            <w:vAlign w:val="bottom"/>
          </w:tcPr>
          <w:p>
            <w:pPr>
              <w:spacing w:after="0"/>
              <w:rPr>
                <w:sz w:val="1"/>
                <w:szCs w:val="1"/>
                <w:color w:val="auto"/>
              </w:rPr>
            </w:pPr>
          </w:p>
        </w:tc>
      </w:tr>
      <w:tr>
        <w:trPr>
          <w:trHeight w:val="27"/>
        </w:trPr>
        <w:tc>
          <w:tcPr>
            <w:tcW w:w="85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Unearned ceding commissions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Unrealized (gain) loss on investments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2,181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7"/>
        </w:trPr>
        <w:tc>
          <w:tcPr>
            <w:tcW w:w="85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85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reserves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Organizational expenditures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deferred tax liability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(142,587)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(87,964)</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As a mortgage guaranty insurer, we are eligible for a tax deduction, subject to certain limitations, under Section 832(e) of the IRC for amounts required by state law or regulation to be set aside in statutory contingency reserves. The deduction is allowed only to the extent that we purchase non-interest-bearing United States Mortgage Guaranty Tax and Loss Bonds ("T&amp;L Bonds") issued by the Treasury Department in an amount equal to the tax benefit derived from deducting any portion of our statutory contingency reserves. During the years ended December 31, 2016 and 2015, we had net purchases of T&amp;L Bonds in the amount of $61.9 million and $59.7 million, respectively, and held $181.3 million and $119.4 million of T&amp;L Bonds as of December 31, 2016 and 2015, respectively.</w:t>
      </w:r>
    </w:p>
    <w:p>
      <w:pPr>
        <w:spacing w:after="0" w:line="193"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In evaluating our ability to realize the benefit of our deferred tax assets, we consider the relevant impact of all available positive and negative evidence including our past operating results and our forecasts of future taxable income. At December 31,</w:t>
      </w:r>
    </w:p>
    <w:p>
      <w:pPr>
        <w:sectPr>
          <w:pgSz w:w="11900" w:h="16838" w:orient="portrait"/>
          <w:cols w:equalWidth="0" w:num="1">
            <w:col w:w="11420"/>
          </w:cols>
          <w:pgMar w:left="240" w:top="337"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1420"/>
          </w:cols>
          <w:pgMar w:left="240" w:top="337" w:right="239" w:bottom="1440" w:gutter="0" w:footer="0" w:header="0"/>
          <w:type w:val="continuous"/>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2016 and 2015, after weighing all the evidence, management concluded that it was more likely than not that our deferred tax assets would be realized.</w:t>
      </w:r>
    </w:p>
    <w:p>
      <w:pPr>
        <w:spacing w:after="0" w:line="23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Under current Bermuda law, the parent company, Essent Group, and its Bermuda subsidiary, Essent Re, are not required to pay any taxes on income and capital gains. In the event that there is a change such that these taxes are imposed, these companies would be exempted from any such tax until March of 2035 pursuant to the Bermuda Exempt Undertakings Tax Protection Act of 1966, and the Exempt Undertakings Tax Protection Amendment Act of 2011.</w:t>
      </w:r>
    </w:p>
    <w:p>
      <w:pPr>
        <w:spacing w:after="0" w:line="147"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Essent Holdings and its subsidiaries are subject to income taxes imposed by U.S. law and file a U.S. Consolidated Income Tax Return. Each subsidiary has executed a tax sharing agreement with its parent company, which provides that taxes are settled in cash between parent and subsidiary on a quarterly basis based on separate company pro-forma calculations. Should Essent Holdings pay a dividend to its parent company, Essent Irish Intermediate Holdings Limited, withholding taxes at a rate of 5% under the U.S./Ireland tax treaty would likely apply assuming the Company avails itself of Treaty benefits under the U.S./Ireland tax treaty. Absent treaty benefits, the withholding rate on outbound dividends would be 30%. Currently, however, no withholding taxes are accrued with respect to such unremitted earnings as management has no intention of remitting these earnings. Similarly, no foreign income taxes have been provided on the un-remitted earnings of the Company's U.S. subsidiaries as management has neither the intention of remitting these earnings, nor would any Ireland tax be due, as any Irish tax would be expected to be fully offset by credit for taxes paid to the U.S. An estimate of the cumulative amount of U.S. earnings that would be subject to withholding tax, if distributed outside of the U.S., is approximately $550 million. The associated withholding tax liability under the U.S./Ireland tax treaty would be approximately $28 million.</w:t>
      </w:r>
    </w:p>
    <w:p>
      <w:pPr>
        <w:spacing w:after="0" w:line="178"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Essent is not subject to income taxation other than as stated above. There can be no assurance that there will not be changes in applicable laws, regulations, or treaties which might require Essent to change the way it operates or becomes subject to taxation.</w:t>
      </w:r>
    </w:p>
    <w:p>
      <w:pPr>
        <w:spacing w:after="0" w:line="17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At December 31, 2016 and 2015, the Company had no unrecognized tax benefits. As of December 31, 2016, the U.S. federal income tax returns for the tax years 2009 through 2015 remain subject to examination. The Company has not recorded any uncertain tax positions as of December 31, 2016 or December 31,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Party Transactions</w:t>
      </w:r>
    </w:p>
    <w:p>
      <w:pPr>
        <w:spacing w:after="0" w:line="229"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The Company is a party to an investment advisory agreement with Goldman Sachs Asset Management, L.P., a subsidiary of The Goldman Sachs Group, Inc. ("Goldman Sachs"), one of Essent Group's investors. Through the date of our IPO, Goldman Sachs beneficially owned 11.35% of our outstanding shares. Subsequent to the IPO, Goldman Sachs directly held less than 10% of our outstanding shares. Investment expense incurred under the investment advisory agreement totaled $0.8 million, $0.7 million, and $0.5 million for the years ended December 31, 2016, 2015 and 2014, respectively. Goldman Sachs is also one of several lenders under our revolving credit facility discussed in Note 7 and was paid an upfront fee of $0.1 million in 2016. Commitment fees and interest expense incurred under the revolving credit facility allocable to Goldman Sachs totaled $0.1 million in 2016. The Company was also a party to underwriting agreements with Goldman Sachs in connection with the IPO and secondary offering of Common Shares. Amounts paid to Goldman Sachs in connection with the underwriting agreements totaled $3.5 million in 2014.</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337" w:right="23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Earnings per Share (EPS)</w:t>
      </w:r>
    </w:p>
    <w:p>
      <w:pPr>
        <w:spacing w:after="0" w:line="283"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The following table reconciles the net income and the weighted average common shares outstanding used in the computations of basic and diluted earnings per common share for the years ended December 31:</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222,606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157,331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88,497</w:t>
            </w:r>
          </w:p>
        </w:tc>
      </w:tr>
      <w:tr>
        <w:trPr>
          <w:trHeight w:val="243"/>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Less: Common Shares dividends declared</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Undistributed 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222,606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157,331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88,497</w:t>
            </w: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0"/>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Net income allocable to Common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222,606</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157,331</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88,497</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Basic earnings per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1.05</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Basic weighted average Common Shares outstanding</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90,913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90,351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83,986</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Dilutive effect of nonvested shares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1,616</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Diluted weighted average Common Shares outstanding</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92,245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91,738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85,602</w:t>
            </w: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96,251, 78,198 and 141,503 antidilutive shares for the years ended December 31, 2016, 2015 and 2014, respectively.</w:t>
      </w:r>
    </w:p>
    <w:p>
      <w:pPr>
        <w:spacing w:after="0" w:line="279"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The nonvested performance-based share awards are considered contingently issuable for purposes of the EPS calculation. Based on the compounded annual book value per share growth as of December 31, 2016, 2015 and 2014, 100% of the performance-based share awards would be issuable under the terms of the arrangements at each date if December 31 was the end of the contingency period.</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Accumulated Other Comprehensive Income (Loss)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rollforward of accumulated other comprehensive income (loss) for the year ended December 31: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Before Tax</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Tax Effect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19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holding losses arising during the period</w:t>
            </w: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(10,780)</w:t>
            </w:r>
          </w:p>
        </w:tc>
        <w:tc>
          <w:tcPr>
            <w:tcW w:w="0" w:type="dxa"/>
            <w:vAlign w:val="bottom"/>
          </w:tcPr>
          <w:p>
            <w:pPr>
              <w:spacing w:after="0"/>
              <w:rPr>
                <w:sz w:val="1"/>
                <w:szCs w:val="1"/>
                <w:color w:val="auto"/>
              </w:rPr>
            </w:pPr>
          </w:p>
        </w:tc>
      </w:tr>
      <w:tr>
        <w:trPr>
          <w:trHeight w:val="243"/>
        </w:trPr>
        <w:tc>
          <w:tcPr>
            <w:tcW w:w="5400" w:type="dxa"/>
            <w:vAlign w:val="bottom"/>
          </w:tcPr>
          <w:p>
            <w:pPr>
              <w:ind w:left="180"/>
              <w:spacing w:after="0"/>
              <w:rPr>
                <w:sz w:val="20"/>
                <w:szCs w:val="20"/>
                <w:color w:val="auto"/>
              </w:rPr>
            </w:pPr>
            <w:r>
              <w:rPr>
                <w:rFonts w:ascii="Arial" w:cs="Arial" w:eastAsia="Arial" w:hAnsi="Arial"/>
                <w:sz w:val="18"/>
                <w:szCs w:val="18"/>
                <w:color w:val="auto"/>
                <w:w w:val="94"/>
              </w:rPr>
              <w:t>Less: Reclassification adjustment for gains included in net income (1)</w:t>
            </w: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unrealized losses on investments</w:t>
            </w:r>
          </w:p>
        </w:tc>
        <w:tc>
          <w:tcPr>
            <w:tcW w:w="1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(12,156)</w:t>
            </w:r>
          </w:p>
        </w:tc>
        <w:tc>
          <w:tcPr>
            <w:tcW w:w="0" w:type="dxa"/>
            <w:vAlign w:val="bottom"/>
          </w:tcPr>
          <w:p>
            <w:pPr>
              <w:spacing w:after="0"/>
              <w:rPr>
                <w:sz w:val="1"/>
                <w:szCs w:val="1"/>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(15,097)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2,941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(12,156)</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1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2,181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(12,255)</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CCEEFF"/>
            </w:tcBorders>
            <w:vMerge w:val="restart"/>
          </w:tcPr>
          <w:p>
            <w:pPr>
              <w:jc w:val="right"/>
              <w:ind w:right="1030"/>
              <w:spacing w:after="0"/>
              <w:rPr>
                <w:sz w:val="20"/>
                <w:szCs w:val="20"/>
                <w:color w:val="auto"/>
              </w:rPr>
            </w:pPr>
            <w:r>
              <w:rPr>
                <w:rFonts w:ascii="Arial" w:cs="Arial" w:eastAsia="Arial" w:hAnsi="Arial"/>
                <w:sz w:val="18"/>
                <w:szCs w:val="18"/>
                <w:color w:val="auto"/>
              </w:rPr>
              <w:t>107</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40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37" w:right="25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Before Tax</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Tax Effect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4,667</w:t>
            </w:r>
          </w:p>
        </w:tc>
        <w:tc>
          <w:tcPr>
            <w:tcW w:w="0" w:type="dxa"/>
            <w:vAlign w:val="bottom"/>
          </w:tcPr>
          <w:p>
            <w:pPr>
              <w:spacing w:after="0"/>
              <w:rPr>
                <w:sz w:val="1"/>
                <w:szCs w:val="1"/>
                <w:color w:val="auto"/>
              </w:rPr>
            </w:pP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Unrealized holding losses arising during the period</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4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Less: Reclassification adjustment for gains included in net income (1)</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(2,214)</w:t>
            </w:r>
          </w:p>
        </w:tc>
        <w:tc>
          <w:tcPr>
            <w:tcW w:w="0" w:type="dxa"/>
            <w:vAlign w:val="bottom"/>
          </w:tcPr>
          <w:p>
            <w:pPr>
              <w:spacing w:after="0"/>
              <w:rPr>
                <w:sz w:val="1"/>
                <w:szCs w:val="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unrealized losses on investments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0" w:type="dxa"/>
            <w:vAlign w:val="bottom"/>
          </w:tcPr>
          <w:p>
            <w:pPr>
              <w:spacing w:after="0"/>
              <w:rPr>
                <w:sz w:val="1"/>
                <w:szCs w:val="1"/>
                <w:color w:val="auto"/>
              </w:rPr>
            </w:pPr>
          </w:p>
        </w:tc>
      </w:tr>
      <w:tr>
        <w:trPr>
          <w:trHeight w:val="237"/>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Other comprehensive loss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(4,766)</w:t>
            </w:r>
          </w:p>
        </w:tc>
        <w:tc>
          <w:tcPr>
            <w:tcW w:w="0" w:type="dxa"/>
            <w:vAlign w:val="bottom"/>
          </w:tcPr>
          <w:p>
            <w:pPr>
              <w:spacing w:after="0"/>
              <w:rPr>
                <w:sz w:val="1"/>
                <w:szCs w:val="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661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tc>
        <w:tc>
          <w:tcPr>
            <w:tcW w:w="1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96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(1) Included in net realized investments gains on our consolidated statements of comprehensive income.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Fair Value of Financial Instruments</w:t>
      </w:r>
    </w:p>
    <w:p>
      <w:pPr>
        <w:spacing w:after="0" w:line="229"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We carry certain of our financial instruments at fair value. We define fair value as the current amount that would be exchanged to sell an asset or transfer a liability, other than in a forced liquidation.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2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spacing w:after="0" w:line="187" w:lineRule="exact"/>
        <w:rPr>
          <w:sz w:val="20"/>
          <w:szCs w:val="20"/>
          <w:color w:val="auto"/>
        </w:rPr>
      </w:pPr>
    </w:p>
    <w:p>
      <w:pPr>
        <w:ind w:left="660" w:hanging="247"/>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 accessible at the measurement date.</w:t>
      </w:r>
    </w:p>
    <w:p>
      <w:pPr>
        <w:spacing w:after="0" w:line="225" w:lineRule="exact"/>
        <w:rPr>
          <w:rFonts w:ascii="Arial" w:cs="Arial" w:eastAsia="Arial" w:hAnsi="Arial"/>
          <w:sz w:val="18"/>
          <w:szCs w:val="18"/>
          <w:color w:val="auto"/>
        </w:rPr>
      </w:pPr>
    </w:p>
    <w:p>
      <w:pPr>
        <w:jc w:val="both"/>
        <w:ind w:left="660" w:right="240" w:hanging="247"/>
        <w:spacing w:after="0" w:line="26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181" w:lineRule="exact"/>
        <w:rPr>
          <w:rFonts w:ascii="Arial" w:cs="Arial" w:eastAsia="Arial" w:hAnsi="Arial"/>
          <w:sz w:val="18"/>
          <w:szCs w:val="18"/>
          <w:color w:val="auto"/>
        </w:rPr>
      </w:pPr>
    </w:p>
    <w:p>
      <w:pPr>
        <w:ind w:left="660" w:hanging="247"/>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Level 3—Valuations derived from one or more significant inputs that are unobservable.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Fair Value</w:t>
      </w:r>
    </w:p>
    <w:p>
      <w:pPr>
        <w:spacing w:after="0" w:line="229"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used the following methods and assumptions in estimating fair values of financial instruments:</w:t>
      </w:r>
    </w:p>
    <w:p>
      <w:pPr>
        <w:spacing w:after="0" w:line="225" w:lineRule="exact"/>
        <w:rPr>
          <w:sz w:val="20"/>
          <w:szCs w:val="20"/>
          <w:color w:val="auto"/>
        </w:rPr>
      </w:pPr>
    </w:p>
    <w:p>
      <w:pPr>
        <w:ind w:left="660" w:right="60" w:hanging="247"/>
        <w:spacing w:after="0" w:line="273"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Investments available for sale—Investments available for sale are valued using quoted market prices in active markets, when available, and those investments are classified as Level 1 of the fair value hierarchy. Level 1 investments available for sale include investments such as U.S. Treasury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U.S. agency securities, U.S. agency mortgage-backed securities, municipal debt securities, corporate debt securities, residential and commercial mortgage securities and asset-backed securities are classified as Level 2 investments.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337" w:right="259" w:bottom="1440" w:gutter="0" w:footer="0" w:header="0"/>
        </w:sectPr>
      </w:pPr>
    </w:p>
    <w:bookmarkStart w:id="113" w:name="page114"/>
    <w:bookmarkEnd w:id="113"/>
    <w:p>
      <w:pPr>
        <w:jc w:val="center"/>
        <w:ind w:right="353"/>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ind w:left="3147"/>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left="247" w:right="60" w:firstLine="648"/>
        <w:spacing w:after="0" w:line="269" w:lineRule="auto"/>
        <w:rPr>
          <w:sz w:val="20"/>
          <w:szCs w:val="20"/>
          <w:color w:val="auto"/>
        </w:rPr>
      </w:pPr>
      <w:r>
        <w:rPr>
          <w:rFonts w:ascii="Arial" w:cs="Arial" w:eastAsia="Arial" w:hAnsi="Arial"/>
          <w:sz w:val="17"/>
          <w:szCs w:val="17"/>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U.S. agency securities, U.S. agency mortgage-backed securities, municipal and corporate debt securities are valued by our primary vendor using recently executed transactions and proprietary models based on observable inputs, such as interest rate spreads, yield curves and credit risk. Residential and commercial mortgage securities and asset-backed securities are valued by our primary vendor using proprietary models based on observable inputs, such as interest rate spreads, prepayment speeds and credit risk. As part of our evaluation of investment prices provided by our primary pricing service, we obtained and reviewed their pricing methodologies which include a description of how each security type is evaluated and priced. We review the reasonableness of prices received from our primary pricing service by comparison to prices obtained from additional pricing sources. We have not made any adjustments to the prices obtained from our primary pricing service.</w:t>
      </w:r>
    </w:p>
    <w:p>
      <w:pPr>
        <w:spacing w:after="0" w:line="180" w:lineRule="exact"/>
        <w:rPr>
          <w:sz w:val="20"/>
          <w:szCs w:val="20"/>
          <w:color w:val="auto"/>
        </w:rPr>
      </w:pPr>
    </w:p>
    <w:p>
      <w:pPr>
        <w:ind w:left="247" w:right="100" w:hanging="247"/>
        <w:spacing w:after="0" w:line="272" w:lineRule="auto"/>
        <w:tabs>
          <w:tab w:leader="none" w:pos="247" w:val="left"/>
        </w:tabs>
        <w:numPr>
          <w:ilvl w:val="0"/>
          <w:numId w:val="56"/>
        </w:numPr>
        <w:rPr>
          <w:rFonts w:ascii="Arial" w:cs="Arial" w:eastAsia="Arial" w:hAnsi="Arial"/>
          <w:sz w:val="17"/>
          <w:szCs w:val="17"/>
          <w:color w:val="auto"/>
        </w:rPr>
      </w:pPr>
      <w:r>
        <w:rPr>
          <w:rFonts w:ascii="Arial" w:cs="Arial" w:eastAsia="Arial" w:hAnsi="Arial"/>
          <w:sz w:val="17"/>
          <w:szCs w:val="17"/>
          <w:color w:val="auto"/>
        </w:rPr>
        <w:t>Derivative liabilities—Through June 30, 2016, certain of our Freddie Mac ACIS contracts were accounted for as derivatives. In determining an exit market, we considered the fact that there is not a principal market for these contracts. In the absence of a principal market, we valued these ACIS contracts in a hypothetical market where market participants, and potential counterparties, included other mortgage guaranty insurers or reinsurers with similar credit quality to us. We believed that in the absence of a principal market, this hypothetical market provided the most relevant information with respect to fair value estimates. These ACIS contracts were classified as Level 3 of the fair value hierarchy. During the quarter ended September 30, 2016, these contracts were amended and are now accounted for as insurance contracts rather than as derivatives. As of December 31, 2016, the Company had no derivative instruments.</w:t>
      </w:r>
    </w:p>
    <w:p>
      <w:pPr>
        <w:spacing w:after="0" w:line="178" w:lineRule="exact"/>
        <w:rPr>
          <w:sz w:val="20"/>
          <w:szCs w:val="20"/>
          <w:color w:val="auto"/>
        </w:rPr>
      </w:pPr>
    </w:p>
    <w:p>
      <w:pPr>
        <w:ind w:left="247" w:firstLine="648"/>
        <w:spacing w:after="0" w:line="272" w:lineRule="auto"/>
        <w:rPr>
          <w:sz w:val="20"/>
          <w:szCs w:val="20"/>
          <w:color w:val="auto"/>
        </w:rPr>
      </w:pPr>
      <w:r>
        <w:rPr>
          <w:rFonts w:ascii="Arial" w:cs="Arial" w:eastAsia="Arial" w:hAnsi="Arial"/>
          <w:sz w:val="17"/>
          <w:szCs w:val="17"/>
          <w:color w:val="auto"/>
        </w:rPr>
        <w:t>Through June 30, 2016, we determined the fair value of our derivative instruments primarily using internally-generated models. We utilized market observable inputs, such as the performance of the underlying pool of mortgages, mortgage prepayment speeds and pricing spreads on the reference STACR notes issued by Freddie Mac, whenever they were available. There was a high degree of uncertainty about our fair value estimates since our contracts were not traded or exchanged, which made external validation and corroboration of our estimates difficult. Considerable judgment was required to interpret market data to develop the estimates of fair value. Accordingly, the estimates may not have been indicative of amounts we could have realized in a market exchange or negotiated termination. The use of different market assumptions or estimation methodologies may have had a material effect on the estimated fair value amounts.</w:t>
      </w:r>
    </w:p>
    <w:p>
      <w:pPr>
        <w:spacing w:after="0" w:line="200" w:lineRule="exact"/>
        <w:rPr>
          <w:sz w:val="20"/>
          <w:szCs w:val="20"/>
          <w:color w:val="auto"/>
        </w:rPr>
      </w:pPr>
    </w:p>
    <w:p>
      <w:pPr>
        <w:spacing w:after="0" w:line="221" w:lineRule="exact"/>
        <w:rPr>
          <w:sz w:val="20"/>
          <w:szCs w:val="20"/>
          <w:color w:val="auto"/>
        </w:rPr>
      </w:pPr>
    </w:p>
    <w:p>
      <w:pPr>
        <w:jc w:val="center"/>
        <w:ind w:right="353"/>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967"/>
          </w:cols>
          <w:pgMar w:left="653" w:top="337" w:right="27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w:t>
      </w:r>
    </w:p>
    <w:p>
      <w:pPr>
        <w:spacing w:after="0" w:line="229"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All assets measured at fair value are categorized in the table below based upon the lowest level of significant input to the valuations. All fair value measurements at the reporting date were on a recurring basis.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Quoted Prices</w:t>
            </w:r>
          </w:p>
        </w:tc>
        <w:tc>
          <w:tcPr>
            <w:tcW w:w="280" w:type="dxa"/>
            <w:vAlign w:val="bottom"/>
          </w:tcPr>
          <w:p>
            <w:pPr>
              <w:spacing w:after="0"/>
              <w:rPr>
                <w:sz w:val="14"/>
                <w:szCs w:val="14"/>
                <w:color w:val="auto"/>
              </w:rPr>
            </w:pPr>
          </w:p>
        </w:tc>
        <w:tc>
          <w:tcPr>
            <w:tcW w:w="14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Significant</w:t>
            </w: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in Active</w:t>
            </w: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Significant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Identical</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2016 (In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Instruments</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Financial Assets:</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191,548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191,548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18,441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18,441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316,494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316,494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Municipal debt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334,324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334,324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456,357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456,357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68,336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68,336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Asset-backed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127,172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127,172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spacing w:after="0"/>
              <w:rPr>
                <w:sz w:val="21"/>
                <w:szCs w:val="21"/>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102,430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102,430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293,978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1,321,124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1,615,102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Financial 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Derivative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liabilities at fair value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Quoted Prices</w:t>
            </w:r>
          </w:p>
        </w:tc>
        <w:tc>
          <w:tcPr>
            <w:tcW w:w="280" w:type="dxa"/>
            <w:vAlign w:val="bottom"/>
          </w:tcPr>
          <w:p>
            <w:pPr>
              <w:spacing w:after="0"/>
              <w:rPr>
                <w:sz w:val="24"/>
                <w:szCs w:val="24"/>
                <w:color w:val="auto"/>
              </w:rPr>
            </w:pPr>
          </w:p>
        </w:tc>
        <w:tc>
          <w:tcPr>
            <w:tcW w:w="14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Significant</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in Active</w:t>
            </w: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Significant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Identical</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2015 (In thousands)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Instruments</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Financial Assets:</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177,607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177,607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U.S. agency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13,782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13,782</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 agency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159,602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159,602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Municipal debt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279,828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279,828</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396,732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396,732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Residential and commercial mortgage securities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55,356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55,356</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Asset-backed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126,629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126,629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spacing w:after="0"/>
              <w:rPr>
                <w:sz w:val="21"/>
                <w:szCs w:val="21"/>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67,098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67,098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244,705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1,031,929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1,276,634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Financial 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Derivative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1,232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liabilities at fair value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Level 3 Recurring Fair Value Measurements</w:t>
      </w:r>
    </w:p>
    <w:p>
      <w:pPr>
        <w:spacing w:after="0" w:line="229" w:lineRule="exact"/>
        <w:rPr>
          <w:sz w:val="20"/>
          <w:szCs w:val="20"/>
          <w:color w:val="auto"/>
        </w:rPr>
      </w:pPr>
    </w:p>
    <w:p>
      <w:pPr>
        <w:jc w:val="both"/>
        <w:ind w:right="260" w:firstLine="432"/>
        <w:spacing w:after="0" w:line="264" w:lineRule="auto"/>
        <w:rPr>
          <w:sz w:val="20"/>
          <w:szCs w:val="20"/>
          <w:color w:val="auto"/>
        </w:rPr>
      </w:pPr>
      <w:r>
        <w:rPr>
          <w:rFonts w:ascii="Arial" w:cs="Arial" w:eastAsia="Arial" w:hAnsi="Arial"/>
          <w:sz w:val="18"/>
          <w:szCs w:val="18"/>
          <w:color w:val="auto"/>
        </w:rPr>
        <w:t>The following table presents changes during the years ended December 31, 2016 and 2015 in Level 3 liabilities measured at fair value on a recurring basis, and the net realized and unrealized losses (gains) related to the Level 3 liabilities in the consolidated balance sheets at December 31, 2016 and 2015. During the years ended December 31, 2016 and 2015, we had no Level 3 assets.</w:t>
      </w:r>
    </w:p>
    <w:p>
      <w:pPr>
        <w:sectPr>
          <w:pgSz w:w="11900" w:h="16838" w:orient="portrait"/>
          <w:cols w:equalWidth="0" w:num="1">
            <w:col w:w="11420"/>
          </w:cols>
          <w:pgMar w:left="240" w:top="337"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420"/>
          </w:cols>
          <w:pgMar w:left="240" w:top="337" w:right="239" w:bottom="1440" w:gutter="0" w:footer="0" w:header="0"/>
          <w:type w:val="continuous"/>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986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0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r>
      <w:tr>
        <w:trPr>
          <w:trHeight w:val="258"/>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Level 3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Fair value of derivative liabilities at beginning of period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661</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and unrealized losses (gains) included in income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sales, issues and settlements, net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1,663</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Gross transfers in</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transfers out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Fair value of derivative liabilities at end of period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1,232</w:t>
            </w:r>
          </w:p>
        </w:tc>
      </w:tr>
      <w:tr>
        <w:trPr>
          <w:trHeight w:val="67"/>
        </w:trPr>
        <w:tc>
          <w:tcPr>
            <w:tcW w:w="90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r>
      <w:tr>
        <w:trPr>
          <w:trHeight w:val="305"/>
        </w:trPr>
        <w:tc>
          <w:tcPr>
            <w:tcW w:w="9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Changes in net unrealized losses (gains) included in income on instruments held at end of period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(1,934)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(1,092)</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significant unobservable inputs used in our recurring Level 3 fair value measurements as of December 31, 2015:</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vMerge w:val="restart"/>
          </w:tcPr>
          <w:p>
            <w:pPr>
              <w:spacing w:after="0"/>
              <w:rPr>
                <w:sz w:val="14"/>
                <w:szCs w:val="14"/>
                <w:color w:val="auto"/>
              </w:rPr>
            </w:pPr>
          </w:p>
        </w:tc>
        <w:tc>
          <w:tcPr>
            <w:tcW w:w="21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vMerge w:val="restart"/>
          </w:tcPr>
          <w:p>
            <w:pPr>
              <w:spacing w:after="0"/>
              <w:rPr>
                <w:sz w:val="14"/>
                <w:szCs w:val="14"/>
                <w:color w:val="auto"/>
              </w:rPr>
            </w:pPr>
          </w:p>
        </w:tc>
        <w:tc>
          <w:tcPr>
            <w:tcW w:w="318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Unobservable Input</w:t>
            </w:r>
          </w:p>
        </w:tc>
        <w:tc>
          <w:tcPr>
            <w:tcW w:w="100" w:type="dxa"/>
            <w:vAlign w:val="bottom"/>
            <w:vMerge w:val="restart"/>
          </w:tcPr>
          <w:p>
            <w:pPr>
              <w:spacing w:after="0"/>
              <w:rPr>
                <w:sz w:val="14"/>
                <w:szCs w:val="14"/>
                <w:color w:val="auto"/>
              </w:rPr>
            </w:pPr>
          </w:p>
        </w:tc>
        <w:tc>
          <w:tcPr>
            <w:tcW w:w="1440" w:type="dxa"/>
            <w:vAlign w:val="bottom"/>
          </w:tcPr>
          <w:p>
            <w:pPr>
              <w:jc w:val="right"/>
              <w:ind w:right="337"/>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1,232</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Discounted cash flows</w:t>
            </w:r>
          </w:p>
        </w:tc>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Constant prepayment rate</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Default rate</w:t>
            </w:r>
          </w:p>
        </w:tc>
        <w:tc>
          <w:tcPr>
            <w:tcW w:w="1440" w:type="dxa"/>
            <w:vAlign w:val="bottom"/>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Reference STACR credit spread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7"/>
        </w:trPr>
        <w:tc>
          <w:tcPr>
            <w:tcW w:w="3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significant unobservable inputs used for derivative liabilities are constant prepayment rates ("CPR") and default rates on the reference pool of mortgages and the credit spreads on the reference STACR notes. An increase in the CPR, default rate or reference STACR credit spread will increase the fair value of the liability.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Statutory Accounting</w:t>
      </w:r>
    </w:p>
    <w:p>
      <w:pPr>
        <w:spacing w:after="0" w:line="22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 presents Essent Guaranty’s and Essent PA’s statutory net income, statutory surplus and contingency reserve liability as of and for the years ended December 31: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2014</w:t>
            </w:r>
          </w:p>
        </w:tc>
      </w:tr>
      <w:tr>
        <w:trPr>
          <w:trHeight w:val="25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Essent Guaranty</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gridSpan w:val="2"/>
          </w:tcPr>
          <w:p>
            <w:pPr>
              <w:ind w:left="280"/>
              <w:spacing w:after="0"/>
              <w:rPr>
                <w:sz w:val="20"/>
                <w:szCs w:val="20"/>
                <w:color w:val="auto"/>
              </w:rPr>
            </w:pPr>
            <w:r>
              <w:rPr>
                <w:rFonts w:ascii="Arial" w:cs="Arial" w:eastAsia="Arial" w:hAnsi="Arial"/>
                <w:sz w:val="18"/>
                <w:szCs w:val="18"/>
                <w:color w:val="auto"/>
              </w:rPr>
              <w:t>Statutory net income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215,951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172,688</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118,204</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Statutory surplus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578,887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522,172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465,226</w:t>
            </w:r>
          </w:p>
        </w:tc>
      </w:tr>
      <w:tr>
        <w:trPr>
          <w:trHeight w:val="243"/>
        </w:trPr>
        <w:tc>
          <w:tcPr>
            <w:tcW w:w="5740" w:type="dxa"/>
            <w:vAlign w:val="bottom"/>
            <w:gridSpan w:val="2"/>
          </w:tcPr>
          <w:p>
            <w:pPr>
              <w:ind w:left="280"/>
              <w:spacing w:after="0"/>
              <w:rPr>
                <w:sz w:val="20"/>
                <w:szCs w:val="20"/>
                <w:color w:val="auto"/>
              </w:rPr>
            </w:pPr>
            <w:r>
              <w:rPr>
                <w:rFonts w:ascii="Arial" w:cs="Arial" w:eastAsia="Arial" w:hAnsi="Arial"/>
                <w:sz w:val="18"/>
                <w:szCs w:val="18"/>
                <w:color w:val="auto"/>
              </w:rPr>
              <w:t>Contingency reserve liability</w:t>
            </w:r>
          </w:p>
        </w:tc>
        <w:tc>
          <w:tcPr>
            <w:tcW w:w="44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480,829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315,058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179,221</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97"/>
        </w:trPr>
        <w:tc>
          <w:tcPr>
            <w:tcW w:w="5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Essent PA</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Statutory net income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13,299</w:t>
            </w:r>
          </w:p>
        </w:tc>
      </w:tr>
      <w:tr>
        <w:trPr>
          <w:trHeight w:val="243"/>
        </w:trPr>
        <w:tc>
          <w:tcPr>
            <w:tcW w:w="5740" w:type="dxa"/>
            <w:vAlign w:val="bottom"/>
            <w:gridSpan w:val="2"/>
          </w:tcPr>
          <w:p>
            <w:pPr>
              <w:ind w:left="280"/>
              <w:spacing w:after="0"/>
              <w:rPr>
                <w:sz w:val="20"/>
                <w:szCs w:val="20"/>
                <w:color w:val="auto"/>
              </w:rPr>
            </w:pPr>
            <w:r>
              <w:rPr>
                <w:rFonts w:ascii="Arial" w:cs="Arial" w:eastAsia="Arial" w:hAnsi="Arial"/>
                <w:sz w:val="18"/>
                <w:szCs w:val="18"/>
                <w:color w:val="auto"/>
              </w:rPr>
              <w:t>Statutory surplus</w:t>
            </w:r>
          </w:p>
        </w:tc>
        <w:tc>
          <w:tcPr>
            <w:tcW w:w="44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47,387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47,139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42,672</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5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Contingency reserve liability</w:t>
            </w: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36,401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27,502</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16,909</w:t>
            </w:r>
          </w:p>
        </w:tc>
      </w:tr>
      <w:tr>
        <w:trPr>
          <w:trHeight w:val="27"/>
        </w:trPr>
        <w:tc>
          <w:tcPr>
            <w:tcW w:w="5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420"/>
          </w:cols>
          <w:pgMar w:left="240" w:top="337" w:right="239" w:bottom="1440" w:gutter="0" w:footer="0" w:header="0"/>
          <w:type w:val="continuous"/>
        </w:sectPr>
      </w:pPr>
    </w:p>
    <w:bookmarkStart w:id="116" w:name="page117"/>
    <w:bookmarkEnd w:id="116"/>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Net income determined in accordance with statutory accounting practices differs from GAAP. In 2016 and 2015, the more significant differences between net income determined under statutory accounting practices and GAAP for Essent Guaranty and Essent PA relate to policy acquisition costs and income taxes. Under statutory accounting practices, policy acquisition costs are expensed as incurred while such costs are capitalized and amortized to expense over the life of the policy under GAAP. As discussed in Note 12, we are eligible for a tax deduction, subject to certain limitations for amounts required by state law or regulation to be set aside in statutory contingency reserves when we purchase T&amp;L Bonds. Under statutory accounting practices, this deduction reduces the tax provision recorded by Essent Guaranty and Essent PA and, as a result, increases statutory net income and surplus as compared to net income and equity determined in accordance with GAAP.</w:t>
      </w:r>
    </w:p>
    <w:p>
      <w:pPr>
        <w:spacing w:after="0" w:line="178" w:lineRule="exact"/>
        <w:rPr>
          <w:sz w:val="20"/>
          <w:szCs w:val="20"/>
          <w:color w:val="auto"/>
        </w:rPr>
      </w:pPr>
    </w:p>
    <w:p>
      <w:pPr>
        <w:ind w:right="780" w:firstLine="432"/>
        <w:spacing w:after="0" w:line="277" w:lineRule="auto"/>
        <w:rPr>
          <w:sz w:val="20"/>
          <w:szCs w:val="20"/>
          <w:color w:val="auto"/>
        </w:rPr>
      </w:pPr>
      <w:r>
        <w:rPr>
          <w:rFonts w:ascii="Arial" w:cs="Arial" w:eastAsia="Arial" w:hAnsi="Arial"/>
          <w:sz w:val="18"/>
          <w:szCs w:val="18"/>
          <w:color w:val="auto"/>
        </w:rPr>
        <w:t>At December 31, 2016 and 2015, the statutory capital of our U.S. insurance subsidiaries, which is defined as the total of statutory surplus and contingency reserves, was in excess of the statutory capital necessary to satisfy their regulatory requirements.</w:t>
      </w:r>
    </w:p>
    <w:p>
      <w:pPr>
        <w:spacing w:after="0" w:line="170" w:lineRule="exact"/>
        <w:rPr>
          <w:sz w:val="20"/>
          <w:szCs w:val="20"/>
          <w:color w:val="auto"/>
        </w:rPr>
      </w:pPr>
    </w:p>
    <w:p>
      <w:pPr>
        <w:ind w:right="180" w:firstLine="432"/>
        <w:spacing w:after="0" w:line="293" w:lineRule="auto"/>
        <w:rPr>
          <w:sz w:val="20"/>
          <w:szCs w:val="20"/>
          <w:color w:val="auto"/>
        </w:rPr>
      </w:pPr>
      <w:r>
        <w:rPr>
          <w:rFonts w:ascii="Arial" w:cs="Arial" w:eastAsia="Arial" w:hAnsi="Arial"/>
          <w:sz w:val="16"/>
          <w:szCs w:val="16"/>
          <w:color w:val="auto"/>
        </w:rPr>
        <w:t>Effective December 31, 2015, Fannie Mae and Freddie Mac, at the direction of the Federal Housing Finance Agency,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As of December 31, 2016, Essent Guaranty, our GSE-approved mortgage insurance company, was in compliance with the PMIERs.</w:t>
      </w:r>
    </w:p>
    <w:p>
      <w:pPr>
        <w:spacing w:after="0" w:line="16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 xml:space="preserve">Statement of Statutory Accounting Principles No. 58, </w:t>
      </w:r>
      <w:r>
        <w:rPr>
          <w:rFonts w:ascii="Arial" w:cs="Arial" w:eastAsia="Arial" w:hAnsi="Arial"/>
          <w:sz w:val="16"/>
          <w:szCs w:val="16"/>
          <w:i w:val="1"/>
          <w:iCs w:val="1"/>
          <w:color w:val="auto"/>
        </w:rPr>
        <w:t>Mortgage Guaranty Insurance,</w:t>
      </w:r>
      <w:r>
        <w:rPr>
          <w:rFonts w:ascii="Arial" w:cs="Arial" w:eastAsia="Arial" w:hAnsi="Arial"/>
          <w:sz w:val="16"/>
          <w:szCs w:val="16"/>
          <w:color w:val="auto"/>
        </w:rPr>
        <w:t xml:space="preserve"> requires mortgage insurers to establish a special contingency reserve for statutory accounting purposes included in total liabilities equal to 50% of earned premium for that year. During 2016, Essent Guaranty increased its contingency reserve by $165.8 million and Essent PA increased its contingency reserve by $8.9 million.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Essent Guaranty and Essent PA did not release any amounts from their contingency reserves in 2016, 2015 or 2014.</w:t>
      </w:r>
    </w:p>
    <w:p>
      <w:pPr>
        <w:spacing w:after="0" w:line="165"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Under The Insurance Act 1978, as amended, and related regulations of Bermuda (the "Insurance Act"), Essent Re is required to annually prepare statutory financial statements and a statutory financial return in accordance with the financial reporting provisions of the Insurance Act, which is a basis other than GAAP. The Insurance Act also requires that Essent Re maintain minimum share capital of $1 million and must ensure that the value of its general business assets exceeds the amount of its general business liabilities by an amount greater than the prescribed minimum solvency margins and enhanced capital requirement pertaining to its general business. At December 31, 2016 and 2015, all such requirements were met.</w:t>
      </w:r>
    </w:p>
    <w:p>
      <w:pPr>
        <w:spacing w:after="0" w:line="173"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Essent Re's statutory capital and surplus was $390.9 million and $213.0 million as of December 31, 2016 and 2015, respectively, and statutory net income was $53.8 million and $26.7 million, respectively.</w:t>
      </w:r>
    </w:p>
    <w:p>
      <w:pPr>
        <w:spacing w:after="0" w:line="170" w:lineRule="exact"/>
        <w:rPr>
          <w:sz w:val="20"/>
          <w:szCs w:val="20"/>
          <w:color w:val="auto"/>
        </w:rPr>
      </w:pPr>
    </w:p>
    <w:p>
      <w:pPr>
        <w:ind w:right="240" w:firstLine="432"/>
        <w:spacing w:after="0" w:line="270" w:lineRule="auto"/>
        <w:rPr>
          <w:sz w:val="20"/>
          <w:szCs w:val="20"/>
          <w:color w:val="auto"/>
        </w:rPr>
      </w:pPr>
      <w:r>
        <w:rPr>
          <w:rFonts w:ascii="Arial" w:cs="Arial" w:eastAsia="Arial" w:hAnsi="Arial"/>
          <w:sz w:val="17"/>
          <w:szCs w:val="17"/>
          <w:color w:val="auto"/>
        </w:rPr>
        <w:t>Statutory capital and surplus and net income determined in accordance with statutory accounting practices differs from GAAP. The more significant differences from GAAP for Essent Re relate to policy acquisition costs and accounting for insurance and certain reinsurance policies issued in connection with the ACIS program. Under statutory accounting practices, policy acquisition costs are charged to expense when the related premiums are written while such costs are capitalized and amortized to expense over the life of the policy under GAAP. Under statutory accounting practices, the insurance and reinsurance policies issued in connection with the ACIS program are accounted for as insurance with premium received recorded as premiums earned. Through June 30, 2016, the insurance and certain reinsurance policies for the ACIS program were accounted for as derivatives under GAAP with the fair value of these policies reported as an asset or liability and changes in the fair value of these policies reported in earnings as a component of other income. During the quarter ended September 30, 2016, these contracts were amended and are now accounted for as insurance contracts rather than derivatives. See Note 16</w:t>
      </w:r>
      <w:r>
        <w:rPr>
          <w:rFonts w:ascii="Arial" w:cs="Arial" w:eastAsia="Arial" w:hAnsi="Arial"/>
          <w:sz w:val="17"/>
          <w:szCs w:val="17"/>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337" w:right="25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Capital Maintenance Agreement</w:t>
      </w:r>
    </w:p>
    <w:p>
      <w:pPr>
        <w:spacing w:after="0" w:line="22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Essent Guaranty has a capital maintenance agreement with Essent PA under which Essent Guaranty agreed to contribute funds, under specified conditions, to maintain Essent PA's risk-to-capital ratio at or below 25.0 to 1 in return for a surplus note. As of December 31, 2016, Essent PA's risk-to-capital ratio was 6.8:1 and there were no amounts outstanding related to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Quarterly Financial Data (Unaudited)</w:t>
      </w:r>
    </w:p>
    <w:p>
      <w:pPr>
        <w:spacing w:after="0" w:line="229" w:lineRule="exact"/>
        <w:rPr>
          <w:sz w:val="20"/>
          <w:szCs w:val="20"/>
          <w:color w:val="auto"/>
        </w:rPr>
      </w:pPr>
    </w:p>
    <w:p>
      <w:pPr>
        <w:ind w:right="320" w:firstLine="432"/>
        <w:spacing w:after="0" w:line="257" w:lineRule="auto"/>
        <w:rPr>
          <w:sz w:val="20"/>
          <w:szCs w:val="20"/>
          <w:color w:val="auto"/>
        </w:rPr>
      </w:pPr>
      <w:r>
        <w:rPr>
          <w:rFonts w:ascii="Arial" w:cs="Arial" w:eastAsia="Arial" w:hAnsi="Arial"/>
          <w:sz w:val="18"/>
          <w:szCs w:val="18"/>
          <w:color w:val="auto"/>
        </w:rPr>
        <w:t>The following table summarizes the unaudited results of operations for each quarter of 2016 and 2015. We have prepared the consolidated quarterly information on a basis consistent with the audited consolidated financial statements. In the opinion of management, the financial information reflects all adjustments (which include normal recurring adjustments) required for a fair presentation of the financial information for the quarters presented. This information should be read in conjunction with our audited financial statements and the related notes. The results of interim periods are not necessarily indicative of the results for the full year.</w:t>
      </w:r>
    </w:p>
    <w:p>
      <w:pPr>
        <w:spacing w:after="0" w:line="200" w:lineRule="exact"/>
        <w:rPr>
          <w:sz w:val="20"/>
          <w:szCs w:val="20"/>
          <w:color w:val="auto"/>
        </w:rPr>
      </w:pP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June 30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March 31</w:t>
            </w: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premiums earned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116,792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110,801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100,711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94,403</w:t>
            </w: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Other revenues</w:t>
            </w:r>
          </w:p>
        </w:tc>
        <w:tc>
          <w:tcPr>
            <w:tcW w:w="2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9,581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10,453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7,454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8,063</w:t>
            </w: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Provision for losses and LAE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3,731</w:t>
            </w: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Other underwriting and operating expenses</w:t>
            </w:r>
          </w:p>
        </w:tc>
        <w:tc>
          <w:tcPr>
            <w:tcW w:w="2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35,206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32,848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31,409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31,388</w:t>
            </w: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87,302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83,441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73,792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67,347</w:t>
            </w: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62,686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59,711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52,258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47,951</w:t>
            </w: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0.53</w:t>
            </w: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0.52</w:t>
            </w: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weighted average Common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90,991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90,961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90,912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90,785</w:t>
            </w: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Diluted weighted average Common Shares outstanding</w:t>
            </w:r>
          </w:p>
        </w:tc>
        <w:tc>
          <w:tcPr>
            <w:tcW w:w="2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92,577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92,399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92,138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91,859</w:t>
            </w:r>
          </w:p>
        </w:tc>
      </w:tr>
      <w:tr>
        <w:trPr>
          <w:trHeight w:val="642"/>
        </w:trPr>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64"/>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June 30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March 31</w:t>
            </w: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premiums earned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89,378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83,694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78,361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75,038</w:t>
            </w: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Other revenues</w:t>
            </w:r>
          </w:p>
        </w:tc>
        <w:tc>
          <w:tcPr>
            <w:tcW w:w="2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8,098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8,042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5,706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4,973</w:t>
            </w:r>
          </w:p>
        </w:tc>
      </w:tr>
      <w:tr>
        <w:trPr>
          <w:trHeight w:val="27"/>
        </w:trPr>
        <w:tc>
          <w:tcPr>
            <w:tcW w:w="5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Provision for losses and LAE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1,999</w:t>
            </w: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Other underwriting and operating expenses</w:t>
            </w:r>
          </w:p>
        </w:tc>
        <w:tc>
          <w:tcPr>
            <w:tcW w:w="2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29,627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28,714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27,148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27,498</w:t>
            </w:r>
          </w:p>
        </w:tc>
      </w:tr>
      <w:tr>
        <w:trPr>
          <w:trHeight w:val="27"/>
        </w:trPr>
        <w:tc>
          <w:tcPr>
            <w:tcW w:w="5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63,650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59,629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54,605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50,514</w:t>
            </w: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44,479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40,821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37,193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34,838</w:t>
            </w:r>
          </w:p>
        </w:tc>
      </w:tr>
      <w:tr>
        <w:trPr>
          <w:trHeight w:val="27"/>
        </w:trPr>
        <w:tc>
          <w:tcPr>
            <w:tcW w:w="5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0.39</w:t>
            </w: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0.38</w:t>
            </w:r>
          </w:p>
        </w:tc>
      </w:tr>
      <w:tr>
        <w:trPr>
          <w:trHeight w:val="27"/>
        </w:trPr>
        <w:tc>
          <w:tcPr>
            <w:tcW w:w="5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weighted average Common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90,454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90,418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90,344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90,185</w:t>
            </w:r>
          </w:p>
        </w:tc>
      </w:tr>
      <w:tr>
        <w:trPr>
          <w:trHeight w:val="243"/>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Diluted weighted average Common Shares outstanding</w:t>
            </w:r>
          </w:p>
        </w:tc>
        <w:tc>
          <w:tcPr>
            <w:tcW w:w="2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91,918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91,841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91,674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91,514</w:t>
            </w:r>
          </w:p>
        </w:tc>
      </w:tr>
      <w:tr>
        <w:trPr>
          <w:trHeight w:val="918"/>
        </w:trPr>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ind w:right="952"/>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00"/>
          </w:cols>
          <w:pgMar w:left="240" w:top="337" w:right="25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I—Summary of Investments—Other Than Investments in Related Parties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Type of Investment</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6"/>
              </w:rPr>
              <w:t>Amortized</w:t>
            </w:r>
          </w:p>
        </w:tc>
        <w:tc>
          <w:tcPr>
            <w:tcW w:w="380" w:type="dxa"/>
            <w:vAlign w:val="bottom"/>
          </w:tcPr>
          <w:p>
            <w:pPr>
              <w:spacing w:after="0"/>
              <w:rPr>
                <w:sz w:val="14"/>
                <w:szCs w:val="14"/>
                <w:color w:val="auto"/>
              </w:rPr>
            </w:pPr>
          </w:p>
        </w:tc>
        <w:tc>
          <w:tcPr>
            <w:tcW w:w="13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Fair</w:t>
            </w:r>
          </w:p>
        </w:tc>
        <w:tc>
          <w:tcPr>
            <w:tcW w:w="320" w:type="dxa"/>
            <w:vAlign w:val="bottom"/>
          </w:tcPr>
          <w:p>
            <w:pPr>
              <w:spacing w:after="0"/>
              <w:rPr>
                <w:sz w:val="14"/>
                <w:szCs w:val="14"/>
                <w:color w:val="auto"/>
              </w:rPr>
            </w:pPr>
          </w:p>
        </w:tc>
        <w:tc>
          <w:tcPr>
            <w:tcW w:w="1740" w:type="dxa"/>
            <w:vAlign w:val="bottom"/>
          </w:tcPr>
          <w:p>
            <w:pPr>
              <w:jc w:val="center"/>
              <w:ind w:right="235"/>
              <w:spacing w:after="0"/>
              <w:rPr>
                <w:sz w:val="20"/>
                <w:szCs w:val="20"/>
                <w:color w:val="auto"/>
              </w:rPr>
            </w:pPr>
            <w:r>
              <w:rPr>
                <w:rFonts w:ascii="Arial" w:cs="Arial" w:eastAsia="Arial" w:hAnsi="Arial"/>
                <w:sz w:val="14"/>
                <w:szCs w:val="14"/>
                <w:b w:val="1"/>
                <w:bCs w:val="1"/>
                <w:color w:val="auto"/>
                <w:w w:val="93"/>
              </w:rPr>
              <w:t>Amount at which</w:t>
            </w:r>
          </w:p>
        </w:tc>
        <w:tc>
          <w:tcPr>
            <w:tcW w:w="0" w:type="dxa"/>
            <w:vAlign w:val="bottom"/>
          </w:tcPr>
          <w:p>
            <w:pPr>
              <w:spacing w:after="0"/>
              <w:rPr>
                <w:sz w:val="1"/>
                <w:szCs w:val="1"/>
                <w:color w:val="auto"/>
              </w:rPr>
            </w:pPr>
          </w:p>
        </w:tc>
      </w:tr>
      <w:tr>
        <w:trPr>
          <w:trHeight w:val="149"/>
        </w:trPr>
        <w:tc>
          <w:tcPr>
            <w:tcW w:w="54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tcPr>
          <w:p>
            <w:pPr>
              <w:jc w:val="center"/>
              <w:ind w:right="235"/>
              <w:spacing w:after="0" w:line="149" w:lineRule="exact"/>
              <w:rPr>
                <w:sz w:val="20"/>
                <w:szCs w:val="20"/>
                <w:color w:val="auto"/>
              </w:rPr>
            </w:pPr>
            <w:r>
              <w:rPr>
                <w:rFonts w:ascii="Arial" w:cs="Arial" w:eastAsia="Arial" w:hAnsi="Arial"/>
                <w:sz w:val="14"/>
                <w:szCs w:val="14"/>
                <w:b w:val="1"/>
                <w:bCs w:val="1"/>
                <w:color w:val="auto"/>
                <w:w w:val="91"/>
              </w:rPr>
              <w:t>shown in the</w:t>
            </w:r>
          </w:p>
        </w:tc>
        <w:tc>
          <w:tcPr>
            <w:tcW w:w="0" w:type="dxa"/>
            <w:vAlign w:val="bottom"/>
          </w:tcPr>
          <w:p>
            <w:pPr>
              <w:spacing w:after="0"/>
              <w:rPr>
                <w:sz w:val="1"/>
                <w:szCs w:val="1"/>
                <w:color w:val="auto"/>
              </w:rPr>
            </w:pPr>
          </w:p>
        </w:tc>
      </w:tr>
      <w:tr>
        <w:trPr>
          <w:trHeight w:val="192"/>
        </w:trPr>
        <w:tc>
          <w:tcPr>
            <w:tcW w:w="54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380" w:type="dxa"/>
            <w:vAlign w:val="bottom"/>
          </w:tcPr>
          <w:p>
            <w:pPr>
              <w:spacing w:after="0"/>
              <w:rPr>
                <w:sz w:val="16"/>
                <w:szCs w:val="16"/>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Value</w:t>
            </w:r>
          </w:p>
        </w:tc>
        <w:tc>
          <w:tcPr>
            <w:tcW w:w="320" w:type="dxa"/>
            <w:vAlign w:val="bottom"/>
          </w:tcPr>
          <w:p>
            <w:pPr>
              <w:spacing w:after="0"/>
              <w:rPr>
                <w:sz w:val="16"/>
                <w:szCs w:val="16"/>
                <w:color w:val="auto"/>
              </w:rPr>
            </w:pPr>
          </w:p>
        </w:tc>
        <w:tc>
          <w:tcPr>
            <w:tcW w:w="1740" w:type="dxa"/>
            <w:vAlign w:val="bottom"/>
          </w:tcPr>
          <w:p>
            <w:pPr>
              <w:jc w:val="center"/>
              <w:ind w:right="235"/>
              <w:spacing w:after="0"/>
              <w:rPr>
                <w:sz w:val="20"/>
                <w:szCs w:val="20"/>
                <w:color w:val="auto"/>
              </w:rPr>
            </w:pPr>
            <w:r>
              <w:rPr>
                <w:rFonts w:ascii="Arial" w:cs="Arial" w:eastAsia="Arial" w:hAnsi="Arial"/>
                <w:sz w:val="14"/>
                <w:szCs w:val="14"/>
                <w:b w:val="1"/>
                <w:bCs w:val="1"/>
                <w:color w:val="auto"/>
                <w:w w:val="89"/>
              </w:rPr>
              <w:t>Balance Sheet</w:t>
            </w:r>
          </w:p>
        </w:tc>
        <w:tc>
          <w:tcPr>
            <w:tcW w:w="0" w:type="dxa"/>
            <w:vAlign w:val="bottom"/>
          </w:tcPr>
          <w:p>
            <w:pPr>
              <w:spacing w:after="0"/>
              <w:rPr>
                <w:sz w:val="1"/>
                <w:szCs w:val="1"/>
                <w:color w:val="auto"/>
              </w:rPr>
            </w:pPr>
          </w:p>
        </w:tc>
      </w:tr>
      <w:tr>
        <w:trPr>
          <w:trHeight w:val="250"/>
        </w:trPr>
        <w:tc>
          <w:tcPr>
            <w:tcW w:w="54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maturities: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Bonds:</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United States Government and government agencies and authorities</w:t>
            </w:r>
          </w:p>
        </w:tc>
        <w:tc>
          <w:tcPr>
            <w:tcW w:w="8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509,507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496,565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496,565</w:t>
            </w:r>
          </w:p>
        </w:tc>
        <w:tc>
          <w:tcPr>
            <w:tcW w:w="0" w:type="dxa"/>
            <w:vAlign w:val="bottom"/>
          </w:tcPr>
          <w:p>
            <w:pPr>
              <w:spacing w:after="0"/>
              <w:rPr>
                <w:sz w:val="1"/>
                <w:szCs w:val="1"/>
                <w:color w:val="auto"/>
              </w:rPr>
            </w:pPr>
          </w:p>
        </w:tc>
      </w:tr>
      <w:tr>
        <w:trPr>
          <w:trHeight w:val="243"/>
        </w:trPr>
        <w:tc>
          <w:tcPr>
            <w:tcW w:w="5440" w:type="dxa"/>
            <w:vAlign w:val="bottom"/>
          </w:tcPr>
          <w:p>
            <w:pPr>
              <w:ind w:left="380"/>
              <w:spacing w:after="0"/>
              <w:rPr>
                <w:sz w:val="20"/>
                <w:szCs w:val="20"/>
                <w:color w:val="auto"/>
              </w:rPr>
            </w:pPr>
            <w:r>
              <w:rPr>
                <w:rFonts w:ascii="Arial" w:cs="Arial" w:eastAsia="Arial" w:hAnsi="Arial"/>
                <w:sz w:val="18"/>
                <w:szCs w:val="18"/>
                <w:color w:val="auto"/>
              </w:rPr>
              <w:t>States, municipalities and political subdivisions</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334,048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334,324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334,324</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 and commercial mortgage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68,430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68,336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68,336</w:t>
            </w:r>
          </w:p>
        </w:tc>
        <w:tc>
          <w:tcPr>
            <w:tcW w:w="0" w:type="dxa"/>
            <w:vAlign w:val="bottom"/>
          </w:tcPr>
          <w:p>
            <w:pPr>
              <w:spacing w:after="0"/>
              <w:rPr>
                <w:sz w:val="1"/>
                <w:szCs w:val="1"/>
                <w:color w:val="auto"/>
              </w:rPr>
            </w:pPr>
          </w:p>
        </w:tc>
      </w:tr>
      <w:tr>
        <w:trPr>
          <w:trHeight w:val="243"/>
        </w:trPr>
        <w:tc>
          <w:tcPr>
            <w:tcW w:w="5440" w:type="dxa"/>
            <w:vAlign w:val="bottom"/>
          </w:tcPr>
          <w:p>
            <w:pPr>
              <w:ind w:left="380"/>
              <w:spacing w:after="0"/>
              <w:rPr>
                <w:sz w:val="20"/>
                <w:szCs w:val="20"/>
                <w:color w:val="auto"/>
              </w:rPr>
            </w:pPr>
            <w:r>
              <w:rPr>
                <w:rFonts w:ascii="Arial" w:cs="Arial" w:eastAsia="Arial" w:hAnsi="Arial"/>
                <w:sz w:val="18"/>
                <w:szCs w:val="18"/>
                <w:color w:val="auto"/>
              </w:rPr>
              <w:t>Asset-backed securities</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127,359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127,172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127,172</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All other corporate bonds</w:t>
            </w:r>
          </w:p>
        </w:tc>
        <w:tc>
          <w:tcPr>
            <w:tcW w:w="3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457,842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456,357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456,357</w:t>
            </w:r>
          </w:p>
        </w:tc>
        <w:tc>
          <w:tcPr>
            <w:tcW w:w="0" w:type="dxa"/>
            <w:vAlign w:val="bottom"/>
          </w:tcPr>
          <w:p>
            <w:pPr>
              <w:spacing w:after="0"/>
              <w:rPr>
                <w:sz w:val="1"/>
                <w:szCs w:val="1"/>
                <w:color w:val="auto"/>
              </w:rPr>
            </w:pPr>
          </w:p>
        </w:tc>
      </w:tr>
      <w:tr>
        <w:trPr>
          <w:trHeight w:val="237"/>
        </w:trPr>
        <w:tc>
          <w:tcPr>
            <w:tcW w:w="5440" w:type="dxa"/>
            <w:vAlign w:val="bottom"/>
          </w:tcPr>
          <w:p>
            <w:pPr>
              <w:ind w:left="180"/>
              <w:spacing w:after="0"/>
              <w:rPr>
                <w:sz w:val="20"/>
                <w:szCs w:val="20"/>
                <w:color w:val="auto"/>
              </w:rPr>
            </w:pPr>
            <w:r>
              <w:rPr>
                <w:rFonts w:ascii="Arial" w:cs="Arial" w:eastAsia="Arial" w:hAnsi="Arial"/>
                <w:sz w:val="18"/>
                <w:szCs w:val="18"/>
                <w:color w:val="auto"/>
              </w:rPr>
              <w:t>Total fixed maturities</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1,497,186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1,482,754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1,482,754</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3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132,352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132,348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132,348</w:t>
            </w:r>
          </w:p>
        </w:tc>
        <w:tc>
          <w:tcPr>
            <w:tcW w:w="0" w:type="dxa"/>
            <w:vAlign w:val="bottom"/>
          </w:tcPr>
          <w:p>
            <w:pPr>
              <w:spacing w:after="0"/>
              <w:rPr>
                <w:sz w:val="1"/>
                <w:szCs w:val="1"/>
                <w:color w:val="auto"/>
              </w:rPr>
            </w:pPr>
          </w:p>
        </w:tc>
      </w:tr>
      <w:tr>
        <w:trPr>
          <w:trHeight w:val="257"/>
        </w:trPr>
        <w:tc>
          <w:tcPr>
            <w:tcW w:w="5440" w:type="dxa"/>
            <w:vAlign w:val="bottom"/>
          </w:tcPr>
          <w:p>
            <w:pPr>
              <w:ind w:left="180"/>
              <w:spacing w:after="0"/>
              <w:rPr>
                <w:sz w:val="20"/>
                <w:szCs w:val="20"/>
                <w:color w:val="auto"/>
              </w:rPr>
            </w:pPr>
            <w:r>
              <w:rPr>
                <w:rFonts w:ascii="Arial" w:cs="Arial" w:eastAsia="Arial" w:hAnsi="Arial"/>
                <w:sz w:val="18"/>
                <w:szCs w:val="18"/>
                <w:color w:val="auto"/>
              </w:rPr>
              <w:t>Total investments</w:t>
            </w:r>
          </w:p>
        </w:tc>
        <w:tc>
          <w:tcPr>
            <w:tcW w:w="520" w:type="dxa"/>
            <w:vAlign w:val="bottom"/>
            <w:gridSpan w:val="2"/>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1,629,538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1,615,102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1,615,102</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114</w:t>
            </w: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440" w:type="dxa"/>
            <w:vAlign w:val="bottom"/>
          </w:tcPr>
          <w:p>
            <w:pPr>
              <w:spacing w:after="0"/>
              <w:rPr>
                <w:sz w:val="24"/>
                <w:szCs w:val="24"/>
                <w:color w:val="auto"/>
              </w:rPr>
            </w:pPr>
          </w:p>
        </w:tc>
        <w:tc>
          <w:tcPr>
            <w:tcW w:w="5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II—Condensed Financial Information of Registrant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264"/>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Investments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Fixed maturities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36,549</w:t>
            </w: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32,036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25,511</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42,040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62,060</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Cash</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4,521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8,541</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Due from affiliates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1,021</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Investment in consolidated subsidiaries</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1,393,720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w w:val="97"/>
              </w:rPr>
              <w:t>1,047,114</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866</w:t>
            </w:r>
          </w:p>
        </w:tc>
      </w:tr>
      <w:tr>
        <w:trPr>
          <w:trHeight w:val="297"/>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1,444,483</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7"/>
              </w:rPr>
              <w:t>1,119,602</w:t>
            </w:r>
          </w:p>
        </w:tc>
      </w:tr>
      <w:tr>
        <w:trPr>
          <w:trHeight w:val="311"/>
        </w:trPr>
        <w:tc>
          <w:tcPr>
            <w:tcW w:w="8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Liabilities and stockholders' equity</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Revolving credit facility borrowings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accrued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w:t>
            </w:r>
          </w:p>
        </w:tc>
      </w:tr>
      <w:tr>
        <w:trPr>
          <w:trHeight w:val="237"/>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100,710</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361</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Common shares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1,390</w:t>
            </w: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918,296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904,221</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436,335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213,729</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1,343,773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1,119,241</w:t>
            </w:r>
          </w:p>
        </w:tc>
      </w:tr>
      <w:tr>
        <w:trPr>
          <w:trHeight w:val="257"/>
        </w:trPr>
        <w:tc>
          <w:tcPr>
            <w:tcW w:w="85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1,444,483</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7"/>
              </w:rPr>
              <w:t>1,119,602</w:t>
            </w: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supplementary notes to Parent Company condensed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financial information and the consolidated financial statements and notes thereto.</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580"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II—Condensed Financial Information of Registrant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Revenues: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Net investment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1,019</w:t>
            </w: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Realized investment gains (losses), net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w:t>
            </w: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Administrative service fees from subsidiaries</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1,020</w:t>
            </w:r>
          </w:p>
        </w:tc>
      </w:tr>
      <w:tr>
        <w:trPr>
          <w:trHeight w:val="27"/>
        </w:trPr>
        <w:tc>
          <w:tcPr>
            <w:tcW w:w="7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2,257</w:t>
            </w:r>
          </w:p>
        </w:tc>
      </w:tr>
      <w:tr>
        <w:trPr>
          <w:trHeight w:val="237"/>
        </w:trPr>
        <w:tc>
          <w:tcPr>
            <w:tcW w:w="802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Expenses: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Administrative service fees to subsidiaries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826</w:t>
            </w: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Other operating expenses</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5,258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3,554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4,085</w:t>
            </w:r>
          </w:p>
        </w:tc>
      </w:tr>
      <w:tr>
        <w:trPr>
          <w:trHeight w:val="27"/>
        </w:trPr>
        <w:tc>
          <w:tcPr>
            <w:tcW w:w="7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expenses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4,911</w:t>
            </w: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Loss before income taxes and equity in undistributed net income in subsidiaries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(2,654)</w:t>
            </w:r>
          </w:p>
        </w:tc>
      </w:tr>
      <w:tr>
        <w:trPr>
          <w:trHeight w:val="27"/>
        </w:trPr>
        <w:tc>
          <w:tcPr>
            <w:tcW w:w="7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before equity in undistributed net income of subsidiaries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(2,654)</w:t>
            </w: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Equity in undistributed net income of subsidiaries</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228,756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161,970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91,151</w:t>
            </w:r>
          </w:p>
        </w:tc>
      </w:tr>
      <w:tr>
        <w:trPr>
          <w:trHeight w:val="27"/>
        </w:trPr>
        <w:tc>
          <w:tcPr>
            <w:tcW w:w="7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222,606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157,331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88,497</w:t>
            </w: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8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Change in unrealized (depreciation) appreciation of investments, net of tax (benefit) expense of ($2,941)</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57"/>
        </w:trPr>
        <w:tc>
          <w:tcPr>
            <w:tcW w:w="80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in 2016, ($1,285) in 2015 and $2,825 in 2014</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6,114</w:t>
            </w:r>
          </w:p>
        </w:tc>
      </w:tr>
      <w:tr>
        <w:trPr>
          <w:trHeight w:val="237"/>
        </w:trPr>
        <w:tc>
          <w:tcPr>
            <w:tcW w:w="8020" w:type="dxa"/>
            <w:vAlign w:val="bottom"/>
            <w:gridSpan w:val="2"/>
          </w:tcPr>
          <w:p>
            <w:pPr>
              <w:ind w:left="180"/>
              <w:spacing w:after="0"/>
              <w:rPr>
                <w:sz w:val="20"/>
                <w:szCs w:val="20"/>
                <w:color w:val="auto"/>
              </w:rPr>
            </w:pPr>
            <w:r>
              <w:rPr>
                <w:rFonts w:ascii="Arial" w:cs="Arial" w:eastAsia="Arial" w:hAnsi="Arial"/>
                <w:sz w:val="18"/>
                <w:szCs w:val="18"/>
                <w:color w:val="auto"/>
              </w:rPr>
              <w:t>Total other comprehensive (loss) income</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6,114</w:t>
            </w:r>
          </w:p>
        </w:tc>
      </w:tr>
      <w:tr>
        <w:trPr>
          <w:trHeight w:val="27"/>
        </w:trPr>
        <w:tc>
          <w:tcPr>
            <w:tcW w:w="7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8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210,450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152,565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94,611</w:t>
            </w:r>
          </w:p>
        </w:tc>
      </w:tr>
      <w:tr>
        <w:trPr>
          <w:trHeight w:val="20"/>
        </w:trPr>
        <w:tc>
          <w:tcPr>
            <w:tcW w:w="7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supplementary notes to Parent Company condensed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financial information and the consolidated financial statements and notes thereto.</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580"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II—Condensed Financial Information of Registrant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7"/>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r>
      <w:tr>
        <w:trPr>
          <w:trHeight w:val="25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222,606</w:t>
            </w:r>
          </w:p>
        </w:tc>
        <w:tc>
          <w:tcPr>
            <w:tcW w:w="5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157,331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88,497</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Equity in net income of subsidiaries</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(228,756)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(161,970)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(91,151)</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(Gain) loss on the sale of investments, net</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43"/>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 expense</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1,076</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premium on investment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w:t>
            </w:r>
          </w:p>
        </w:tc>
      </w:tr>
      <w:tr>
        <w:trPr>
          <w:trHeight w:val="243"/>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Excess tax benefits from stock-based compensation</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(1,809)</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38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(358)</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8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accrued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17,433</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15,153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13,252</w:t>
            </w:r>
          </w:p>
        </w:tc>
      </w:tr>
      <w:tr>
        <w:trPr>
          <w:trHeight w:val="237"/>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11,259</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9,514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9,791</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Net change in short-term investments</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(6,525)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91,119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(114,628)</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Investments in subsidiaries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(130,101)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(255,155)</w:t>
            </w:r>
          </w:p>
        </w:tc>
      </w:tr>
      <w:tr>
        <w:trPr>
          <w:trHeight w:val="243"/>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Purchase of investments available for sale</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(130,461)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(95,128)</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maturity of investments available for sale</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Proceeds from sales of investments available for sale</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16,582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94,429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93,650</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(110,044)</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(371,261)</w:t>
            </w:r>
          </w:p>
        </w:tc>
      </w:tr>
      <w:tr>
        <w:trPr>
          <w:trHeight w:val="237"/>
        </w:trPr>
        <w:tc>
          <w:tcPr>
            <w:tcW w:w="686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Revolving credit facility borrowings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Treasury stock acquired</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(4,024)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(2,498)</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Payment of issuance costs for revolving credit facility</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Excess tax benefits from stock-based compensation</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1,809</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Issuance of common shares net of costs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126,441</w:t>
            </w:r>
          </w:p>
        </w:tc>
      </w:tr>
      <w:tr>
        <w:trPr>
          <w:trHeight w:val="243"/>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Other financing activities</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94,765</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125,752</w:t>
            </w:r>
          </w:p>
        </w:tc>
      </w:tr>
      <w:tr>
        <w:trPr>
          <w:trHeight w:val="237"/>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Net (decrease) increase in cash</w:t>
            </w: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(4,020)</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(235,718)</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at beginning of year</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8,541</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244,218</w:t>
            </w:r>
          </w:p>
        </w:tc>
      </w:tr>
      <w:tr>
        <w:trPr>
          <w:trHeight w:val="257"/>
        </w:trPr>
        <w:tc>
          <w:tcPr>
            <w:tcW w:w="686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at end of year</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4,521</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8,541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8,500</w:t>
            </w: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supplementary notes to Parent Company condensed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financial information and the consolidated financial statements and notes thereto.</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580" w:right="239" w:bottom="1440" w:gutter="0" w:footer="0" w:header="0"/>
        </w:sectPr>
      </w:pPr>
    </w:p>
    <w:bookmarkStart w:id="122" w:name="page123"/>
    <w:bookmarkEnd w:id="122"/>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Schedule II—Condensed Financial Information of Registrant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Parent Company Only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Supplementary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w:t>
      </w:r>
    </w:p>
    <w:p>
      <w:pPr>
        <w:spacing w:after="0" w:line="229"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The accompanying Parent Company financial statements should be read in conjunction with the consolidated financial statements and notes to consolidated financial statements. These financial statements have been prepared on the same basis and using the same accounting policies as described in the consolidated financial statements included herein, except that the Parent Company uses the equity-method of accounting for its majority-owned subsidiaries.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w:t>
      </w:r>
    </w:p>
    <w:p>
      <w:pPr>
        <w:spacing w:after="0" w:line="229" w:lineRule="exact"/>
        <w:rPr>
          <w:sz w:val="20"/>
          <w:szCs w:val="20"/>
          <w:color w:val="auto"/>
        </w:rPr>
      </w:pPr>
    </w:p>
    <w:p>
      <w:pPr>
        <w:ind w:right="220" w:firstLine="432"/>
        <w:spacing w:after="0" w:line="276" w:lineRule="auto"/>
        <w:rPr>
          <w:sz w:val="20"/>
          <w:szCs w:val="20"/>
          <w:color w:val="auto"/>
        </w:rPr>
      </w:pPr>
      <w:r>
        <w:rPr>
          <w:rFonts w:ascii="Arial" w:cs="Arial" w:eastAsia="Arial" w:hAnsi="Arial"/>
          <w:sz w:val="17"/>
          <w:szCs w:val="17"/>
          <w:color w:val="auto"/>
        </w:rPr>
        <w:t>Under the insurance laws of the Commonwealth of Pennsylvania, the insurance subsidiaries may pay dividends during any 12-month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As of December 31, 2016, Essent Guaranty had unassigned surplus of approximately $13.6 million. Essent PA had unassigned surplus of approximately $8.4 million as of December 31, 2016. Essent PA paid a $5.0 million dividend to Essent Holdings in February 2017.</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three years ending December 31, 2016, the Parent Company did not receive any dividends from its subsidiaries.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40" w:top="580" w:right="279" w:bottom="1440" w:gutter="0" w:footer="0" w:header="0"/>
        </w:sectPr>
      </w:pPr>
    </w:p>
    <w:bookmarkStart w:id="123" w:name="page124"/>
    <w:bookmarkEnd w:id="123"/>
    <w:p>
      <w:pPr>
        <w:spacing w:after="0"/>
        <w:tabs>
          <w:tab w:leader="none" w:pos="82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Annual Report. Based on this evaluation, our chief executive officer and chief financial officer concluded that our disclosure controls and procedures were effective as of December 31, 2016, the end of the period covered by this Annual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defined in Rules 13a-15(f) and 15d-15(f) under the Exchange Act.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4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8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Management, including our chief executive officer and chief financial officer, assessed the effectiveness of internal control over financial reporting as of December 31, 2016. Management based this assessment on criteria for effective internal control over financial reporting described in "Internal Control— Integrated Framework (2013)" issued by the Committee of Sponsoring Organizations of the Treadway Commission. Based on this assessment, management determined that, as of December 31, 2016, the Company maintained effective internal control over financial reporting to provide reasonable assurance regarding the reliability of financial reporting and the preparation of financial statements for external purposes in accordance with generally accepted accounting principles.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effectiveness of the Company's internal control over financial reporting as of December 31, 2016 has been audited by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PricewaterhouseCoopers LLP, an independent registered public accounting firm, as stated in their report, which is included in this Annual Report on Form 10-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60" w:firstLine="432"/>
        <w:spacing w:after="0" w:line="264" w:lineRule="auto"/>
        <w:rPr>
          <w:sz w:val="20"/>
          <w:szCs w:val="20"/>
          <w:color w:val="auto"/>
        </w:rPr>
      </w:pPr>
      <w:r>
        <w:rPr>
          <w:rFonts w:ascii="Arial" w:cs="Arial" w:eastAsia="Arial" w:hAnsi="Arial"/>
          <w:sz w:val="18"/>
          <w:szCs w:val="18"/>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17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580" w:right="239" w:bottom="1440" w:gutter="0" w:footer="0" w:header="0"/>
        </w:sectPr>
      </w:pPr>
    </w:p>
    <w:bookmarkStart w:id="124" w:name="page125"/>
    <w:bookmarkEnd w:id="124"/>
    <w:p>
      <w:pPr>
        <w:ind w:left="5360"/>
        <w:spacing w:after="0"/>
        <w:rPr>
          <w:sz w:val="20"/>
          <w:szCs w:val="20"/>
          <w:color w:val="auto"/>
        </w:rPr>
      </w:pPr>
      <w:r>
        <w:rPr>
          <w:rFonts w:ascii="Arial" w:cs="Arial" w:eastAsia="Arial" w:hAnsi="Arial"/>
          <w:sz w:val="18"/>
          <w:szCs w:val="18"/>
          <w:b w:val="1"/>
          <w:bCs w:val="1"/>
          <w:color w:val="auto"/>
        </w:rPr>
        <w:t>PART III</w:t>
      </w:r>
    </w:p>
    <w:p>
      <w:pPr>
        <w:spacing w:after="0" w:line="36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83" w:lineRule="exact"/>
        <w:rPr>
          <w:sz w:val="20"/>
          <w:szCs w:val="20"/>
          <w:color w:val="auto"/>
        </w:rPr>
      </w:pPr>
    </w:p>
    <w:p>
      <w:pPr>
        <w:ind w:right="40" w:firstLine="432"/>
        <w:spacing w:after="0" w:line="434" w:lineRule="auto"/>
        <w:rPr>
          <w:sz w:val="20"/>
          <w:szCs w:val="20"/>
          <w:color w:val="auto"/>
        </w:rPr>
      </w:pPr>
      <w:r>
        <w:rPr>
          <w:rFonts w:ascii="Arial" w:cs="Arial" w:eastAsia="Arial" w:hAnsi="Arial"/>
          <w:sz w:val="18"/>
          <w:szCs w:val="18"/>
          <w:color w:val="auto"/>
        </w:rPr>
        <w:t xml:space="preserve">Incorporated herein by reference to our definitive proxy statement to be filed with respect to our 2017 Annual General Meeting of Shareholders. </w:t>
      </w:r>
      <w:r>
        <w:rPr>
          <w:rFonts w:ascii="Arial" w:cs="Arial" w:eastAsia="Arial" w:hAnsi="Arial"/>
          <w:sz w:val="18"/>
          <w:szCs w:val="18"/>
          <w:b w:val="1"/>
          <w:bCs w:val="1"/>
          <w:color w:val="auto"/>
        </w:rPr>
        <w:t>ITEM 11. EXECUTIVE COMPENSATION</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Incorporated herein by reference to our definitive proxy statement to be filed with respect to our 2017 Annual General Meeting of Shareholders.</w:t>
      </w:r>
    </w:p>
    <w:p>
      <w:pPr>
        <w:spacing w:after="0" w:line="244" w:lineRule="exact"/>
        <w:rPr>
          <w:sz w:val="20"/>
          <w:szCs w:val="20"/>
          <w:color w:val="auto"/>
        </w:rPr>
      </w:pPr>
    </w:p>
    <w:p>
      <w:pPr>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Incorporated herein by reference to our definitive proxy statement to be filed with respect to our 2017 Annual General Meeting of Shareholders.</w:t>
      </w:r>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Incorporated herein by reference to our definitive proxy statement to be filed with respect to our 2017 Annual General Meeting of Shareholders.</w:t>
      </w:r>
    </w:p>
    <w:p>
      <w:pPr>
        <w:spacing w:after="0" w:line="24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Incorporated herein by reference to our definitive proxy statement to be filed with respect to our 2017 Annual General Meeting of Shareholders.</w:t>
      </w:r>
    </w:p>
    <w:p>
      <w:pPr>
        <w:spacing w:after="0" w:line="200" w:lineRule="exact"/>
        <w:rPr>
          <w:sz w:val="20"/>
          <w:szCs w:val="20"/>
          <w:color w:val="auto"/>
        </w:rPr>
      </w:pPr>
    </w:p>
    <w:p>
      <w:pPr>
        <w:spacing w:after="0" w:line="291"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860"/>
          </w:cols>
          <w:pgMar w:left="240" w:top="580" w:right="799" w:bottom="1440" w:gutter="0" w:footer="0" w:header="0"/>
        </w:sectPr>
      </w:pPr>
    </w:p>
    <w:bookmarkStart w:id="125" w:name="page126"/>
    <w:bookmarkEnd w:id="125"/>
    <w:p>
      <w:pPr>
        <w:jc w:val="center"/>
        <w:ind w:right="-2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229"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225" w:lineRule="exact"/>
        <w:rPr>
          <w:rFonts w:ascii="Arial" w:cs="Arial" w:eastAsia="Arial" w:hAnsi="Arial"/>
          <w:sz w:val="18"/>
          <w:szCs w:val="18"/>
          <w:color w:val="auto"/>
        </w:rPr>
      </w:pPr>
    </w:p>
    <w:p>
      <w:pPr>
        <w:ind w:left="1120" w:hanging="459"/>
        <w:spacing w:after="0" w:line="277" w:lineRule="auto"/>
        <w:rPr>
          <w:rFonts w:ascii="Arial" w:cs="Arial" w:eastAsia="Arial" w:hAnsi="Arial"/>
          <w:sz w:val="18"/>
          <w:szCs w:val="18"/>
          <w:color w:val="auto"/>
        </w:rPr>
      </w:pPr>
      <w:r>
        <w:rPr>
          <w:rFonts w:ascii="Arial" w:cs="Arial" w:eastAsia="Arial" w:hAnsi="Arial"/>
          <w:sz w:val="18"/>
          <w:szCs w:val="18"/>
          <w:color w:val="auto"/>
        </w:rPr>
        <w:t>1.Financial Statements. See the "Index to Financial Statements—Consolidated Financial Statements" included in Item 8 of Part II of this Annual Report for a list of the financial statements filed as a part of this Annual Report.</w:t>
      </w:r>
    </w:p>
    <w:p>
      <w:pPr>
        <w:spacing w:after="0" w:line="170" w:lineRule="exact"/>
        <w:rPr>
          <w:rFonts w:ascii="Arial" w:cs="Arial" w:eastAsia="Arial" w:hAnsi="Arial"/>
          <w:sz w:val="18"/>
          <w:szCs w:val="18"/>
          <w:color w:val="auto"/>
        </w:rPr>
      </w:pPr>
    </w:p>
    <w:p>
      <w:pPr>
        <w:ind w:left="1120" w:right="100" w:hanging="459"/>
        <w:spacing w:after="0" w:line="277" w:lineRule="auto"/>
        <w:rPr>
          <w:rFonts w:ascii="Arial" w:cs="Arial" w:eastAsia="Arial" w:hAnsi="Arial"/>
          <w:sz w:val="18"/>
          <w:szCs w:val="18"/>
          <w:color w:val="auto"/>
        </w:rPr>
      </w:pPr>
      <w:r>
        <w:rPr>
          <w:rFonts w:ascii="Arial" w:cs="Arial" w:eastAsia="Arial" w:hAnsi="Arial"/>
          <w:sz w:val="18"/>
          <w:szCs w:val="18"/>
          <w:color w:val="auto"/>
        </w:rPr>
        <w:t>2.Financial Statements Schedules. See the "Index to Financial Statements—Financial Statement Schedules" included in Item 8 of Part II of this Annual Report for a list of the financial statements filed as a part of this Annual Report.</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3.Exhibits.  See the "Exhibit Index" immediately following the signature page to this Annual Report.</w:t>
      </w:r>
    </w:p>
    <w:p>
      <w:pPr>
        <w:spacing w:after="0" w:line="200" w:lineRule="exact"/>
        <w:rPr>
          <w:sz w:val="20"/>
          <w:szCs w:val="20"/>
          <w:color w:val="auto"/>
        </w:rPr>
      </w:pPr>
    </w:p>
    <w:p>
      <w:pPr>
        <w:spacing w:after="0" w:line="26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00"/>
          </w:cols>
          <w:pgMar w:left="240" w:top="580" w:right="45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Under the requirements of Section 13 or 15(d) of the Securities Exchange Act of 1934, this report was signed on behalf of the Registrant by the authorized person named below in Radnor, Pennsylvania on the 15th day of February, 2017.</w:t>
      </w:r>
    </w:p>
    <w:p>
      <w:pPr>
        <w:spacing w:after="0" w:line="200" w:lineRule="exact"/>
        <w:rPr>
          <w:sz w:val="20"/>
          <w:szCs w:val="20"/>
          <w:color w:val="auto"/>
        </w:rPr>
      </w:pPr>
    </w:p>
    <w:p>
      <w:pPr>
        <w:spacing w:after="0" w:line="268" w:lineRule="exact"/>
        <w:rPr>
          <w:sz w:val="20"/>
          <w:szCs w:val="20"/>
          <w:color w:val="auto"/>
        </w:rPr>
      </w:pPr>
    </w:p>
    <w:tbl>
      <w:tblPr>
        <w:tblLayout w:type="fixed"/>
        <w:tblInd w:w="5280" w:type="dxa"/>
        <w:tblCellMar>
          <w:top w:w="0" w:type="dxa"/>
          <w:left w:w="0" w:type="dxa"/>
          <w:bottom w:w="0" w:type="dxa"/>
          <w:right w:w="0" w:type="dxa"/>
        </w:tblCellMar>
      </w:tblP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ESSENT GROUP LTD.</w:t>
            </w:r>
          </w:p>
        </w:tc>
        <w:tc>
          <w:tcPr>
            <w:tcW w:w="4060" w:type="dxa"/>
            <w:vAlign w:val="bottom"/>
          </w:tcPr>
          <w:p>
            <w:pPr>
              <w:spacing w:after="0"/>
              <w:rPr>
                <w:sz w:val="20"/>
                <w:szCs w:val="20"/>
                <w:color w:val="auto"/>
              </w:rPr>
            </w:pP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/s/ MARK A. CASALE</w:t>
            </w:r>
          </w:p>
        </w:tc>
      </w:tr>
      <w:tr>
        <w:trPr>
          <w:trHeight w:val="27"/>
        </w:trPr>
        <w:tc>
          <w:tcPr>
            <w:tcW w:w="10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37"/>
        </w:trPr>
        <w:tc>
          <w:tcPr>
            <w:tcW w:w="10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auto"/>
              </w:rPr>
              <w:t>Name:</w:t>
            </w:r>
          </w:p>
        </w:tc>
        <w:tc>
          <w:tcPr>
            <w:tcW w:w="4060" w:type="dxa"/>
            <w:vAlign w:val="bottom"/>
          </w:tcPr>
          <w:p>
            <w:pPr>
              <w:ind w:left="340"/>
              <w:spacing w:after="0"/>
              <w:rPr>
                <w:sz w:val="20"/>
                <w:szCs w:val="20"/>
                <w:color w:val="auto"/>
              </w:rPr>
            </w:pPr>
            <w:r>
              <w:rPr>
                <w:rFonts w:ascii="Arial" w:cs="Arial" w:eastAsia="Arial" w:hAnsi="Arial"/>
                <w:sz w:val="18"/>
                <w:szCs w:val="18"/>
                <w:color w:val="auto"/>
              </w:rPr>
              <w:t>Mark A. Casale</w:t>
            </w:r>
          </w:p>
        </w:tc>
      </w:tr>
    </w:tbl>
    <w:p>
      <w:pPr>
        <w:spacing w:after="0" w:line="40" w:lineRule="exact"/>
        <w:rPr>
          <w:sz w:val="20"/>
          <w:szCs w:val="20"/>
          <w:color w:val="auto"/>
        </w:rPr>
      </w:pPr>
    </w:p>
    <w:p>
      <w:pPr>
        <w:ind w:left="632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Chairman of the Board of Directors, Chief</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8"/>
          <w:szCs w:val="18"/>
          <w:i w:val="1"/>
          <w:iCs w:val="1"/>
          <w:color w:val="auto"/>
        </w:rPr>
        <w:t>Executive Officer and President</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w:t>
      </w:r>
    </w:p>
    <w:p>
      <w:pPr>
        <w:spacing w:after="0" w:line="141"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Under the requirements of the Securities Exchange Act of 1934, this report was signed by the following persons on behalf of the Registrant and in the capacities and on the date indicated.</w:t>
      </w:r>
    </w:p>
    <w:p>
      <w:pPr>
        <w:sectPr>
          <w:pgSz w:w="11900" w:h="16838" w:orient="portrait"/>
          <w:cols w:equalWidth="0" w:num="1">
            <w:col w:w="11420"/>
          </w:cols>
          <w:pgMar w:left="240" w:top="715" w:right="2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1760"/>
        <w:spacing w:after="0"/>
        <w:rPr>
          <w:sz w:val="20"/>
          <w:szCs w:val="20"/>
          <w:color w:val="auto"/>
        </w:rPr>
      </w:pPr>
      <w:r>
        <w:rPr>
          <w:rFonts w:ascii="Arial" w:cs="Arial" w:eastAsia="Arial" w:hAnsi="Arial"/>
          <w:sz w:val="14"/>
          <w:szCs w:val="14"/>
          <w:b w:val="1"/>
          <w:bCs w:val="1"/>
          <w:u w:val="single" w:color="auto"/>
          <w:color w:val="auto"/>
        </w:rPr>
        <w:t>Signature</w:t>
      </w:r>
    </w:p>
    <w:p>
      <w:pPr>
        <w:spacing w:after="0" w:line="32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Mark A. Casale</w:t>
      </w:r>
    </w:p>
    <w:p>
      <w:pPr>
        <w:spacing w:after="0" w:line="360"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6155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6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Lawrence E. McAlee</w:t>
      </w:r>
    </w:p>
    <w:p>
      <w:pPr>
        <w:spacing w:after="0" w:line="36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David B. Weinstock</w:t>
      </w:r>
    </w:p>
    <w:p>
      <w:pPr>
        <w:spacing w:after="0" w:line="36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ADITYA DUTT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Aditya Dutt</w:t>
      </w:r>
    </w:p>
    <w:p>
      <w:pPr>
        <w:spacing w:after="0" w:line="36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ROBERT GLANVILLE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Robert Glanville</w:t>
      </w:r>
    </w:p>
    <w:p>
      <w:pPr>
        <w:spacing w:after="0" w:line="36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ROY J. KASMAR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Roy J. Kasmar</w:t>
      </w:r>
    </w:p>
    <w:p>
      <w:pPr>
        <w:spacing w:after="0" w:line="36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ALLAN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Allan Levine</w:t>
      </w:r>
    </w:p>
    <w:p>
      <w:pPr>
        <w:spacing w:after="0" w:line="36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 ADOLFO MARZOL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155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Adolfo Marzol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2460" w:type="dxa"/>
            <w:vAlign w:val="bottom"/>
            <w:gridSpan w:val="2"/>
          </w:tcPr>
          <w:p>
            <w:pPr>
              <w:jc w:val="center"/>
              <w:ind w:right="2180"/>
              <w:spacing w:after="0"/>
              <w:rPr>
                <w:sz w:val="20"/>
                <w:szCs w:val="20"/>
                <w:color w:val="auto"/>
              </w:rPr>
            </w:pPr>
            <w:r>
              <w:rPr>
                <w:rFonts w:ascii="Arial" w:cs="Arial" w:eastAsia="Arial" w:hAnsi="Arial"/>
                <w:sz w:val="14"/>
                <w:szCs w:val="14"/>
                <w:b w:val="1"/>
                <w:bCs w:val="1"/>
                <w:color w:val="auto"/>
                <w:w w:val="97"/>
              </w:rPr>
              <w:t>Title</w:t>
            </w:r>
          </w:p>
        </w:tc>
        <w:tc>
          <w:tcPr>
            <w:tcW w:w="1980" w:type="dxa"/>
            <w:vAlign w:val="bottom"/>
            <w:gridSpan w:val="3"/>
          </w:tcPr>
          <w:p>
            <w:pPr>
              <w:jc w:val="center"/>
              <w:ind w:left="572"/>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3980" w:type="dxa"/>
            <w:vAlign w:val="bottom"/>
            <w:gridSpan w:val="3"/>
          </w:tcPr>
          <w:p>
            <w:pPr>
              <w:jc w:val="center"/>
              <w:ind w:right="660"/>
              <w:spacing w:after="0"/>
              <w:rPr>
                <w:sz w:val="20"/>
                <w:szCs w:val="20"/>
                <w:color w:val="auto"/>
              </w:rPr>
            </w:pPr>
            <w:r>
              <w:rPr>
                <w:rFonts w:ascii="Arial" w:cs="Arial" w:eastAsia="Arial" w:hAnsi="Arial"/>
                <w:sz w:val="18"/>
                <w:szCs w:val="18"/>
                <w:color w:val="auto"/>
                <w:w w:val="91"/>
              </w:rPr>
              <w:t>Chairman of the Board of Directors,</w:t>
            </w:r>
          </w:p>
        </w:tc>
        <w:tc>
          <w:tcPr>
            <w:tcW w:w="1980" w:type="dxa"/>
            <w:vAlign w:val="bottom"/>
            <w:gridSpan w:val="3"/>
            <w:vMerge w:val="restart"/>
          </w:tcPr>
          <w:p>
            <w:pPr>
              <w:jc w:val="center"/>
              <w:ind w:left="572"/>
              <w:spacing w:after="0"/>
              <w:rPr>
                <w:sz w:val="20"/>
                <w:szCs w:val="20"/>
                <w:color w:val="auto"/>
              </w:rPr>
            </w:pPr>
            <w:r>
              <w:rPr>
                <w:rFonts w:ascii="Arial" w:cs="Arial" w:eastAsia="Arial" w:hAnsi="Arial"/>
                <w:sz w:val="18"/>
                <w:szCs w:val="18"/>
                <w:color w:val="auto"/>
                <w:w w:val="89"/>
              </w:rPr>
              <w:t>February 15, 2017</w:t>
            </w:r>
          </w:p>
        </w:tc>
        <w:tc>
          <w:tcPr>
            <w:tcW w:w="0" w:type="dxa"/>
            <w:vAlign w:val="bottom"/>
          </w:tcPr>
          <w:p>
            <w:pPr>
              <w:spacing w:after="0"/>
              <w:rPr>
                <w:sz w:val="1"/>
                <w:szCs w:val="1"/>
                <w:color w:val="auto"/>
              </w:rPr>
            </w:pPr>
          </w:p>
        </w:tc>
      </w:tr>
      <w:tr>
        <w:trPr>
          <w:trHeight w:val="122"/>
        </w:trPr>
        <w:tc>
          <w:tcPr>
            <w:tcW w:w="3980" w:type="dxa"/>
            <w:vAlign w:val="bottom"/>
            <w:gridSpan w:val="3"/>
            <w:vMerge w:val="restart"/>
          </w:tcPr>
          <w:p>
            <w:pPr>
              <w:jc w:val="center"/>
              <w:ind w:right="660"/>
              <w:spacing w:after="0"/>
              <w:rPr>
                <w:sz w:val="20"/>
                <w:szCs w:val="20"/>
                <w:color w:val="auto"/>
              </w:rPr>
            </w:pPr>
            <w:r>
              <w:rPr>
                <w:rFonts w:ascii="Arial" w:cs="Arial" w:eastAsia="Arial" w:hAnsi="Arial"/>
                <w:sz w:val="18"/>
                <w:szCs w:val="18"/>
                <w:color w:val="auto"/>
                <w:w w:val="92"/>
              </w:rPr>
              <w:t>Chief Executive Officer and President</w:t>
            </w:r>
          </w:p>
        </w:tc>
        <w:tc>
          <w:tcPr>
            <w:tcW w:w="19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9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3"/>
        </w:trPr>
        <w:tc>
          <w:tcPr>
            <w:tcW w:w="3980" w:type="dxa"/>
            <w:vAlign w:val="bottom"/>
            <w:gridSpan w:val="3"/>
          </w:tcPr>
          <w:p>
            <w:pPr>
              <w:jc w:val="center"/>
              <w:ind w:right="660"/>
              <w:spacing w:after="0"/>
              <w:rPr>
                <w:sz w:val="20"/>
                <w:szCs w:val="20"/>
                <w:color w:val="auto"/>
              </w:rPr>
            </w:pPr>
            <w:r>
              <w:rPr>
                <w:rFonts w:ascii="Arial" w:cs="Arial" w:eastAsia="Arial" w:hAnsi="Arial"/>
                <w:sz w:val="18"/>
                <w:szCs w:val="18"/>
                <w:color w:val="auto"/>
                <w:w w:val="92"/>
              </w:rPr>
              <w:t>Senior Vice President, Chief Financial Officer</w:t>
            </w:r>
          </w:p>
        </w:tc>
        <w:tc>
          <w:tcPr>
            <w:tcW w:w="19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February 15, 2017</w:t>
            </w:r>
          </w:p>
        </w:tc>
        <w:tc>
          <w:tcPr>
            <w:tcW w:w="0" w:type="dxa"/>
            <w:vAlign w:val="bottom"/>
          </w:tcPr>
          <w:p>
            <w:pPr>
              <w:spacing w:after="0"/>
              <w:rPr>
                <w:sz w:val="1"/>
                <w:szCs w:val="1"/>
                <w:color w:val="auto"/>
              </w:rPr>
            </w:pPr>
          </w:p>
        </w:tc>
      </w:tr>
      <w:tr>
        <w:trPr>
          <w:trHeight w:val="851"/>
        </w:trPr>
        <w:tc>
          <w:tcPr>
            <w:tcW w:w="3980" w:type="dxa"/>
            <w:vAlign w:val="bottom"/>
            <w:gridSpan w:val="3"/>
          </w:tcPr>
          <w:p>
            <w:pPr>
              <w:jc w:val="center"/>
              <w:ind w:right="680"/>
              <w:spacing w:after="0"/>
              <w:rPr>
                <w:sz w:val="20"/>
                <w:szCs w:val="20"/>
                <w:color w:val="auto"/>
              </w:rPr>
            </w:pPr>
            <w:r>
              <w:rPr>
                <w:rFonts w:ascii="Arial" w:cs="Arial" w:eastAsia="Arial" w:hAnsi="Arial"/>
                <w:sz w:val="18"/>
                <w:szCs w:val="18"/>
                <w:color w:val="auto"/>
                <w:w w:val="93"/>
              </w:rPr>
              <w:t>Vice President, Chief Accounting Officer</w:t>
            </w:r>
          </w:p>
        </w:tc>
        <w:tc>
          <w:tcPr>
            <w:tcW w:w="19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February 15, 2017</w:t>
            </w:r>
          </w:p>
        </w:tc>
        <w:tc>
          <w:tcPr>
            <w:tcW w:w="0" w:type="dxa"/>
            <w:vAlign w:val="bottom"/>
          </w:tcPr>
          <w:p>
            <w:pPr>
              <w:spacing w:after="0"/>
              <w:rPr>
                <w:sz w:val="1"/>
                <w:szCs w:val="1"/>
                <w:color w:val="auto"/>
              </w:rPr>
            </w:pPr>
          </w:p>
        </w:tc>
      </w:tr>
      <w:tr>
        <w:trPr>
          <w:trHeight w:val="851"/>
        </w:trPr>
        <w:tc>
          <w:tcPr>
            <w:tcW w:w="3980" w:type="dxa"/>
            <w:vAlign w:val="bottom"/>
            <w:gridSpan w:val="3"/>
          </w:tcPr>
          <w:p>
            <w:pPr>
              <w:jc w:val="center"/>
              <w:ind w:right="660"/>
              <w:spacing w:after="0"/>
              <w:rPr>
                <w:sz w:val="20"/>
                <w:szCs w:val="20"/>
                <w:color w:val="auto"/>
              </w:rPr>
            </w:pPr>
            <w:r>
              <w:rPr>
                <w:rFonts w:ascii="Arial" w:cs="Arial" w:eastAsia="Arial" w:hAnsi="Arial"/>
                <w:sz w:val="18"/>
                <w:szCs w:val="18"/>
                <w:color w:val="auto"/>
                <w:w w:val="95"/>
              </w:rPr>
              <w:t>Director</w:t>
            </w:r>
          </w:p>
        </w:tc>
        <w:tc>
          <w:tcPr>
            <w:tcW w:w="19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February 15, 2017</w:t>
            </w:r>
          </w:p>
        </w:tc>
        <w:tc>
          <w:tcPr>
            <w:tcW w:w="0" w:type="dxa"/>
            <w:vAlign w:val="bottom"/>
          </w:tcPr>
          <w:p>
            <w:pPr>
              <w:spacing w:after="0"/>
              <w:rPr>
                <w:sz w:val="1"/>
                <w:szCs w:val="1"/>
                <w:color w:val="auto"/>
              </w:rPr>
            </w:pPr>
          </w:p>
        </w:tc>
      </w:tr>
      <w:tr>
        <w:trPr>
          <w:trHeight w:val="851"/>
        </w:trPr>
        <w:tc>
          <w:tcPr>
            <w:tcW w:w="3980" w:type="dxa"/>
            <w:vAlign w:val="bottom"/>
            <w:gridSpan w:val="3"/>
          </w:tcPr>
          <w:p>
            <w:pPr>
              <w:jc w:val="center"/>
              <w:ind w:right="660"/>
              <w:spacing w:after="0"/>
              <w:rPr>
                <w:sz w:val="20"/>
                <w:szCs w:val="20"/>
                <w:color w:val="auto"/>
              </w:rPr>
            </w:pPr>
            <w:r>
              <w:rPr>
                <w:rFonts w:ascii="Arial" w:cs="Arial" w:eastAsia="Arial" w:hAnsi="Arial"/>
                <w:sz w:val="18"/>
                <w:szCs w:val="18"/>
                <w:color w:val="auto"/>
                <w:w w:val="95"/>
              </w:rPr>
              <w:t>Director</w:t>
            </w:r>
          </w:p>
        </w:tc>
        <w:tc>
          <w:tcPr>
            <w:tcW w:w="19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February 15, 2017</w:t>
            </w:r>
          </w:p>
        </w:tc>
        <w:tc>
          <w:tcPr>
            <w:tcW w:w="0" w:type="dxa"/>
            <w:vAlign w:val="bottom"/>
          </w:tcPr>
          <w:p>
            <w:pPr>
              <w:spacing w:after="0"/>
              <w:rPr>
                <w:sz w:val="1"/>
                <w:szCs w:val="1"/>
                <w:color w:val="auto"/>
              </w:rPr>
            </w:pPr>
          </w:p>
        </w:tc>
      </w:tr>
      <w:tr>
        <w:trPr>
          <w:trHeight w:val="851"/>
        </w:trPr>
        <w:tc>
          <w:tcPr>
            <w:tcW w:w="3980" w:type="dxa"/>
            <w:vAlign w:val="bottom"/>
            <w:gridSpan w:val="3"/>
          </w:tcPr>
          <w:p>
            <w:pPr>
              <w:jc w:val="center"/>
              <w:ind w:right="660"/>
              <w:spacing w:after="0"/>
              <w:rPr>
                <w:sz w:val="20"/>
                <w:szCs w:val="20"/>
                <w:color w:val="auto"/>
              </w:rPr>
            </w:pPr>
            <w:r>
              <w:rPr>
                <w:rFonts w:ascii="Arial" w:cs="Arial" w:eastAsia="Arial" w:hAnsi="Arial"/>
                <w:sz w:val="18"/>
                <w:szCs w:val="18"/>
                <w:color w:val="auto"/>
                <w:w w:val="95"/>
              </w:rPr>
              <w:t>Director</w:t>
            </w:r>
          </w:p>
        </w:tc>
        <w:tc>
          <w:tcPr>
            <w:tcW w:w="19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February 15, 2017</w:t>
            </w:r>
          </w:p>
        </w:tc>
        <w:tc>
          <w:tcPr>
            <w:tcW w:w="0" w:type="dxa"/>
            <w:vAlign w:val="bottom"/>
          </w:tcPr>
          <w:p>
            <w:pPr>
              <w:spacing w:after="0"/>
              <w:rPr>
                <w:sz w:val="1"/>
                <w:szCs w:val="1"/>
                <w:color w:val="auto"/>
              </w:rPr>
            </w:pPr>
          </w:p>
        </w:tc>
      </w:tr>
      <w:tr>
        <w:trPr>
          <w:trHeight w:val="851"/>
        </w:trPr>
        <w:tc>
          <w:tcPr>
            <w:tcW w:w="3980" w:type="dxa"/>
            <w:vAlign w:val="bottom"/>
            <w:gridSpan w:val="3"/>
          </w:tcPr>
          <w:p>
            <w:pPr>
              <w:jc w:val="center"/>
              <w:ind w:right="660"/>
              <w:spacing w:after="0"/>
              <w:rPr>
                <w:sz w:val="20"/>
                <w:szCs w:val="20"/>
                <w:color w:val="auto"/>
              </w:rPr>
            </w:pPr>
            <w:r>
              <w:rPr>
                <w:rFonts w:ascii="Arial" w:cs="Arial" w:eastAsia="Arial" w:hAnsi="Arial"/>
                <w:sz w:val="18"/>
                <w:szCs w:val="18"/>
                <w:color w:val="auto"/>
                <w:w w:val="95"/>
              </w:rPr>
              <w:t>Director</w:t>
            </w:r>
          </w:p>
        </w:tc>
        <w:tc>
          <w:tcPr>
            <w:tcW w:w="19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February 15, 2017</w:t>
            </w:r>
          </w:p>
        </w:tc>
        <w:tc>
          <w:tcPr>
            <w:tcW w:w="0" w:type="dxa"/>
            <w:vAlign w:val="bottom"/>
          </w:tcPr>
          <w:p>
            <w:pPr>
              <w:spacing w:after="0"/>
              <w:rPr>
                <w:sz w:val="1"/>
                <w:szCs w:val="1"/>
                <w:color w:val="auto"/>
              </w:rPr>
            </w:pPr>
          </w:p>
        </w:tc>
      </w:tr>
      <w:tr>
        <w:trPr>
          <w:trHeight w:val="851"/>
        </w:trPr>
        <w:tc>
          <w:tcPr>
            <w:tcW w:w="3980" w:type="dxa"/>
            <w:vAlign w:val="bottom"/>
            <w:gridSpan w:val="3"/>
          </w:tcPr>
          <w:p>
            <w:pPr>
              <w:jc w:val="center"/>
              <w:ind w:right="660"/>
              <w:spacing w:after="0"/>
              <w:rPr>
                <w:sz w:val="20"/>
                <w:szCs w:val="20"/>
                <w:color w:val="auto"/>
              </w:rPr>
            </w:pPr>
            <w:r>
              <w:rPr>
                <w:rFonts w:ascii="Arial" w:cs="Arial" w:eastAsia="Arial" w:hAnsi="Arial"/>
                <w:sz w:val="18"/>
                <w:szCs w:val="18"/>
                <w:color w:val="auto"/>
                <w:w w:val="95"/>
              </w:rPr>
              <w:t>Director</w:t>
            </w:r>
          </w:p>
        </w:tc>
        <w:tc>
          <w:tcPr>
            <w:tcW w:w="19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February 15, 2017</w:t>
            </w:r>
          </w:p>
        </w:tc>
        <w:tc>
          <w:tcPr>
            <w:tcW w:w="0" w:type="dxa"/>
            <w:vAlign w:val="bottom"/>
          </w:tcPr>
          <w:p>
            <w:pPr>
              <w:spacing w:after="0"/>
              <w:rPr>
                <w:sz w:val="1"/>
                <w:szCs w:val="1"/>
                <w:color w:val="auto"/>
              </w:rPr>
            </w:pPr>
          </w:p>
        </w:tc>
      </w:tr>
    </w:tbl>
    <w:p>
      <w:pPr>
        <w:spacing w:after="0" w:line="325" w:lineRule="exact"/>
        <w:rPr>
          <w:sz w:val="20"/>
          <w:szCs w:val="20"/>
          <w:color w:val="auto"/>
        </w:rPr>
      </w:pPr>
    </w:p>
    <w:p>
      <w:pPr>
        <w:sectPr>
          <w:pgSz w:w="11900" w:h="16838" w:orient="portrait"/>
          <w:cols w:equalWidth="0" w:num="2">
            <w:col w:w="4260" w:space="720"/>
            <w:col w:w="6440"/>
          </w:cols>
          <w:pgMar w:left="240" w:top="715" w:right="239" w:bottom="1440" w:gutter="0" w:footer="0" w:header="0"/>
          <w:type w:val="continuous"/>
        </w:sectPr>
      </w:pPr>
    </w:p>
    <w:p>
      <w:pPr>
        <w:spacing w:after="0" w:line="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1420"/>
          </w:cols>
          <w:pgMar w:left="240" w:top="715" w:right="239" w:bottom="1440" w:gutter="0" w:footer="0" w:header="0"/>
          <w:type w:val="continuous"/>
        </w:sectPr>
      </w:pPr>
    </w:p>
    <w:bookmarkStart w:id="127" w:name="page128"/>
    <w:bookmarkEnd w:id="127"/>
    <w:p>
      <w:pPr>
        <w:spacing w:after="0" w:line="3" w:lineRule="exact"/>
        <w:rPr>
          <w:sz w:val="20"/>
          <w:szCs w:val="20"/>
          <w:color w:val="auto"/>
        </w:rPr>
      </w:pPr>
    </w:p>
    <w:p>
      <w:pPr>
        <w:ind w:left="700"/>
        <w:spacing w:after="0"/>
        <w:rPr>
          <w:sz w:val="20"/>
          <w:szCs w:val="20"/>
          <w:color w:val="auto"/>
        </w:rPr>
      </w:pPr>
      <w:r>
        <w:rPr>
          <w:rFonts w:ascii="Arial" w:cs="Arial" w:eastAsia="Arial" w:hAnsi="Arial"/>
          <w:sz w:val="14"/>
          <w:szCs w:val="14"/>
          <w:b w:val="1"/>
          <w:bCs w:val="1"/>
          <w:u w:val="single" w:color="auto"/>
          <w:color w:val="auto"/>
        </w:rPr>
        <w:t>Signature</w:t>
      </w:r>
    </w:p>
    <w:p>
      <w:pPr>
        <w:spacing w:after="0" w:line="320" w:lineRule="exact"/>
        <w:rPr>
          <w:sz w:val="20"/>
          <w:szCs w:val="20"/>
          <w:color w:val="auto"/>
        </w:rPr>
      </w:pPr>
    </w:p>
    <w:p>
      <w:pPr>
        <w:jc w:val="center"/>
        <w:ind w:right="1800"/>
        <w:spacing w:after="0"/>
        <w:rPr>
          <w:sz w:val="20"/>
          <w:szCs w:val="20"/>
          <w:color w:val="auto"/>
        </w:rPr>
      </w:pPr>
      <w:r>
        <w:rPr>
          <w:rFonts w:ascii="Arial" w:cs="Arial" w:eastAsia="Arial" w:hAnsi="Arial"/>
          <w:sz w:val="18"/>
          <w:szCs w:val="18"/>
          <w:color w:val="auto"/>
        </w:rPr>
        <w:t>/s/ DOUGLAS J. PAULS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31750</wp:posOffset>
            </wp:positionV>
            <wp:extent cx="26155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right="1800"/>
        <w:spacing w:after="0"/>
        <w:rPr>
          <w:sz w:val="20"/>
          <w:szCs w:val="20"/>
          <w:color w:val="auto"/>
        </w:rPr>
      </w:pPr>
      <w:r>
        <w:rPr>
          <w:rFonts w:ascii="Arial" w:cs="Arial" w:eastAsia="Arial" w:hAnsi="Arial"/>
          <w:sz w:val="18"/>
          <w:szCs w:val="18"/>
          <w:color w:val="auto"/>
        </w:rPr>
        <w:t>Douglas J. Pauls</w:t>
      </w:r>
    </w:p>
    <w:p>
      <w:pPr>
        <w:spacing w:after="0" w:line="360" w:lineRule="exact"/>
        <w:rPr>
          <w:sz w:val="20"/>
          <w:szCs w:val="20"/>
          <w:color w:val="auto"/>
        </w:rPr>
      </w:pPr>
    </w:p>
    <w:p>
      <w:pPr>
        <w:jc w:val="center"/>
        <w:ind w:right="1800"/>
        <w:spacing w:after="0"/>
        <w:rPr>
          <w:sz w:val="20"/>
          <w:szCs w:val="20"/>
          <w:color w:val="auto"/>
        </w:rPr>
      </w:pPr>
      <w:r>
        <w:rPr>
          <w:rFonts w:ascii="Arial" w:cs="Arial" w:eastAsia="Arial" w:hAnsi="Arial"/>
          <w:sz w:val="18"/>
          <w:szCs w:val="18"/>
          <w:color w:val="auto"/>
        </w:rPr>
        <w:t>/s/ WILLIAM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31750</wp:posOffset>
            </wp:positionV>
            <wp:extent cx="26155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right="1800"/>
        <w:spacing w:after="0"/>
        <w:rPr>
          <w:sz w:val="20"/>
          <w:szCs w:val="20"/>
          <w:color w:val="auto"/>
        </w:rPr>
      </w:pPr>
      <w:r>
        <w:rPr>
          <w:rFonts w:ascii="Arial" w:cs="Arial" w:eastAsia="Arial" w:hAnsi="Arial"/>
          <w:sz w:val="18"/>
          <w:szCs w:val="18"/>
          <w:color w:val="auto"/>
        </w:rPr>
        <w:t>William Spiegel</w:t>
      </w:r>
    </w:p>
    <w:p>
      <w:pPr>
        <w:spacing w:after="0" w:line="360" w:lineRule="exact"/>
        <w:rPr>
          <w:sz w:val="20"/>
          <w:szCs w:val="20"/>
          <w:color w:val="auto"/>
        </w:rPr>
      </w:pPr>
    </w:p>
    <w:p>
      <w:pPr>
        <w:jc w:val="center"/>
        <w:ind w:right="1800"/>
        <w:spacing w:after="0"/>
        <w:rPr>
          <w:sz w:val="20"/>
          <w:szCs w:val="20"/>
          <w:color w:val="auto"/>
        </w:rPr>
      </w:pPr>
      <w:r>
        <w:rPr>
          <w:rFonts w:ascii="Arial" w:cs="Arial" w:eastAsia="Arial" w:hAnsi="Arial"/>
          <w:sz w:val="17"/>
          <w:szCs w:val="17"/>
          <w:color w:val="auto"/>
        </w:rPr>
        <w:t>/s/ ANDREW TURNBULL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39370</wp:posOffset>
            </wp:positionV>
            <wp:extent cx="26155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68" w:lineRule="exact"/>
        <w:rPr>
          <w:sz w:val="20"/>
          <w:szCs w:val="20"/>
          <w:color w:val="auto"/>
        </w:rPr>
      </w:pPr>
    </w:p>
    <w:p>
      <w:pPr>
        <w:jc w:val="center"/>
        <w:ind w:right="1800"/>
        <w:spacing w:after="0"/>
        <w:rPr>
          <w:sz w:val="20"/>
          <w:szCs w:val="20"/>
          <w:color w:val="auto"/>
        </w:rPr>
      </w:pPr>
      <w:r>
        <w:rPr>
          <w:rFonts w:ascii="Arial" w:cs="Arial" w:eastAsia="Arial" w:hAnsi="Arial"/>
          <w:sz w:val="18"/>
          <w:szCs w:val="18"/>
          <w:color w:val="auto"/>
        </w:rPr>
        <w:t>Andrew Turnbull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76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780" w:type="dxa"/>
            <w:vAlign w:val="bottom"/>
            <w:gridSpan w:val="2"/>
          </w:tcPr>
          <w:p>
            <w:pPr>
              <w:jc w:val="center"/>
              <w:ind w:right="1500"/>
              <w:spacing w:after="0"/>
              <w:rPr>
                <w:sz w:val="20"/>
                <w:szCs w:val="20"/>
                <w:color w:val="auto"/>
              </w:rPr>
            </w:pPr>
            <w:r>
              <w:rPr>
                <w:rFonts w:ascii="Arial" w:cs="Arial" w:eastAsia="Arial" w:hAnsi="Arial"/>
                <w:sz w:val="14"/>
                <w:szCs w:val="14"/>
                <w:b w:val="1"/>
                <w:bCs w:val="1"/>
                <w:color w:val="auto"/>
                <w:w w:val="97"/>
              </w:rPr>
              <w:t>Title</w:t>
            </w:r>
          </w:p>
        </w:tc>
        <w:tc>
          <w:tcPr>
            <w:tcW w:w="2660" w:type="dxa"/>
            <w:vAlign w:val="bottom"/>
            <w:gridSpan w:val="3"/>
          </w:tcPr>
          <w:p>
            <w:pPr>
              <w:jc w:val="center"/>
              <w:ind w:left="1254"/>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669"/>
        </w:trPr>
        <w:tc>
          <w:tcPr>
            <w:tcW w:w="1940" w:type="dxa"/>
            <w:vAlign w:val="bottom"/>
            <w:gridSpan w:val="3"/>
          </w:tcPr>
          <w:p>
            <w:pPr>
              <w:jc w:val="center"/>
              <w:ind w:right="1340"/>
              <w:spacing w:after="0"/>
              <w:rPr>
                <w:sz w:val="20"/>
                <w:szCs w:val="20"/>
                <w:color w:val="auto"/>
              </w:rPr>
            </w:pPr>
            <w:r>
              <w:rPr>
                <w:rFonts w:ascii="Arial" w:cs="Arial" w:eastAsia="Arial" w:hAnsi="Arial"/>
                <w:sz w:val="18"/>
                <w:szCs w:val="18"/>
                <w:color w:val="auto"/>
                <w:w w:val="95"/>
              </w:rPr>
              <w:t>Director</w:t>
            </w:r>
          </w:p>
        </w:tc>
        <w:tc>
          <w:tcPr>
            <w:tcW w:w="2660" w:type="dxa"/>
            <w:vAlign w:val="bottom"/>
            <w:gridSpan w:val="3"/>
          </w:tcPr>
          <w:p>
            <w:pPr>
              <w:jc w:val="center"/>
              <w:ind w:left="1254"/>
              <w:spacing w:after="0"/>
              <w:rPr>
                <w:sz w:val="20"/>
                <w:szCs w:val="20"/>
                <w:color w:val="auto"/>
              </w:rPr>
            </w:pPr>
            <w:r>
              <w:rPr>
                <w:rFonts w:ascii="Arial" w:cs="Arial" w:eastAsia="Arial" w:hAnsi="Arial"/>
                <w:sz w:val="18"/>
                <w:szCs w:val="18"/>
                <w:color w:val="auto"/>
                <w:w w:val="89"/>
              </w:rPr>
              <w:t>February 15, 2017</w:t>
            </w:r>
          </w:p>
        </w:tc>
      </w:tr>
      <w:tr>
        <w:trPr>
          <w:trHeight w:val="851"/>
        </w:trPr>
        <w:tc>
          <w:tcPr>
            <w:tcW w:w="1940" w:type="dxa"/>
            <w:vAlign w:val="bottom"/>
            <w:gridSpan w:val="3"/>
          </w:tcPr>
          <w:p>
            <w:pPr>
              <w:jc w:val="center"/>
              <w:ind w:right="1340"/>
              <w:spacing w:after="0"/>
              <w:rPr>
                <w:sz w:val="20"/>
                <w:szCs w:val="20"/>
                <w:color w:val="auto"/>
              </w:rPr>
            </w:pPr>
            <w:r>
              <w:rPr>
                <w:rFonts w:ascii="Arial" w:cs="Arial" w:eastAsia="Arial" w:hAnsi="Arial"/>
                <w:sz w:val="18"/>
                <w:szCs w:val="18"/>
                <w:color w:val="auto"/>
                <w:w w:val="95"/>
              </w:rPr>
              <w:t>Director</w:t>
            </w:r>
          </w:p>
        </w:tc>
        <w:tc>
          <w:tcPr>
            <w:tcW w:w="2660" w:type="dxa"/>
            <w:vAlign w:val="bottom"/>
            <w:gridSpan w:val="3"/>
          </w:tcPr>
          <w:p>
            <w:pPr>
              <w:jc w:val="center"/>
              <w:ind w:left="1254"/>
              <w:spacing w:after="0"/>
              <w:rPr>
                <w:sz w:val="20"/>
                <w:szCs w:val="20"/>
                <w:color w:val="auto"/>
              </w:rPr>
            </w:pPr>
            <w:r>
              <w:rPr>
                <w:rFonts w:ascii="Arial" w:cs="Arial" w:eastAsia="Arial" w:hAnsi="Arial"/>
                <w:sz w:val="18"/>
                <w:szCs w:val="18"/>
                <w:color w:val="auto"/>
                <w:w w:val="89"/>
              </w:rPr>
              <w:t>February 15, 2017</w:t>
            </w:r>
          </w:p>
        </w:tc>
      </w:tr>
      <w:tr>
        <w:trPr>
          <w:trHeight w:val="851"/>
        </w:trPr>
        <w:tc>
          <w:tcPr>
            <w:tcW w:w="1940" w:type="dxa"/>
            <w:vAlign w:val="bottom"/>
            <w:gridSpan w:val="3"/>
          </w:tcPr>
          <w:p>
            <w:pPr>
              <w:jc w:val="center"/>
              <w:ind w:right="1340"/>
              <w:spacing w:after="0"/>
              <w:rPr>
                <w:sz w:val="20"/>
                <w:szCs w:val="20"/>
                <w:color w:val="auto"/>
              </w:rPr>
            </w:pPr>
            <w:r>
              <w:rPr>
                <w:rFonts w:ascii="Arial" w:cs="Arial" w:eastAsia="Arial" w:hAnsi="Arial"/>
                <w:sz w:val="18"/>
                <w:szCs w:val="18"/>
                <w:color w:val="auto"/>
                <w:w w:val="95"/>
              </w:rPr>
              <w:t>Director</w:t>
            </w:r>
          </w:p>
        </w:tc>
        <w:tc>
          <w:tcPr>
            <w:tcW w:w="2660" w:type="dxa"/>
            <w:vAlign w:val="bottom"/>
            <w:gridSpan w:val="3"/>
          </w:tcPr>
          <w:p>
            <w:pPr>
              <w:jc w:val="center"/>
              <w:ind w:left="1254"/>
              <w:spacing w:after="0"/>
              <w:rPr>
                <w:sz w:val="20"/>
                <w:szCs w:val="20"/>
                <w:color w:val="auto"/>
              </w:rPr>
            </w:pPr>
            <w:r>
              <w:rPr>
                <w:rFonts w:ascii="Arial" w:cs="Arial" w:eastAsia="Arial" w:hAnsi="Arial"/>
                <w:sz w:val="18"/>
                <w:szCs w:val="18"/>
                <w:color w:val="auto"/>
                <w:w w:val="89"/>
              </w:rPr>
              <w:t>February 15, 2017</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123</w:t>
      </w:r>
    </w:p>
    <w:p>
      <w:pPr>
        <w:sectPr>
          <w:pgSz w:w="11900" w:h="16838" w:orient="portrait"/>
          <w:cols w:equalWidth="0" w:num="2">
            <w:col w:w="3800" w:space="720"/>
            <w:col w:w="5360"/>
          </w:cols>
          <w:pgMar w:left="1300" w:top="1059" w:right="71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3640"/>
              <w:spacing w:after="0"/>
              <w:rPr>
                <w:sz w:val="20"/>
                <w:szCs w:val="20"/>
                <w:color w:val="auto"/>
              </w:rPr>
            </w:pPr>
            <w:r>
              <w:rPr>
                <w:rFonts w:ascii="Arial" w:cs="Arial" w:eastAsia="Arial" w:hAnsi="Arial"/>
                <w:sz w:val="18"/>
                <w:szCs w:val="18"/>
                <w:b w:val="1"/>
                <w:bCs w:val="1"/>
                <w:color w:val="auto"/>
              </w:rPr>
              <w:t>EXHIBIT INDEX</w:t>
            </w:r>
          </w:p>
        </w:tc>
      </w:tr>
      <w:tr>
        <w:trPr>
          <w:trHeight w:val="615"/>
        </w:trPr>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10040" w:type="dxa"/>
            <w:vAlign w:val="bottom"/>
            <w:tcBorders>
              <w:bottom w:val="single" w:sz="8" w:color="auto"/>
            </w:tcBorders>
          </w:tcPr>
          <w:p>
            <w:pPr>
              <w:ind w:left="466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0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34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Memorandum of Association (incorporated herein by reference to Exhibit 3.1 of the Registration Statement on Form S-1 (File No. 333-</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191193) filed on September 16,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34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Certificate of Deposit of Memorandum of Increase of Share Capital, dated as of February 18, 2009 (incorporated herein by reference to</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Exhibit 3.2 of the Registration Statement on Form S-1 (File No. 333-191193) filed on September 16,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9"/>
              </w:rPr>
              <w:t>3.2.1</w:t>
            </w:r>
          </w:p>
        </w:tc>
        <w:tc>
          <w:tcPr>
            <w:tcW w:w="34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Certificate of Deposit of Memorandum of Increase of Share Capital, dated as of October 3, 2013 (incorporated herein by reference to</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9"/>
              </w:rPr>
              <w:t>Exhibit 3.2.1 of Amendment No.3 to the Registration Statement on Form S-1 (File No. 333-191193) filed on October 21,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34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7"/>
              </w:rPr>
              <w:t>Amended and Restated Bye-laws (incorporated herein by reference to Exhibit 3.3 of the Form 10-K (File No. 001-36157) filed on</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March 10, 2014)</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34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Form of Common Share Certificate (incorporated herein by reference to Exhibit 4.1 of Amendment No.3 to the Registration Statement on</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Form S-1 (File No. 333-191193) filed on October 21,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34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0"/>
              </w:rPr>
              <w:t>Shareholders Agreement, dated as of February 6, 2009, among Essent Group Ltd. and the shareholders party thereto (incorporated herein</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by reference to Exhibit 4.2 of the Registration Statement on Form S-1 (File No. 333-191193) filed on September 16,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34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Amendment No. 1 to Shareholders Agreement, dated as of March 25, 2010, among Essent Group Ltd. and the shareholders party thereto</w:t>
            </w: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(incorporated herein by reference to Exhibit 4.3 of the Registration Statement on Form S-1 (File No. 333-191193) filed on September 16,</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34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0"/>
              </w:rPr>
              <w:t>Amendment No. 2 to Shareholders Agreement, effective as of June 24, 2013, among Essent Group Ltd. and the shareholders party thereto</w:t>
            </w: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(incorporated herein by reference to Exhibit 4.4 of the Registration Statement on Form S-1 (File No. 333-191193) filed on September 16,</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34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7"/>
              </w:rPr>
              <w:t>Third Amended and Restated Registration Rights Agreement, dated as of November 11, 2014, among Essent Group Ltd. and the</w:t>
            </w: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shareholders party thereto (incorporated herein by reference to Exhibit 4.1 of the Form 10-Q (File No. 001-36157) filed on November 14,</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2014)</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34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7"/>
              </w:rPr>
              <w:t>Shareholders Agreement by and among Essent Group Ltd. and Essent Intermediate, L.P. and Pine Brook Essent Co-Invest, L.P.</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(incorporated herein by reference to Exhibit 4.6 of the Form 10-K (File No. 001-36157) filed on March 10, 2014)</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34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Amended and Restated Class A Common Share Subscription Agreement, dated as of March 25, 2010, among Essent Group Ltd. and the</w:t>
            </w: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investors party thereto (incorporated herein by reference to Exhibit 10.1 of the Registration Statement on Form S-1 (File No. 333-191193)</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filed on September 16,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34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0"/>
              </w:rPr>
              <w:t>Fee Agreement, dated as of February 6, 2009, among Essent Group Ltd. and the Investors party thereto (incorporated herein by reference</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to Exhibit 10.2 of the Registration Statement on Form S-1 (File No. 333-191193) filed on September 16,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34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Amendment and Waiver to Fee Agreement, dated as of December 18, 2012, among Essent Group Ltd. and the Investors party thereto</w:t>
            </w: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(incorporated herein by reference to Exhibit 10.3 of the Registration Statement on Form S-1 (File No. 333-191193) filed on September 16,</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34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Asset Purchase Agreement, dated as of October 7, 2009, between Essent Guaranty, Inc. and Triad Guaranty Insurance Corporation</w:t>
            </w: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(incorporated herein by reference to Exhibit 10.4 of the Registration Statement on Form S-1 (File No. 333-191193) filed on September 16,</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040" w:type="dxa"/>
            <w:vAlign w:val="bottom"/>
          </w:tcPr>
          <w:p>
            <w:pPr>
              <w:ind w:left="40"/>
              <w:spacing w:after="0"/>
              <w:rPr>
                <w:sz w:val="20"/>
                <w:szCs w:val="20"/>
                <w:color w:val="auto"/>
              </w:rPr>
            </w:pPr>
            <w:r>
              <w:rPr>
                <w:rFonts w:ascii="Arial" w:cs="Arial" w:eastAsia="Arial" w:hAnsi="Arial"/>
                <w:sz w:val="18"/>
                <w:szCs w:val="18"/>
                <w:color w:val="auto"/>
                <w:w w:val="97"/>
              </w:rPr>
              <w:t>Amended and Restated 2009 Restricted Share Plan (incorporated herein by reference to Exhibit 10.5 of Amendment No.1 to the</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Registration Statement on Form S-1 (File No. 333-191193) filed on September 26,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040" w:type="dxa"/>
            <w:vAlign w:val="bottom"/>
          </w:tcPr>
          <w:p>
            <w:pPr>
              <w:ind w:left="40"/>
              <w:spacing w:after="0"/>
              <w:rPr>
                <w:sz w:val="20"/>
                <w:szCs w:val="20"/>
                <w:color w:val="auto"/>
              </w:rPr>
            </w:pPr>
            <w:r>
              <w:rPr>
                <w:rFonts w:ascii="Arial" w:cs="Arial" w:eastAsia="Arial" w:hAnsi="Arial"/>
                <w:sz w:val="18"/>
                <w:szCs w:val="18"/>
                <w:color w:val="auto"/>
                <w:w w:val="96"/>
              </w:rPr>
              <w:t>Form of Class B-2 Restricted Share Award Agreement (incorporated herein by reference to Exhibit 10.6 of Amendment No.1 to the</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Registration Statement on Form S-1 (File No. 333-191193) filed on September 26,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2015 Annual Leadership Bonus Program (incorporated herein by reference to Exhibit 10.1 of the Quarterly Report on Form 10-Q (File</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No. 001-36157) filed on August 10, 2015)</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10.8</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Leadership Bonus Program (incorporated herein by reference to Exhibit 10.8 of the Annual Report on Form 10-K (File No. 001-36157)</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filed on February 29, 2016)</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10.9</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Form of Class A Restricted Share Bonus Award Agreement (incorporated herein by reference to Exhibit 10.9 of Amendment No.1 to the</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Registration Statement on Form S-1 (File No. 333-191193) filed on September 26,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93"/>
              </w:rPr>
              <w:t>10.10</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2013 Long-Term Incentive Plan (incorporated herein by reference to Exhibit 10.10 of Amendment No.1 to the Registration Statement on</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Form S-1 (File No. 333-191193) filed on September 26,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040" w:type="dxa"/>
            <w:vAlign w:val="bottom"/>
          </w:tcPr>
          <w:p>
            <w:pPr>
              <w:ind w:left="40"/>
              <w:spacing w:after="0"/>
              <w:rPr>
                <w:sz w:val="20"/>
                <w:szCs w:val="20"/>
                <w:color w:val="auto"/>
              </w:rPr>
            </w:pPr>
            <w:r>
              <w:rPr>
                <w:rFonts w:ascii="Arial" w:cs="Arial" w:eastAsia="Arial" w:hAnsi="Arial"/>
                <w:sz w:val="18"/>
                <w:szCs w:val="18"/>
                <w:color w:val="auto"/>
                <w:w w:val="98"/>
              </w:rPr>
              <w:t>Form of Time-Based Restricted Share Agreement (incorporated herein by reference to Exhibit 10.11 of Amendment No.1 to the</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Registration Statement on Form S-1 (File No. 333-191193) filed on September 26, 2013)</w:t>
            </w:r>
          </w:p>
        </w:tc>
      </w:tr>
      <w:tr>
        <w:trPr>
          <w:trHeight w:val="486"/>
        </w:trPr>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40" w:type="dxa"/>
            <w:vAlign w:val="bottom"/>
          </w:tcPr>
          <w:p>
            <w:pPr>
              <w:ind w:left="4200"/>
              <w:spacing w:after="0"/>
              <w:rPr>
                <w:sz w:val="20"/>
                <w:szCs w:val="20"/>
                <w:color w:val="auto"/>
              </w:rPr>
            </w:pPr>
            <w:r>
              <w:rPr>
                <w:rFonts w:ascii="Arial" w:cs="Arial" w:eastAsia="Arial" w:hAnsi="Arial"/>
                <w:sz w:val="18"/>
                <w:szCs w:val="18"/>
                <w:color w:val="auto"/>
              </w:rPr>
              <w:t>124</w:t>
            </w:r>
          </w:p>
        </w:tc>
      </w:tr>
    </w:tbl>
    <w:p>
      <w:pPr>
        <w:sectPr>
          <w:pgSz w:w="11900" w:h="16838" w:orient="portrait"/>
          <w:cols w:equalWidth="0" w:num="1">
            <w:col w:w="11420"/>
          </w:cols>
          <w:pgMar w:left="240" w:top="580" w:right="239"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6"/>
                <w:szCs w:val="16"/>
                <w:color w:val="auto"/>
              </w:rPr>
            </w:pPr>
          </w:p>
        </w:tc>
        <w:tc>
          <w:tcPr>
            <w:tcW w:w="10040" w:type="dxa"/>
            <w:vAlign w:val="bottom"/>
            <w:tcBorders>
              <w:bottom w:val="single" w:sz="8" w:color="auto"/>
            </w:tcBorders>
          </w:tcPr>
          <w:p>
            <w:pPr>
              <w:ind w:left="466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040" w:type="dxa"/>
            <w:vAlign w:val="bottom"/>
          </w:tcPr>
          <w:p>
            <w:pPr>
              <w:jc w:val="center"/>
              <w:spacing w:after="0"/>
              <w:rPr>
                <w:sz w:val="20"/>
                <w:szCs w:val="20"/>
                <w:color w:val="auto"/>
              </w:rPr>
            </w:pPr>
            <w:r>
              <w:rPr>
                <w:rFonts w:ascii="Arial" w:cs="Arial" w:eastAsia="Arial" w:hAnsi="Arial"/>
                <w:sz w:val="18"/>
                <w:szCs w:val="18"/>
                <w:color w:val="auto"/>
                <w:w w:val="93"/>
              </w:rPr>
              <w:t>10.12</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Form of Performance-Based Restricted Share Agreement (incorporated herein by reference to Exhibit 10.11 of the Annual Report on</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Form 10-K (File No. 001-36157) filed on February 27, 2015)</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93"/>
              </w:rPr>
              <w:t>10.13</w:t>
            </w:r>
          </w:p>
        </w:tc>
        <w:tc>
          <w:tcPr>
            <w:tcW w:w="10380" w:type="dxa"/>
            <w:vAlign w:val="bottom"/>
            <w:gridSpan w:val="2"/>
          </w:tcPr>
          <w:p>
            <w:pPr>
              <w:ind w:left="40"/>
              <w:spacing w:after="0"/>
              <w:rPr>
                <w:sz w:val="20"/>
                <w:szCs w:val="20"/>
                <w:color w:val="auto"/>
              </w:rPr>
            </w:pPr>
            <w:r>
              <w:rPr>
                <w:rFonts w:ascii="Arial" w:cs="Arial" w:eastAsia="Arial" w:hAnsi="Arial"/>
                <w:sz w:val="18"/>
                <w:szCs w:val="18"/>
                <w:color w:val="auto"/>
                <w:w w:val="93"/>
              </w:rPr>
              <w:t>†   Annual Incentive Plan (incorporated herein by reference to Exhibit 10.13 of Amendment No.1 to the Registration Statement on Form S-1</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(File No. 333-191193) filed on September 26,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93"/>
              </w:rPr>
              <w:t>10.14</w:t>
            </w:r>
          </w:p>
        </w:tc>
        <w:tc>
          <w:tcPr>
            <w:tcW w:w="10380" w:type="dxa"/>
            <w:vAlign w:val="bottom"/>
            <w:gridSpan w:val="2"/>
          </w:tcPr>
          <w:p>
            <w:pPr>
              <w:ind w:left="40"/>
              <w:spacing w:after="0"/>
              <w:rPr>
                <w:sz w:val="20"/>
                <w:szCs w:val="20"/>
                <w:color w:val="auto"/>
              </w:rPr>
            </w:pPr>
            <w:r>
              <w:rPr>
                <w:rFonts w:ascii="Arial" w:cs="Arial" w:eastAsia="Arial" w:hAnsi="Arial"/>
                <w:sz w:val="18"/>
                <w:szCs w:val="18"/>
                <w:color w:val="auto"/>
                <w:w w:val="95"/>
              </w:rPr>
              <w:t>†   Employment Agreement, dated as of September 25, 2013, by and between Essent US Holdings, Inc. and Mark Casale (incorporated</w:t>
            </w: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6"/>
              </w:rPr>
              <w:t>herein by reference to Exhibit 10.14 of Amendment No.2 to the Registration Statement on Form S-1 (File No. 333-191193) filed on</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October 4,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93"/>
              </w:rPr>
              <w:t>10.15</w:t>
            </w:r>
          </w:p>
        </w:tc>
        <w:tc>
          <w:tcPr>
            <w:tcW w:w="10380" w:type="dxa"/>
            <w:vAlign w:val="bottom"/>
            <w:gridSpan w:val="2"/>
          </w:tcPr>
          <w:p>
            <w:pPr>
              <w:ind w:left="40"/>
              <w:spacing w:after="0"/>
              <w:rPr>
                <w:sz w:val="20"/>
                <w:szCs w:val="20"/>
                <w:color w:val="auto"/>
              </w:rPr>
            </w:pPr>
            <w:r>
              <w:rPr>
                <w:rFonts w:ascii="Arial" w:cs="Arial" w:eastAsia="Arial" w:hAnsi="Arial"/>
                <w:sz w:val="18"/>
                <w:szCs w:val="18"/>
                <w:color w:val="auto"/>
                <w:w w:val="95"/>
              </w:rPr>
              <w:t>†   Employment Agreement, dated as of September 26, 2013, by and between Essent US Holdings, Inc. and Vijay Bhasin (incorporated</w:t>
            </w: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6"/>
              </w:rPr>
              <w:t>herein by reference to Exhibit 10.16 of Amendment No.2 to the Registration Statement on Form S-1 (File No. 333-191193) filed on</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October 4,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93"/>
              </w:rPr>
              <w:t>10.16</w:t>
            </w:r>
          </w:p>
        </w:tc>
        <w:tc>
          <w:tcPr>
            <w:tcW w:w="10380" w:type="dxa"/>
            <w:vAlign w:val="bottom"/>
            <w:gridSpan w:val="2"/>
          </w:tcPr>
          <w:p>
            <w:pPr>
              <w:ind w:left="40"/>
              <w:spacing w:after="0"/>
              <w:rPr>
                <w:sz w:val="20"/>
                <w:szCs w:val="20"/>
                <w:color w:val="auto"/>
              </w:rPr>
            </w:pPr>
            <w:r>
              <w:rPr>
                <w:rFonts w:ascii="Arial" w:cs="Arial" w:eastAsia="Arial" w:hAnsi="Arial"/>
                <w:sz w:val="18"/>
                <w:szCs w:val="18"/>
                <w:color w:val="auto"/>
              </w:rPr>
              <w:t>†   Employment Agreement, dated as of September 26, 2013, by and between Essent US Holdings, Inc. and Lawrence E. McAlee</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(incorporated herein by reference to Exhibit 10.16 of the Annual Report on Form 10-K (File No. 001-36157) filed on February 27, 2015)</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93"/>
              </w:rPr>
              <w:t>10.17</w:t>
            </w:r>
          </w:p>
        </w:tc>
        <w:tc>
          <w:tcPr>
            <w:tcW w:w="10380" w:type="dxa"/>
            <w:vAlign w:val="bottom"/>
            <w:gridSpan w:val="2"/>
          </w:tcPr>
          <w:p>
            <w:pPr>
              <w:ind w:left="40"/>
              <w:spacing w:after="0"/>
              <w:rPr>
                <w:sz w:val="20"/>
                <w:szCs w:val="20"/>
                <w:color w:val="auto"/>
              </w:rPr>
            </w:pPr>
            <w:r>
              <w:rPr>
                <w:rFonts w:ascii="Arial" w:cs="Arial" w:eastAsia="Arial" w:hAnsi="Arial"/>
                <w:sz w:val="18"/>
                <w:szCs w:val="18"/>
                <w:color w:val="auto"/>
                <w:w w:val="98"/>
              </w:rPr>
              <w:t>†   Employment Agreement, dated as of September 26, 2013, by and between Essent US Holdings, Inc. and Mary Lourdes Gibbons</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(incorporated herein by reference to Exhibit 10.17 of the Annual Report on Form 10-K (File No. 001-36157) filed on February 27, 2015)</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93"/>
              </w:rPr>
              <w:t>10.18</w:t>
            </w:r>
          </w:p>
        </w:tc>
        <w:tc>
          <w:tcPr>
            <w:tcW w:w="10380" w:type="dxa"/>
            <w:vAlign w:val="bottom"/>
            <w:gridSpan w:val="2"/>
          </w:tcPr>
          <w:p>
            <w:pPr>
              <w:ind w:left="40"/>
              <w:spacing w:after="0"/>
              <w:rPr>
                <w:sz w:val="20"/>
                <w:szCs w:val="20"/>
                <w:color w:val="auto"/>
              </w:rPr>
            </w:pPr>
            <w:r>
              <w:rPr>
                <w:rFonts w:ascii="Arial" w:cs="Arial" w:eastAsia="Arial" w:hAnsi="Arial"/>
                <w:sz w:val="18"/>
                <w:szCs w:val="18"/>
                <w:color w:val="auto"/>
                <w:w w:val="92"/>
              </w:rPr>
              <w:t>†   Employment Agreement, dated as of March 13, 2015, by and between Essent Reinsurance Ltd. and Joseph Hissong (incorporated herein</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by reference to Exhibit 10.18 of the Annual Report on Form 10-K (File No. 001-36157) filed on February 29, 2016)</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93"/>
              </w:rPr>
              <w:t>10.19</w:t>
            </w:r>
          </w:p>
        </w:tc>
        <w:tc>
          <w:tcPr>
            <w:tcW w:w="10380" w:type="dxa"/>
            <w:vAlign w:val="bottom"/>
            <w:gridSpan w:val="2"/>
          </w:tcPr>
          <w:p>
            <w:pPr>
              <w:ind w:left="40"/>
              <w:spacing w:after="0"/>
              <w:rPr>
                <w:sz w:val="20"/>
                <w:szCs w:val="20"/>
                <w:color w:val="auto"/>
              </w:rPr>
            </w:pPr>
            <w:r>
              <w:rPr>
                <w:rFonts w:ascii="Arial" w:cs="Arial" w:eastAsia="Arial" w:hAnsi="Arial"/>
                <w:sz w:val="18"/>
                <w:szCs w:val="18"/>
                <w:color w:val="auto"/>
                <w:w w:val="96"/>
              </w:rPr>
              <w:t>†   Employment Agreement, dated as of September 26, 2013, by and between Essent Guaranty, Inc. and Jeff Cashmer (filed herewith)</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93"/>
              </w:rPr>
              <w:t>10.20</w:t>
            </w:r>
          </w:p>
        </w:tc>
        <w:tc>
          <w:tcPr>
            <w:tcW w:w="10380" w:type="dxa"/>
            <w:vAlign w:val="bottom"/>
            <w:gridSpan w:val="2"/>
          </w:tcPr>
          <w:p>
            <w:pPr>
              <w:ind w:left="40"/>
              <w:spacing w:after="0"/>
              <w:rPr>
                <w:sz w:val="20"/>
                <w:szCs w:val="20"/>
                <w:color w:val="auto"/>
              </w:rPr>
            </w:pPr>
            <w:r>
              <w:rPr>
                <w:rFonts w:ascii="Arial" w:cs="Arial" w:eastAsia="Arial" w:hAnsi="Arial"/>
                <w:sz w:val="18"/>
                <w:szCs w:val="18"/>
                <w:color w:val="auto"/>
                <w:w w:val="94"/>
              </w:rPr>
              <w:t>†   Letter Agreement, dated as of August 4, 2016, between Essent Guaranty, Inc. and Adolfo Marzol (incorporated herein by reference to</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Exhibit 10.1 of the Quarterly Report on Form 10-Q (File No. 001-36157) filed on August 5, 2016)</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93"/>
              </w:rPr>
              <w:t>10.21</w:t>
            </w:r>
          </w:p>
        </w:tc>
        <w:tc>
          <w:tcPr>
            <w:tcW w:w="10380" w:type="dxa"/>
            <w:vAlign w:val="bottom"/>
            <w:gridSpan w:val="2"/>
          </w:tcPr>
          <w:p>
            <w:pPr>
              <w:ind w:left="40"/>
              <w:spacing w:after="0"/>
              <w:rPr>
                <w:sz w:val="20"/>
                <w:szCs w:val="20"/>
                <w:color w:val="auto"/>
              </w:rPr>
            </w:pPr>
            <w:r>
              <w:rPr>
                <w:rFonts w:ascii="Arial" w:cs="Arial" w:eastAsia="Arial" w:hAnsi="Arial"/>
                <w:sz w:val="18"/>
                <w:szCs w:val="18"/>
                <w:color w:val="auto"/>
                <w:w w:val="93"/>
              </w:rPr>
              <w:t>†   Form of Director and Officer Indemnification Agreement (incorporated herein by reference to Exhibit 10.17 of the Registration Statement</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on Form S-1 (File No. 333-191193) filed on September 16,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93"/>
              </w:rPr>
              <w:t>10.22</w:t>
            </w:r>
          </w:p>
        </w:tc>
        <w:tc>
          <w:tcPr>
            <w:tcW w:w="10380" w:type="dxa"/>
            <w:vAlign w:val="bottom"/>
            <w:gridSpan w:val="2"/>
          </w:tcPr>
          <w:p>
            <w:pPr>
              <w:ind w:left="40"/>
              <w:spacing w:after="0"/>
              <w:rPr>
                <w:sz w:val="20"/>
                <w:szCs w:val="20"/>
                <w:color w:val="auto"/>
              </w:rPr>
            </w:pPr>
            <w:r>
              <w:rPr>
                <w:rFonts w:ascii="Arial" w:cs="Arial" w:eastAsia="Arial" w:hAnsi="Arial"/>
                <w:sz w:val="18"/>
                <w:szCs w:val="18"/>
                <w:color w:val="auto"/>
                <w:w w:val="96"/>
              </w:rPr>
              <w:t>†   Section 409A Specified Employee Policy (incorporated herein by reference to Exhibit 10.18 of Amendment No.2 to the Registration</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Statement on Form S-1 (File No. 333-191193) filed on October 4,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93"/>
              </w:rPr>
              <w:t>10.23</w:t>
            </w:r>
          </w:p>
        </w:tc>
        <w:tc>
          <w:tcPr>
            <w:tcW w:w="34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Letter Agreement, dated as of October 2, 2013, by and between Essent Group Ltd. and The Goldman Sachs Group, Inc. (incorporated</w:t>
            </w: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6"/>
              </w:rPr>
              <w:t>herein by reference to Exhibit 10.19 of Amendment No.2 to the Registration Statement on Form S-1 (File No. 333-191193) filed on</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October 4, 2013)</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93"/>
              </w:rPr>
              <w:t>10.24</w:t>
            </w:r>
          </w:p>
        </w:tc>
        <w:tc>
          <w:tcPr>
            <w:tcW w:w="34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Credit Agreement, dated as of April 19, 2016, by and among Essent Group Ltd., Essent Irish Intermediate Holdings Limited, and Essent</w:t>
            </w: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US Holdings, Inc., as borrowers, the several banks and other financial institutions or entities from time to time parties to this agreement,</w:t>
            </w: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as lenders, and JPMorgan Chase Bank, N.A., as administrative agent (incorporated herein by reference to Exhibit 10.1 of the Current</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Report on Form 8-K (File No. 001-36157) filed on April 21, 2016)</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21.1</w:t>
            </w:r>
          </w:p>
        </w:tc>
        <w:tc>
          <w:tcPr>
            <w:tcW w:w="340" w:type="dxa"/>
            <w:vAlign w:val="bottom"/>
          </w:tcPr>
          <w:p>
            <w:pPr>
              <w:spacing w:after="0"/>
              <w:rPr>
                <w:sz w:val="23"/>
                <w:szCs w:val="23"/>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List of Subsidiaries (filed herewith)</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23.1</w:t>
            </w:r>
          </w:p>
        </w:tc>
        <w:tc>
          <w:tcPr>
            <w:tcW w:w="340" w:type="dxa"/>
            <w:vAlign w:val="bottom"/>
          </w:tcPr>
          <w:p>
            <w:pPr>
              <w:spacing w:after="0"/>
              <w:rPr>
                <w:sz w:val="23"/>
                <w:szCs w:val="23"/>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Consent of PricewaterhouseCoopers LLP (filed herewith)</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34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Certification of Chief Executive Officer required by Rule 13a-14(a) or Rule 15d-14(a) of the Securities Exchange Act of 1934, as adopted</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pursuant to Section 302 of the Sarbanes-Oxley Act of 2002 (filed herewith)</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34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Certification of Chief Financial Officer required by Rule 13a-14(a) or Rule 15d-14(a) of the Securities Exchange Act of 1934, as adopted</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pursuant to Section 302 of the Sarbanes-Oxley Act of 2002 (filed herewith)</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34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Certification of Chief Executive Officer and Chief Financial Officer pursuant to 18 U.S.C. 1350, as adopted pursuant to Section 906 of the</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Sarbanes-Oxley Act of 2002 (filed herewith)</w:t>
            </w:r>
          </w:p>
        </w:tc>
      </w:tr>
    </w:tbl>
    <w:p>
      <w:pPr>
        <w:spacing w:after="0" w:line="40" w:lineRule="exact"/>
        <w:rPr>
          <w:sz w:val="20"/>
          <w:szCs w:val="20"/>
          <w:color w:val="auto"/>
        </w:rPr>
      </w:pPr>
    </w:p>
    <w:p>
      <w:pPr>
        <w:ind w:left="1420" w:right="40" w:hanging="1027"/>
        <w:spacing w:after="0" w:line="286" w:lineRule="auto"/>
        <w:tabs>
          <w:tab w:leader="none" w:pos="1082" w:val="left"/>
        </w:tabs>
        <w:numPr>
          <w:ilvl w:val="0"/>
          <w:numId w:val="58"/>
        </w:numPr>
        <w:rPr>
          <w:rFonts w:ascii="Arial" w:cs="Arial" w:eastAsia="Arial" w:hAnsi="Arial"/>
          <w:sz w:val="16"/>
          <w:szCs w:val="16"/>
          <w:color w:val="auto"/>
        </w:rPr>
      </w:pPr>
      <w:r>
        <w:rPr>
          <w:rFonts w:ascii="Arial" w:cs="Arial" w:eastAsia="Arial" w:hAnsi="Arial"/>
          <w:sz w:val="16"/>
          <w:szCs w:val="16"/>
          <w:color w:val="auto"/>
        </w:rPr>
        <w:t>* The following financial information from this Annual Report on Form 10-K for the year ended December 31, 2016, formatted in XBRL (Extensible Business Reporting Language) and filed electronically herewith: (i) the Consolidated Balance Sheets as of December 31, 2016 and December 31, 2015; (ii) the Consolidated Statements of Comprehensive Income for the years ended December 31, 2016, 2015 and 2014; (iii) the Consolidated Statements of Changes in Stockholders' Equity for the years ended December 31, 2016, 2015 and 2014;</w:t>
      </w:r>
    </w:p>
    <w:p>
      <w:pPr>
        <w:spacing w:after="0" w:line="1" w:lineRule="exact"/>
        <w:rPr>
          <w:rFonts w:ascii="Arial" w:cs="Arial" w:eastAsia="Arial" w:hAnsi="Arial"/>
          <w:sz w:val="16"/>
          <w:szCs w:val="16"/>
          <w:color w:val="auto"/>
        </w:rPr>
      </w:pPr>
    </w:p>
    <w:p>
      <w:pPr>
        <w:ind w:left="1420" w:right="1000"/>
        <w:spacing w:after="0" w:line="261" w:lineRule="auto"/>
        <w:rPr>
          <w:rFonts w:ascii="Arial" w:cs="Arial" w:eastAsia="Arial" w:hAnsi="Arial"/>
          <w:sz w:val="16"/>
          <w:szCs w:val="16"/>
          <w:color w:val="auto"/>
        </w:rPr>
      </w:pPr>
      <w:r>
        <w:rPr>
          <w:rFonts w:ascii="Arial" w:cs="Arial" w:eastAsia="Arial" w:hAnsi="Arial"/>
          <w:sz w:val="18"/>
          <w:szCs w:val="18"/>
          <w:color w:val="auto"/>
        </w:rPr>
        <w:t>(iv) the Consolidated Statements of Cash Flows for the years ended December 31, 2016, 2015 and 2014; and (v) the Notes to Consolidated Financial Statements, tagged as blocks of text.</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95" w:lineRule="exact"/>
        <w:rPr>
          <w:sz w:val="20"/>
          <w:szCs w:val="20"/>
          <w:color w:val="auto"/>
        </w:rPr>
      </w:pPr>
    </w:p>
    <w:p>
      <w:pPr>
        <w:ind w:left="500" w:hanging="465"/>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347" w:lineRule="exact"/>
        <w:rPr>
          <w:sz w:val="20"/>
          <w:szCs w:val="20"/>
          <w:color w:val="auto"/>
        </w:rPr>
      </w:pPr>
    </w:p>
    <w:p>
      <w:pPr>
        <w:ind w:left="500" w:right="60" w:hanging="465"/>
        <w:spacing w:after="0" w:line="264"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Pursuant to applicable securities laws and regulations, this interactive data file is deemed not filed or part of a registration statement or prospectus for purposes of Sections 11 or 12 of the Securities Act of 1933, as amended, is deemed not filed for purposes of Section 18 of the Securities Exchange Act of 1934, as amended, and otherwise is not subject to liability under those sections.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806" w:right="2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auto"/>
        </w:rPr>
        <w:t>QuickLinks</w:t>
      </w:r>
    </w:p>
    <w:p>
      <w:pPr>
        <w:spacing w:after="0" w:line="360"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SPECIAL NOTE REGARDING FORWARD-LOOKING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PART I</w:t>
        </w:r>
      </w:hyperlink>
    </w:p>
    <w:p>
      <w:pPr>
        <w:spacing w:after="0" w:line="211" w:lineRule="exact"/>
        <w:rPr>
          <w:sz w:val="20"/>
          <w:szCs w:val="20"/>
          <w:color w:val="auto"/>
        </w:rPr>
      </w:pPr>
    </w:p>
    <w:p>
      <w:pPr>
        <w:ind w:left="3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ITEM 1. BUSINESS</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Residential Purchase vs. Refinancing Mortgage Originations ($ in billions)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Relative Share of Private and Public Mortgage Insurance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Private mortgage insurance NIW ($ in billions)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Portfolio by Credit Score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Portfolio by LTV</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Portfolio by Loan Amortization Period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Top Ten States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Top Ten Metropolitan Statistical Areas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Number of Loans in Default and Default Rate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Loan Defaults by Originating Year</w:t>
        </w:r>
      </w:hyperlink>
    </w:p>
    <w:p>
      <w:pPr>
        <w:spacing w:after="0" w:line="211" w:lineRule="exact"/>
        <w:rPr>
          <w:sz w:val="20"/>
          <w:szCs w:val="20"/>
          <w:color w:val="auto"/>
        </w:rPr>
      </w:pPr>
    </w:p>
    <w:p>
      <w:pPr>
        <w:ind w:left="36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1A. RISK FACTORS</w:t>
        </w:r>
      </w:hyperlink>
    </w:p>
    <w:p>
      <w:pPr>
        <w:spacing w:after="0" w:line="225" w:lineRule="exact"/>
        <w:rPr>
          <w:sz w:val="20"/>
          <w:szCs w:val="20"/>
          <w:color w:val="auto"/>
        </w:rPr>
      </w:pPr>
    </w:p>
    <w:p>
      <w:pPr>
        <w:ind w:left="36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ITEM 1B. UNRESOLVED STAFF COMMENTS</w:t>
        </w:r>
      </w:hyperlink>
    </w:p>
    <w:p>
      <w:pPr>
        <w:spacing w:after="0" w:line="23" w:lineRule="exact"/>
        <w:rPr>
          <w:sz w:val="20"/>
          <w:szCs w:val="20"/>
          <w:color w:val="auto"/>
        </w:rPr>
      </w:pPr>
    </w:p>
    <w:p>
      <w:pPr>
        <w:ind w:left="36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ITEM 2. PROPERTIES</w:t>
        </w:r>
      </w:hyperlink>
    </w:p>
    <w:p>
      <w:pPr>
        <w:spacing w:after="0" w:line="9" w:lineRule="exact"/>
        <w:rPr>
          <w:sz w:val="20"/>
          <w:szCs w:val="20"/>
          <w:color w:val="auto"/>
        </w:rPr>
      </w:pPr>
    </w:p>
    <w:p>
      <w:pPr>
        <w:ind w:left="36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ITEM 3. LEGAL PROCEEDINGS</w:t>
        </w:r>
      </w:hyperlink>
    </w:p>
    <w:p>
      <w:pPr>
        <w:spacing w:after="0" w:line="9" w:lineRule="exact"/>
        <w:rPr>
          <w:sz w:val="20"/>
          <w:szCs w:val="20"/>
          <w:color w:val="auto"/>
        </w:rPr>
      </w:pPr>
    </w:p>
    <w:p>
      <w:pPr>
        <w:ind w:left="36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ITEM 4. MINE SAFETY DISCLOSURES</w:t>
        </w:r>
      </w:hyperlink>
    </w:p>
    <w:p>
      <w:pPr>
        <w:spacing w:after="0" w:line="211" w:lineRule="exact"/>
        <w:rPr>
          <w:sz w:val="20"/>
          <w:szCs w:val="20"/>
          <w:color w:val="auto"/>
        </w:rPr>
      </w:pPr>
    </w:p>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PART II</w:t>
        </w:r>
      </w:hyperlink>
    </w:p>
    <w:p>
      <w:pPr>
        <w:spacing w:after="0" w:line="225" w:lineRule="exact"/>
        <w:rPr>
          <w:sz w:val="20"/>
          <w:szCs w:val="20"/>
          <w:color w:val="auto"/>
        </w:rPr>
      </w:pPr>
    </w:p>
    <w:p>
      <w:pPr>
        <w:ind w:right="360" w:firstLine="351"/>
        <w:spacing w:after="0" w:line="277" w:lineRule="auto"/>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ITEM 5. MARKET FOR THE COMPANY'S COMMON EQUITY, RELATED STOCKHOLDER MATTERS AND ISSUER PURCHASES OF</w:t>
        </w:r>
      </w:hyperlink>
      <w:r>
        <w:rPr>
          <w:rFonts w:ascii="Arial" w:cs="Arial" w:eastAsia="Arial" w:hAnsi="Arial"/>
          <w:sz w:val="18"/>
          <w:szCs w:val="18"/>
          <w:u w:val="single" w:color="auto"/>
          <w:color w:val="0000EE"/>
        </w:rPr>
        <w:t xml:space="preserve"> </w:t>
      </w:r>
      <w:hyperlink w:anchor="page56">
        <w:r>
          <w:rPr>
            <w:rFonts w:ascii="Arial" w:cs="Arial" w:eastAsia="Arial" w:hAnsi="Arial"/>
            <w:sz w:val="18"/>
            <w:szCs w:val="18"/>
            <w:u w:val="single" w:color="auto"/>
            <w:color w:val="0000EE"/>
          </w:rPr>
          <w:t>EQUITY SECURITIES</w:t>
        </w:r>
      </w:hyperlink>
    </w:p>
    <w:p>
      <w:pPr>
        <w:spacing w:after="0" w:line="170" w:lineRule="exact"/>
        <w:rPr>
          <w:sz w:val="20"/>
          <w:szCs w:val="20"/>
          <w:color w:val="auto"/>
        </w:rPr>
      </w:pPr>
    </w:p>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ITEM 6. SELECTED FINANCIAL DATA</w:t>
        </w:r>
      </w:hyperlink>
    </w:p>
    <w:p>
      <w:pPr>
        <w:spacing w:after="0" w:line="225" w:lineRule="exact"/>
        <w:rPr>
          <w:sz w:val="20"/>
          <w:szCs w:val="20"/>
          <w:color w:val="auto"/>
        </w:rPr>
      </w:pPr>
    </w:p>
    <w:p>
      <w:pPr>
        <w:ind w:left="36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ITEM 7. Management's Discussion and Analysis of Financial Condition and Results of Operations</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Investment Portfolio by Asset Class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Investment Portfolio by Rating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Investment Portfolio by Effective Duration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Top Ten Portfolio Holdings</w:t>
        </w:r>
      </w:hyperlink>
    </w:p>
    <w:p>
      <w:pPr>
        <w:spacing w:after="0" w:line="211" w:lineRule="exact"/>
        <w:rPr>
          <w:sz w:val="20"/>
          <w:szCs w:val="20"/>
          <w:color w:val="auto"/>
        </w:rPr>
      </w:pPr>
    </w:p>
    <w:p>
      <w:pPr>
        <w:ind w:left="360"/>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ITEM 7A. QUANTITATIVE AND QUALITATIVE DISCLOSURES ABOUT MARKET RISK</w:t>
        </w:r>
      </w:hyperlink>
    </w:p>
    <w:p>
      <w:pPr>
        <w:spacing w:after="0" w:line="225" w:lineRule="exact"/>
        <w:rPr>
          <w:sz w:val="20"/>
          <w:szCs w:val="20"/>
          <w:color w:val="auto"/>
        </w:rPr>
      </w:pPr>
    </w:p>
    <w:p>
      <w:pPr>
        <w:ind w:left="36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ITEM 8. FINANCIAL STATEMENTS AND SUPPLEMENTARY DATA</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INDEX TO FINANCIAL STATEMENTS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Report of Independent Registered Public Accounting Firm</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Essent Group Ltd. and Subsidiaries Consolidated Balance Sheets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Essent Group Ltd. and Subsidiaries Consolidated Statements of Comprehensive Income</w:t>
        </w:r>
      </w:hyperlink>
    </w:p>
    <w:p>
      <w:pPr>
        <w:spacing w:after="0" w:line="9" w:lineRule="exact"/>
        <w:rPr>
          <w:sz w:val="20"/>
          <w:szCs w:val="20"/>
          <w:color w:val="auto"/>
        </w:rPr>
      </w:pPr>
    </w:p>
    <w:p>
      <w:pPr>
        <w:ind w:right="4180"/>
        <w:spacing w:after="0" w:line="265" w:lineRule="auto"/>
        <w:rPr>
          <w:rFonts w:ascii="Arial" w:cs="Arial" w:eastAsia="Arial" w:hAnsi="Arial"/>
          <w:sz w:val="17"/>
          <w:szCs w:val="17"/>
          <w:u w:val="single" w:color="auto"/>
          <w:color w:val="0000EE"/>
        </w:rPr>
      </w:pPr>
      <w:hyperlink w:anchor="page92">
        <w:r>
          <w:rPr>
            <w:rFonts w:ascii="Arial" w:cs="Arial" w:eastAsia="Arial" w:hAnsi="Arial"/>
            <w:sz w:val="17"/>
            <w:szCs w:val="17"/>
            <w:u w:val="single" w:color="auto"/>
            <w:color w:val="0000EE"/>
          </w:rPr>
          <w:t>Essent Group Ltd. and Subsidiaries Consolidated Statements of Changes in Stockholders' Equity</w:t>
        </w:r>
      </w:hyperlink>
      <w:r>
        <w:rPr>
          <w:rFonts w:ascii="Arial" w:cs="Arial" w:eastAsia="Arial" w:hAnsi="Arial"/>
          <w:sz w:val="17"/>
          <w:szCs w:val="17"/>
          <w:u w:val="single" w:color="auto"/>
          <w:color w:val="0000EE"/>
        </w:rPr>
        <w:t xml:space="preserve"> </w:t>
      </w:r>
      <w:hyperlink w:anchor="page93">
        <w:r>
          <w:rPr>
            <w:rFonts w:ascii="Arial" w:cs="Arial" w:eastAsia="Arial" w:hAnsi="Arial"/>
            <w:sz w:val="17"/>
            <w:szCs w:val="17"/>
            <w:u w:val="single" w:color="auto"/>
            <w:color w:val="0000EE"/>
          </w:rPr>
          <w:t>Essent Group Ltd. and Subsidiaries Consolidated Statements of Cash Flows</w:t>
        </w:r>
      </w:hyperlink>
      <w:r>
        <w:rPr>
          <w:rFonts w:ascii="Arial" w:cs="Arial" w:eastAsia="Arial" w:hAnsi="Arial"/>
          <w:sz w:val="17"/>
          <w:szCs w:val="17"/>
          <w:u w:val="single" w:color="auto"/>
          <w:color w:val="0000EE"/>
        </w:rPr>
        <w:t xml:space="preserve"> </w:t>
      </w:r>
      <w:hyperlink w:anchor="page94">
        <w:r>
          <w:rPr>
            <w:rFonts w:ascii="Arial" w:cs="Arial" w:eastAsia="Arial" w:hAnsi="Arial"/>
            <w:sz w:val="17"/>
            <w:szCs w:val="17"/>
            <w:u w:val="single" w:color="auto"/>
            <w:color w:val="0000EE"/>
          </w:rPr>
          <w:t>Essent Group Ltd. and Subsidiaries Notes to Consolidated Financial Statements</w:t>
        </w:r>
      </w:hyperlink>
    </w:p>
    <w:p>
      <w:pPr>
        <w:spacing w:after="0" w:line="1" w:lineRule="exact"/>
        <w:rPr>
          <w:rFonts w:ascii="Arial" w:cs="Arial" w:eastAsia="Arial" w:hAnsi="Arial"/>
          <w:sz w:val="17"/>
          <w:szCs w:val="17"/>
          <w:u w:val="single" w:color="auto"/>
          <w:color w:val="0000EE"/>
        </w:rPr>
      </w:pPr>
    </w:p>
    <w:p>
      <w:pPr>
        <w:ind w:right="2180"/>
        <w:spacing w:after="0" w:line="281" w:lineRule="auto"/>
        <w:rPr>
          <w:rFonts w:ascii="Arial" w:cs="Arial" w:eastAsia="Arial" w:hAnsi="Arial"/>
          <w:sz w:val="16"/>
          <w:szCs w:val="16"/>
          <w:u w:val="single" w:color="auto"/>
          <w:color w:val="0000EE"/>
        </w:rPr>
      </w:pPr>
      <w:hyperlink w:anchor="page119">
        <w:r>
          <w:rPr>
            <w:rFonts w:ascii="Arial" w:cs="Arial" w:eastAsia="Arial" w:hAnsi="Arial"/>
            <w:sz w:val="16"/>
            <w:szCs w:val="16"/>
            <w:u w:val="single" w:color="auto"/>
            <w:color w:val="0000EE"/>
          </w:rPr>
          <w:t>Essent Group Ltd. and Subsidiaries Schedule I—Summary of Investments—Other Than Investments in Related Parties</w:t>
        </w:r>
      </w:hyperlink>
      <w:r>
        <w:rPr>
          <w:rFonts w:ascii="Arial" w:cs="Arial" w:eastAsia="Arial" w:hAnsi="Arial"/>
          <w:sz w:val="16"/>
          <w:szCs w:val="16"/>
          <w:u w:val="single" w:color="auto"/>
          <w:color w:val="0000EE"/>
        </w:rPr>
        <w:t xml:space="preserve"> </w:t>
      </w:r>
      <w:hyperlink w:anchor="page120">
        <w:r>
          <w:rPr>
            <w:rFonts w:ascii="Arial" w:cs="Arial" w:eastAsia="Arial" w:hAnsi="Arial"/>
            <w:sz w:val="16"/>
            <w:szCs w:val="16"/>
            <w:u w:val="single" w:color="auto"/>
            <w:color w:val="0000EE"/>
          </w:rPr>
          <w:t>Essent Group Ltd. and Subsidiaries Schedule II—Financial Information of Registrant Balance Sheets Parent Company Only</w:t>
        </w:r>
      </w:hyperlink>
    </w:p>
    <w:p>
      <w:pPr>
        <w:spacing w:after="0" w:line="1" w:lineRule="exact"/>
        <w:rPr>
          <w:sz w:val="20"/>
          <w:szCs w:val="20"/>
          <w:color w:val="auto"/>
        </w:rPr>
      </w:pPr>
    </w:p>
    <w:p>
      <w:pPr>
        <w:spacing w:after="0" w:line="250" w:lineRule="auto"/>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Essent Group Ltd. and Subsidiaries Schedule II—Condensed Financial Information of Registrant Condensed Statements of Comprehensive Income Parent</w:t>
        </w:r>
      </w:hyperlink>
      <w:r>
        <w:rPr>
          <w:rFonts w:ascii="Arial" w:cs="Arial" w:eastAsia="Arial" w:hAnsi="Arial"/>
          <w:sz w:val="18"/>
          <w:szCs w:val="18"/>
          <w:u w:val="single" w:color="auto"/>
          <w:color w:val="0000EE"/>
        </w:rPr>
        <w:t xml:space="preserve"> </w:t>
      </w:r>
      <w:hyperlink w:anchor="page121">
        <w:r>
          <w:rPr>
            <w:rFonts w:ascii="Arial" w:cs="Arial" w:eastAsia="Arial" w:hAnsi="Arial"/>
            <w:sz w:val="18"/>
            <w:szCs w:val="18"/>
            <w:u w:val="single" w:color="auto"/>
            <w:color w:val="0000EE"/>
          </w:rPr>
          <w:t>Company Only</w:t>
        </w:r>
      </w:hyperlink>
    </w:p>
    <w:p>
      <w:pPr>
        <w:spacing w:after="0" w:line="1" w:lineRule="exact"/>
        <w:rPr>
          <w:sz w:val="20"/>
          <w:szCs w:val="20"/>
          <w:color w:val="auto"/>
        </w:rPr>
      </w:pPr>
    </w:p>
    <w:p>
      <w:pPr>
        <w:ind w:right="120"/>
        <w:spacing w:after="0" w:line="261" w:lineRule="auto"/>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Essent Group Ltd. and Subsidiaries Schedule II—Condensed Financial Information of Registrant Condensed Statements of Cash Flows Parent Company</w:t>
        </w:r>
      </w:hyperlink>
      <w:r>
        <w:rPr>
          <w:rFonts w:ascii="Arial" w:cs="Arial" w:eastAsia="Arial" w:hAnsi="Arial"/>
          <w:sz w:val="18"/>
          <w:szCs w:val="18"/>
          <w:u w:val="single" w:color="auto"/>
          <w:color w:val="0000EE"/>
        </w:rPr>
        <w:t xml:space="preserve"> </w:t>
      </w:r>
      <w:hyperlink w:anchor="page122">
        <w:r>
          <w:rPr>
            <w:rFonts w:ascii="Arial" w:cs="Arial" w:eastAsia="Arial" w:hAnsi="Arial"/>
            <w:sz w:val="18"/>
            <w:szCs w:val="18"/>
            <w:u w:val="single" w:color="auto"/>
            <w:color w:val="0000EE"/>
          </w:rPr>
          <w:t>Only</w:t>
        </w:r>
      </w:hyperlink>
    </w:p>
    <w:p>
      <w:pPr>
        <w:sectPr>
          <w:pgSz w:w="11900" w:h="16838" w:orient="portrait"/>
          <w:cols w:equalWidth="0" w:num="1">
            <w:col w:w="11140"/>
          </w:cols>
          <w:pgMar w:left="240" w:top="719" w:right="519" w:bottom="1440" w:gutter="0" w:footer="0" w:header="0"/>
        </w:sectPr>
      </w:pP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5"/>
          <w:szCs w:val="15"/>
          <w:color w:val="auto"/>
        </w:rPr>
        <w:t>126</w:t>
      </w:r>
    </w:p>
    <w:p>
      <w:pPr>
        <w:sectPr>
          <w:pgSz w:w="11900" w:h="16838" w:orient="portrait"/>
          <w:cols w:equalWidth="0" w:num="1">
            <w:col w:w="11140"/>
          </w:cols>
          <w:pgMar w:left="240" w:top="719" w:right="519" w:bottom="1440" w:gutter="0" w:footer="0" w:header="0"/>
          <w:type w:val="continuous"/>
        </w:sectPr>
      </w:pPr>
    </w:p>
    <w:bookmarkStart w:id="131" w:name="page132"/>
    <w:bookmarkEnd w:id="131"/>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Essent Group Ltd. and Subsidiaries Schedule II—Condensed Financial Information of Registrant Parent Company Only Supplementary Notes</w:t>
        </w:r>
      </w:hyperlink>
    </w:p>
    <w:p>
      <w:pPr>
        <w:spacing w:after="0" w:line="225" w:lineRule="exact"/>
        <w:rPr>
          <w:sz w:val="20"/>
          <w:szCs w:val="20"/>
          <w:color w:val="auto"/>
        </w:rPr>
      </w:pPr>
    </w:p>
    <w:p>
      <w:pPr>
        <w:ind w:left="360"/>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ITEM 9. CHANGES IN AND DISAGREEMENTS WITH ACCOUNTANTS ON ACCOUNTING AND FINANCIAL DISCLOSURE</w:t>
        </w:r>
      </w:hyperlink>
    </w:p>
    <w:p>
      <w:pPr>
        <w:spacing w:after="0" w:line="23" w:lineRule="exact"/>
        <w:rPr>
          <w:sz w:val="20"/>
          <w:szCs w:val="20"/>
          <w:color w:val="auto"/>
        </w:rPr>
      </w:pPr>
    </w:p>
    <w:p>
      <w:pPr>
        <w:ind w:left="360"/>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ITEM 9A. CONTROLS AND PROCEDURES</w:t>
        </w:r>
      </w:hyperlink>
    </w:p>
    <w:p>
      <w:pPr>
        <w:spacing w:after="0" w:line="9" w:lineRule="exact"/>
        <w:rPr>
          <w:sz w:val="20"/>
          <w:szCs w:val="20"/>
          <w:color w:val="auto"/>
        </w:rPr>
      </w:pPr>
    </w:p>
    <w:p>
      <w:pPr>
        <w:ind w:left="360"/>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ITEM 9B. OTHER INFORMATION</w:t>
        </w:r>
      </w:hyperlink>
    </w:p>
    <w:p>
      <w:pPr>
        <w:spacing w:after="0" w:line="211" w:lineRule="exact"/>
        <w:rPr>
          <w:sz w:val="20"/>
          <w:szCs w:val="20"/>
          <w:color w:val="auto"/>
        </w:rPr>
      </w:pPr>
    </w:p>
    <w:p>
      <w:pPr>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PART III</w:t>
        </w:r>
      </w:hyperlink>
    </w:p>
    <w:p>
      <w:pPr>
        <w:spacing w:after="0" w:line="225" w:lineRule="exact"/>
        <w:rPr>
          <w:sz w:val="20"/>
          <w:szCs w:val="20"/>
          <w:color w:val="auto"/>
        </w:rPr>
      </w:pPr>
    </w:p>
    <w:p>
      <w:pPr>
        <w:ind w:left="360" w:right="4440"/>
        <w:spacing w:after="0" w:line="258" w:lineRule="auto"/>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ITEM 10. DIRECTORS, EXECUTIVE OFFICERS AND CORPORATE GOVERNANCE</w:t>
        </w:r>
      </w:hyperlink>
      <w:r>
        <w:rPr>
          <w:rFonts w:ascii="Arial" w:cs="Arial" w:eastAsia="Arial" w:hAnsi="Arial"/>
          <w:sz w:val="18"/>
          <w:szCs w:val="18"/>
          <w:u w:val="single" w:color="auto"/>
          <w:color w:val="0000EE"/>
        </w:rPr>
        <w:t xml:space="preserve"> </w:t>
      </w:r>
      <w:hyperlink w:anchor="page125">
        <w:r>
          <w:rPr>
            <w:rFonts w:ascii="Arial" w:cs="Arial" w:eastAsia="Arial" w:hAnsi="Arial"/>
            <w:sz w:val="18"/>
            <w:szCs w:val="18"/>
            <w:u w:val="single" w:color="auto"/>
            <w:color w:val="0000EE"/>
          </w:rPr>
          <w:t>ITEM 11. EXECUTIVE COMPENSATION</w:t>
        </w:r>
      </w:hyperlink>
    </w:p>
    <w:p>
      <w:pPr>
        <w:spacing w:after="0" w:line="1" w:lineRule="exact"/>
        <w:rPr>
          <w:sz w:val="20"/>
          <w:szCs w:val="20"/>
          <w:color w:val="auto"/>
        </w:rPr>
      </w:pPr>
    </w:p>
    <w:p>
      <w:pPr>
        <w:ind w:left="360"/>
        <w:spacing w:after="0" w:line="255" w:lineRule="auto"/>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ITEM 12. SECURITY OWNERSHIP OF CERTAIN BENEFICIAL OWNERS AND MANAGEMENT AND RELATED STOCKHOLDER MATTERS</w:t>
        </w:r>
      </w:hyperlink>
      <w:r>
        <w:rPr>
          <w:rFonts w:ascii="Arial" w:cs="Arial" w:eastAsia="Arial" w:hAnsi="Arial"/>
          <w:sz w:val="18"/>
          <w:szCs w:val="18"/>
          <w:u w:val="single" w:color="auto"/>
          <w:color w:val="0000EE"/>
        </w:rPr>
        <w:t xml:space="preserve"> </w:t>
      </w:r>
      <w:hyperlink w:anchor="page125">
        <w:r>
          <w:rPr>
            <w:rFonts w:ascii="Arial" w:cs="Arial" w:eastAsia="Arial" w:hAnsi="Arial"/>
            <w:sz w:val="18"/>
            <w:szCs w:val="18"/>
            <w:u w:val="single" w:color="auto"/>
            <w:color w:val="0000EE"/>
          </w:rPr>
          <w:t>ITEM 13. CERTAIN RELATIONSHIPS AND RELATED TRANSACTIONS, AND DIRECTOR INDEPENDENCE</w:t>
        </w:r>
      </w:hyperlink>
      <w:r>
        <w:rPr>
          <w:rFonts w:ascii="Arial" w:cs="Arial" w:eastAsia="Arial" w:hAnsi="Arial"/>
          <w:sz w:val="18"/>
          <w:szCs w:val="18"/>
          <w:u w:val="single" w:color="auto"/>
          <w:color w:val="0000EE"/>
        </w:rPr>
        <w:t xml:space="preserve"> </w:t>
      </w:r>
      <w:hyperlink w:anchor="page125">
        <w:r>
          <w:rPr>
            <w:rFonts w:ascii="Arial" w:cs="Arial" w:eastAsia="Arial" w:hAnsi="Arial"/>
            <w:sz w:val="18"/>
            <w:szCs w:val="18"/>
            <w:u w:val="single" w:color="auto"/>
            <w:color w:val="0000EE"/>
          </w:rPr>
          <w:t>ITEM 14. PRINCIPAL ACCOUNTING FEES AND SERVICES</w:t>
        </w:r>
      </w:hyperlink>
    </w:p>
    <w:p>
      <w:pPr>
        <w:spacing w:after="0" w:line="190"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PART IV</w:t>
        </w:r>
      </w:hyperlink>
    </w:p>
    <w:p>
      <w:pPr>
        <w:spacing w:after="0" w:line="225" w:lineRule="exact"/>
        <w:rPr>
          <w:rFonts w:ascii="Arial" w:cs="Arial" w:eastAsia="Arial" w:hAnsi="Arial"/>
          <w:sz w:val="18"/>
          <w:szCs w:val="18"/>
          <w:u w:val="single" w:color="auto"/>
          <w:color w:val="0000EE"/>
        </w:rPr>
      </w:pPr>
    </w:p>
    <w:p>
      <w:pPr>
        <w:ind w:left="360"/>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ITEM 15. EXHIBITS, FINANCIAL STATEMENT SCHEDULES</w:t>
        </w:r>
      </w:hyperlink>
    </w:p>
    <w:p>
      <w:pPr>
        <w:spacing w:after="0" w:line="225"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SIGNATURES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EXHIBIT INDEX</w:t>
        </w:r>
      </w:hyperlink>
    </w:p>
    <w:p>
      <w:pPr>
        <w:spacing w:after="0" w:line="200" w:lineRule="exact"/>
        <w:rPr>
          <w:rFonts w:ascii="Arial" w:cs="Arial" w:eastAsia="Arial" w:hAnsi="Arial"/>
          <w:sz w:val="18"/>
          <w:szCs w:val="18"/>
          <w:u w:val="single" w:color="auto"/>
          <w:color w:val="0000EE"/>
        </w:rPr>
      </w:pPr>
    </w:p>
    <w:p>
      <w:pPr>
        <w:spacing w:after="0" w:line="254" w:lineRule="exact"/>
        <w:rPr>
          <w:rFonts w:ascii="Arial" w:cs="Arial" w:eastAsia="Arial" w:hAnsi="Arial"/>
          <w:sz w:val="18"/>
          <w:szCs w:val="18"/>
          <w:u w:val="single" w:color="auto"/>
          <w:color w:val="0000EE"/>
        </w:rPr>
      </w:pPr>
    </w:p>
    <w:p>
      <w:pPr>
        <w:jc w:val="center"/>
        <w:ind w:right="-7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60"/>
          </w:cols>
          <w:pgMar w:left="240" w:top="584" w:right="299" w:bottom="1440" w:gutter="0" w:footer="0" w:header="0"/>
        </w:sectPr>
      </w:pPr>
    </w:p>
    <w:bookmarkStart w:id="132" w:name="page133"/>
    <w:bookmarkEnd w:id="132"/>
    <w:p>
      <w:pPr>
        <w:jc w:val="right"/>
        <w:spacing w:after="0"/>
        <w:rPr>
          <w:sz w:val="20"/>
          <w:szCs w:val="20"/>
          <w:color w:val="auto"/>
        </w:rPr>
      </w:pPr>
      <w:r>
        <w:rPr>
          <w:rFonts w:ascii="Arial" w:cs="Arial" w:eastAsia="Arial" w:hAnsi="Arial"/>
          <w:sz w:val="22"/>
          <w:szCs w:val="22"/>
          <w:b w:val="1"/>
          <w:bCs w:val="1"/>
          <w:color w:val="auto"/>
        </w:rPr>
        <w:t>Exhibit 10.19</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20" w:lineRule="exact"/>
        <w:rPr>
          <w:sz w:val="20"/>
          <w:szCs w:val="20"/>
          <w:color w:val="auto"/>
        </w:rPr>
      </w:pPr>
    </w:p>
    <w:p>
      <w:pPr>
        <w:ind w:right="40" w:firstLine="648"/>
        <w:spacing w:after="0" w:line="256"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EMPLOYMENT AGREEMENT</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Agreement</w:t>
      </w:r>
      <w:r>
        <w:rPr>
          <w:rFonts w:ascii="Arial" w:cs="Arial" w:eastAsia="Arial" w:hAnsi="Arial"/>
          <w:sz w:val="22"/>
          <w:szCs w:val="22"/>
          <w:color w:val="auto"/>
        </w:rPr>
        <w:t>”) is made and entered into as of this 26th day of September 2013 (the ”</w:t>
      </w:r>
      <w:r>
        <w:rPr>
          <w:rFonts w:ascii="Arial" w:cs="Arial" w:eastAsia="Arial" w:hAnsi="Arial"/>
          <w:sz w:val="22"/>
          <w:szCs w:val="22"/>
          <w:u w:val="single" w:color="auto"/>
          <w:color w:val="auto"/>
        </w:rPr>
        <w:t>Effective Date</w:t>
      </w:r>
      <w:r>
        <w:rPr>
          <w:rFonts w:ascii="Arial" w:cs="Arial" w:eastAsia="Arial" w:hAnsi="Arial"/>
          <w:sz w:val="22"/>
          <w:szCs w:val="22"/>
          <w:color w:val="auto"/>
        </w:rPr>
        <w:t>”), by and between Essent US Holdings,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Jeff Cashmer (the ”</w:t>
      </w:r>
      <w:r>
        <w:rPr>
          <w:rFonts w:ascii="Arial" w:cs="Arial" w:eastAsia="Arial" w:hAnsi="Arial"/>
          <w:sz w:val="22"/>
          <w:szCs w:val="22"/>
          <w:u w:val="single" w:color="auto"/>
          <w:color w:val="auto"/>
        </w:rPr>
        <w:t>Executive</w:t>
      </w:r>
      <w:r>
        <w:rPr>
          <w:rFonts w:ascii="Arial" w:cs="Arial" w:eastAsia="Arial" w:hAnsi="Arial"/>
          <w:sz w:val="22"/>
          <w:szCs w:val="22"/>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S E T H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Executive is currently employed by the Company as its Senior Vice President, Chief Business Officer; and</w:t>
      </w:r>
    </w:p>
    <w:p>
      <w:pPr>
        <w:spacing w:after="0" w:line="254" w:lineRule="exact"/>
        <w:rPr>
          <w:sz w:val="20"/>
          <w:szCs w:val="20"/>
          <w:color w:val="auto"/>
        </w:rPr>
      </w:pPr>
    </w:p>
    <w:p>
      <w:pPr>
        <w:ind w:right="1160" w:firstLine="648"/>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Executive is a party to an employment agreement with the Company, dated June 2009 (the ”</w:t>
      </w:r>
      <w:r>
        <w:rPr>
          <w:rFonts w:ascii="Arial" w:cs="Arial" w:eastAsia="Arial" w:hAnsi="Arial"/>
          <w:sz w:val="22"/>
          <w:szCs w:val="22"/>
          <w:u w:val="single" w:color="auto"/>
          <w:color w:val="auto"/>
        </w:rPr>
        <w:t>Prior</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 and</w:t>
      </w:r>
    </w:p>
    <w:p>
      <w:pPr>
        <w:spacing w:after="0" w:line="162" w:lineRule="exact"/>
        <w:rPr>
          <w:sz w:val="20"/>
          <w:szCs w:val="20"/>
          <w:color w:val="auto"/>
        </w:rPr>
      </w:pPr>
    </w:p>
    <w:p>
      <w:pPr>
        <w:ind w:right="300" w:firstLine="648"/>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Company anticipates that Executive will make material contributions to the short and long term growth</w:t>
      </w:r>
      <w:r>
        <w:rPr>
          <w:rFonts w:ascii="Arial" w:cs="Arial" w:eastAsia="Arial" w:hAnsi="Arial"/>
          <w:sz w:val="22"/>
          <w:szCs w:val="22"/>
          <w:b w:val="1"/>
          <w:bCs w:val="1"/>
          <w:color w:val="auto"/>
        </w:rPr>
        <w:t xml:space="preserve"> </w:t>
      </w:r>
      <w:r>
        <w:rPr>
          <w:rFonts w:ascii="Arial" w:cs="Arial" w:eastAsia="Arial" w:hAnsi="Arial"/>
          <w:sz w:val="22"/>
          <w:szCs w:val="22"/>
          <w:color w:val="auto"/>
        </w:rPr>
        <w:t>and profitability of the Company and Parent;</w:t>
      </w:r>
    </w:p>
    <w:p>
      <w:pPr>
        <w:spacing w:after="0" w:line="162" w:lineRule="exact"/>
        <w:rPr>
          <w:sz w:val="20"/>
          <w:szCs w:val="20"/>
          <w:color w:val="auto"/>
        </w:rPr>
      </w:pPr>
    </w:p>
    <w:p>
      <w:pPr>
        <w:jc w:val="both"/>
        <w:ind w:right="160" w:firstLine="648"/>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Company desires to continue to employ Executive and to enter into this Agreement embodying the terms</w:t>
      </w:r>
      <w:r>
        <w:rPr>
          <w:rFonts w:ascii="Arial" w:cs="Arial" w:eastAsia="Arial" w:hAnsi="Arial"/>
          <w:sz w:val="22"/>
          <w:szCs w:val="22"/>
          <w:b w:val="1"/>
          <w:bCs w:val="1"/>
          <w:color w:val="auto"/>
        </w:rPr>
        <w:t xml:space="preserve"> </w:t>
      </w:r>
      <w:r>
        <w:rPr>
          <w:rFonts w:ascii="Arial" w:cs="Arial" w:eastAsia="Arial" w:hAnsi="Arial"/>
          <w:sz w:val="22"/>
          <w:szCs w:val="22"/>
          <w:color w:val="auto"/>
        </w:rPr>
        <w:t>of such employment, and Executive desires to enter into this Agreement and to accept such continued employment, subject to the terms and provisions of this Agreement.</w:t>
      </w:r>
    </w:p>
    <w:p>
      <w:pPr>
        <w:spacing w:after="0" w:line="176" w:lineRule="exact"/>
        <w:rPr>
          <w:sz w:val="20"/>
          <w:szCs w:val="20"/>
          <w:color w:val="auto"/>
        </w:rPr>
      </w:pPr>
    </w:p>
    <w:p>
      <w:pPr>
        <w:ind w:right="100" w:firstLine="648"/>
        <w:spacing w:after="0" w:line="256"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promises and mutual covenants contained herein and for other good and</w:t>
      </w:r>
      <w:r>
        <w:rPr>
          <w:rFonts w:ascii="Arial" w:cs="Arial" w:eastAsia="Arial" w:hAnsi="Arial"/>
          <w:sz w:val="22"/>
          <w:szCs w:val="22"/>
          <w:b w:val="1"/>
          <w:bCs w:val="1"/>
          <w:color w:val="auto"/>
        </w:rPr>
        <w:t xml:space="preserve"> </w:t>
      </w:r>
      <w:r>
        <w:rPr>
          <w:rFonts w:ascii="Arial" w:cs="Arial" w:eastAsia="Arial" w:hAnsi="Arial"/>
          <w:sz w:val="22"/>
          <w:szCs w:val="22"/>
          <w:color w:val="auto"/>
        </w:rPr>
        <w:t>valuable consideration, the receipt and sufficiency of which are mutually acknowledged, the Company and Executive hereby agree as follows:</w:t>
      </w:r>
    </w:p>
    <w:p>
      <w:pPr>
        <w:spacing w:after="0" w:line="176" w:lineRule="exact"/>
        <w:rPr>
          <w:sz w:val="20"/>
          <w:szCs w:val="20"/>
          <w:color w:val="auto"/>
        </w:rPr>
      </w:pPr>
    </w:p>
    <w:p>
      <w:pPr>
        <w:ind w:left="660"/>
        <w:spacing w:after="0"/>
        <w:tabs>
          <w:tab w:leader="none" w:pos="282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19"/>
          <w:szCs w:val="19"/>
          <w:b w:val="1"/>
          <w:bCs w:val="1"/>
          <w:color w:val="auto"/>
        </w:rPr>
        <w:t>Definitions.</w:t>
      </w:r>
    </w:p>
    <w:p>
      <w:pPr>
        <w:spacing w:after="0" w:line="266" w:lineRule="exact"/>
        <w:rPr>
          <w:sz w:val="20"/>
          <w:szCs w:val="20"/>
          <w:color w:val="auto"/>
        </w:rPr>
      </w:pPr>
    </w:p>
    <w:p>
      <w:pPr>
        <w:jc w:val="both"/>
        <w:ind w:right="200" w:firstLine="1305"/>
        <w:spacing w:after="0" w:line="250" w:lineRule="auto"/>
        <w:tabs>
          <w:tab w:leader="none" w:pos="2185" w:val="left"/>
        </w:tabs>
        <w:numPr>
          <w:ilvl w:val="0"/>
          <w:numId w:val="6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Accrued Obligations</w:t>
      </w:r>
      <w:r>
        <w:rPr>
          <w:rFonts w:ascii="Arial" w:cs="Arial" w:eastAsia="Arial" w:hAnsi="Arial"/>
          <w:sz w:val="22"/>
          <w:szCs w:val="22"/>
          <w:color w:val="auto"/>
        </w:rPr>
        <w:t>” shall mean (i) all accrued but unpaid Base Salary through the date of termination of Executive’s employment, (ii) any unpaid or unreimbursed expenses incurred in accordance with Section 7 hereof, and (iii) any benefits provided under the Company’s employee benefit plans upon a termination of employment, in accordance with the terms contained therein.</w:t>
      </w:r>
    </w:p>
    <w:p>
      <w:pPr>
        <w:spacing w:after="0" w:line="228" w:lineRule="exact"/>
        <w:rPr>
          <w:rFonts w:ascii="Arial" w:cs="Arial" w:eastAsia="Arial" w:hAnsi="Arial"/>
          <w:sz w:val="22"/>
          <w:szCs w:val="22"/>
          <w:color w:val="auto"/>
        </w:rPr>
      </w:pPr>
    </w:p>
    <w:p>
      <w:pPr>
        <w:ind w:left="2200" w:hanging="895"/>
        <w:spacing w:after="0"/>
        <w:tabs>
          <w:tab w:leader="none" w:pos="2200" w:val="left"/>
        </w:tabs>
        <w:numPr>
          <w:ilvl w:val="0"/>
          <w:numId w:val="6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shall have the meaning set forth in the preamble hereto.</w:t>
      </w:r>
    </w:p>
    <w:p>
      <w:pPr>
        <w:spacing w:after="0" w:line="260" w:lineRule="exact"/>
        <w:rPr>
          <w:rFonts w:ascii="Arial" w:cs="Arial" w:eastAsia="Arial" w:hAnsi="Arial"/>
          <w:sz w:val="22"/>
          <w:szCs w:val="22"/>
          <w:color w:val="auto"/>
        </w:rPr>
      </w:pPr>
    </w:p>
    <w:p>
      <w:pPr>
        <w:ind w:left="2200" w:hanging="895"/>
        <w:spacing w:after="0"/>
        <w:tabs>
          <w:tab w:leader="none" w:pos="2200" w:val="left"/>
        </w:tabs>
        <w:numPr>
          <w:ilvl w:val="0"/>
          <w:numId w:val="6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Annual Bonus</w:t>
      </w:r>
      <w:r>
        <w:rPr>
          <w:rFonts w:ascii="Arial" w:cs="Arial" w:eastAsia="Arial" w:hAnsi="Arial"/>
          <w:sz w:val="22"/>
          <w:szCs w:val="22"/>
          <w:color w:val="auto"/>
        </w:rPr>
        <w:t>” shall have the meaning set forth in Section 4(b) hereof.</w:t>
      </w:r>
    </w:p>
    <w:p>
      <w:pPr>
        <w:spacing w:after="0" w:line="260" w:lineRule="exact"/>
        <w:rPr>
          <w:rFonts w:ascii="Arial" w:cs="Arial" w:eastAsia="Arial" w:hAnsi="Arial"/>
          <w:sz w:val="22"/>
          <w:szCs w:val="22"/>
          <w:color w:val="auto"/>
        </w:rPr>
      </w:pPr>
    </w:p>
    <w:p>
      <w:pPr>
        <w:ind w:right="100" w:firstLine="1305"/>
        <w:spacing w:after="0" w:line="263" w:lineRule="auto"/>
        <w:tabs>
          <w:tab w:leader="none" w:pos="2197" w:val="left"/>
        </w:tabs>
        <w:numPr>
          <w:ilvl w:val="0"/>
          <w:numId w:val="6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Salary</w:t>
      </w:r>
      <w:r>
        <w:rPr>
          <w:rFonts w:ascii="Arial" w:cs="Arial" w:eastAsia="Arial" w:hAnsi="Arial"/>
          <w:sz w:val="22"/>
          <w:szCs w:val="22"/>
          <w:color w:val="auto"/>
        </w:rPr>
        <w:t>” shall mean the salary provided for in Section 4(a) hereof or any increased salary granted to Executive pursuant to Section 4(a) hereof.</w:t>
      </w:r>
    </w:p>
    <w:p>
      <w:pPr>
        <w:spacing w:after="0" w:line="215" w:lineRule="exact"/>
        <w:rPr>
          <w:rFonts w:ascii="Arial" w:cs="Arial" w:eastAsia="Arial" w:hAnsi="Arial"/>
          <w:sz w:val="22"/>
          <w:szCs w:val="22"/>
          <w:color w:val="auto"/>
        </w:rPr>
      </w:pPr>
    </w:p>
    <w:p>
      <w:pPr>
        <w:ind w:left="2200" w:hanging="895"/>
        <w:spacing w:after="0"/>
        <w:tabs>
          <w:tab w:leader="none" w:pos="2200" w:val="left"/>
        </w:tabs>
        <w:numPr>
          <w:ilvl w:val="0"/>
          <w:numId w:val="6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shall mean the Board of Directors of the Parent.</w:t>
      </w:r>
    </w:p>
    <w:p>
      <w:pPr>
        <w:spacing w:after="0" w:line="260" w:lineRule="exact"/>
        <w:rPr>
          <w:rFonts w:ascii="Arial" w:cs="Arial" w:eastAsia="Arial" w:hAnsi="Arial"/>
          <w:sz w:val="22"/>
          <w:szCs w:val="22"/>
          <w:color w:val="auto"/>
        </w:rPr>
      </w:pPr>
    </w:p>
    <w:p>
      <w:pPr>
        <w:ind w:right="20" w:firstLine="1305"/>
        <w:spacing w:after="0" w:line="261" w:lineRule="auto"/>
        <w:tabs>
          <w:tab w:leader="none" w:pos="2161" w:val="left"/>
        </w:tabs>
        <w:numPr>
          <w:ilvl w:val="0"/>
          <w:numId w:val="6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Cause</w:t>
      </w:r>
      <w:r>
        <w:rPr>
          <w:rFonts w:ascii="Arial" w:cs="Arial" w:eastAsia="Arial" w:hAnsi="Arial"/>
          <w:sz w:val="21"/>
          <w:szCs w:val="21"/>
          <w:color w:val="auto"/>
        </w:rPr>
        <w:t>” shall mean (i) Executive’s act(s) of gross negligence or willful misconduct in the course of Executive’s employment hereunder, (ii) willful and continued failure or refusal by Executive to perform in any material respect his duties or responsibilities, (iii) misappropriation (or attempted misappropriation) by Executive of any material assets or business opportunities of the Company or any other member of the Company Group, (iv) acts of embezzlement or material fraud committed (or attempted) by Executive, or at his direction, (v) Executive’s conviction of or pleading “guilty” or “ no contest” to, (x) a felony or (y) any other criminal charge that has, or could be reasonably</w:t>
      </w:r>
    </w:p>
    <w:p>
      <w:pPr>
        <w:sectPr>
          <w:pgSz w:w="11900" w:h="16838" w:orient="portrait"/>
          <w:cols w:equalWidth="0" w:num="1">
            <w:col w:w="11420"/>
          </w:cols>
          <w:pgMar w:left="240" w:top="585" w:right="239" w:bottom="1440" w:gutter="0" w:footer="0" w:header="0"/>
        </w:sectPr>
      </w:pPr>
    </w:p>
    <w:bookmarkStart w:id="133" w:name="page134"/>
    <w:bookmarkEnd w:id="133"/>
    <w:p>
      <w:pPr>
        <w:spacing w:after="0" w:line="259" w:lineRule="auto"/>
        <w:rPr>
          <w:sz w:val="20"/>
          <w:szCs w:val="20"/>
          <w:color w:val="auto"/>
        </w:rPr>
      </w:pPr>
      <w:r>
        <w:rPr>
          <w:rFonts w:ascii="Arial" w:cs="Arial" w:eastAsia="Arial" w:hAnsi="Arial"/>
          <w:sz w:val="21"/>
          <w:szCs w:val="21"/>
          <w:color w:val="auto"/>
        </w:rPr>
        <w:t>expected to have, an adverse impact on the performance of Executive’s duties to the Company or any other member of the Company Group or otherwise result in material injury to the reputation or business of the Company or any other member of the Company Group, (vi) any material violation by Executive of the policies of the Company, including but not limited to those relating to sexual harassment or business conduct, or (vii) Executive’s material breach of this Agreement or breach of the Non-Interference Agreement. If, within ninety (90) days subsequent to Executive’s termination for any reason other than by the Company for Cause, the Company determines that Executive’s employment could have been terminated for Cause, Executive’s employment will be deemed to have been terminated for Cause for all purposes, and Executive will be required to disgorge to the Company all amounts received pursuant to this Agreement to the extent that they would not have been paid or payable to Executive had such termination been by the Company for Cause.</w:t>
      </w:r>
    </w:p>
    <w:p>
      <w:pPr>
        <w:spacing w:after="0" w:line="221" w:lineRule="exact"/>
        <w:rPr>
          <w:sz w:val="20"/>
          <w:szCs w:val="20"/>
          <w:color w:val="auto"/>
        </w:rPr>
      </w:pPr>
    </w:p>
    <w:p>
      <w:pPr>
        <w:ind w:right="180" w:firstLine="1305"/>
        <w:spacing w:after="0" w:line="343" w:lineRule="auto"/>
        <w:tabs>
          <w:tab w:leader="none" w:pos="2197" w:val="left"/>
        </w:tabs>
        <w:numPr>
          <w:ilvl w:val="0"/>
          <w:numId w:val="6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shall mean the first of the following to occur after the Effective Date, provided that all references to the “Company” within this subsection (g) shall apply with equal force and effect to the Parent:</w:t>
      </w:r>
    </w:p>
    <w:p>
      <w:pPr>
        <w:spacing w:after="0" w:line="145" w:lineRule="exact"/>
        <w:rPr>
          <w:rFonts w:ascii="Arial" w:cs="Arial" w:eastAsia="Arial" w:hAnsi="Arial"/>
          <w:sz w:val="19"/>
          <w:szCs w:val="19"/>
          <w:color w:val="auto"/>
        </w:rPr>
      </w:pPr>
    </w:p>
    <w:p>
      <w:pPr>
        <w:ind w:left="660" w:right="20" w:firstLine="1522"/>
        <w:spacing w:after="0" w:line="289" w:lineRule="auto"/>
        <w:tabs>
          <w:tab w:leader="none" w:pos="2795" w:val="left"/>
        </w:tabs>
        <w:numPr>
          <w:ilvl w:val="1"/>
          <w:numId w:val="62"/>
        </w:numPr>
        <w:rPr>
          <w:rFonts w:ascii="Arial" w:cs="Arial" w:eastAsia="Arial" w:hAnsi="Arial"/>
          <w:sz w:val="19"/>
          <w:szCs w:val="19"/>
          <w:color w:val="auto"/>
        </w:rPr>
      </w:pPr>
      <w:r>
        <w:rPr>
          <w:rFonts w:ascii="Arial" w:cs="Arial" w:eastAsia="Arial" w:hAnsi="Arial"/>
          <w:sz w:val="19"/>
          <w:szCs w:val="19"/>
          <w:i w:val="1"/>
          <w:iCs w:val="1"/>
          <w:color w:val="auto"/>
        </w:rPr>
        <w:t>Acquisition of Controlling Interest</w:t>
      </w:r>
      <w:r>
        <w:rPr>
          <w:rFonts w:ascii="Arial" w:cs="Arial" w:eastAsia="Arial" w:hAnsi="Arial"/>
          <w:sz w:val="19"/>
          <w:szCs w:val="19"/>
          <w:color w:val="auto"/>
        </w:rPr>
        <w:t>. Any person or group of persons acting in concert (other than</w:t>
      </w:r>
      <w:r>
        <w:rPr>
          <w:rFonts w:ascii="Arial" w:cs="Arial" w:eastAsia="Arial" w:hAnsi="Arial"/>
          <w:sz w:val="19"/>
          <w:szCs w:val="19"/>
          <w:i w:val="1"/>
          <w:iCs w:val="1"/>
          <w:color w:val="auto"/>
        </w:rPr>
        <w:t xml:space="preserve"> </w:t>
      </w:r>
      <w:r>
        <w:rPr>
          <w:rFonts w:ascii="Arial" w:cs="Arial" w:eastAsia="Arial" w:hAnsi="Arial"/>
          <w:sz w:val="19"/>
          <w:szCs w:val="19"/>
          <w:color w:val="auto"/>
        </w:rPr>
        <w:t>persons who are employees at any time more than one year before a transaction) becomes the beneficial owner (within the meaning of Rule 13d-3 promulgated under the Securities Exchange Act of 1934, as amended), directly or indirectly, of securities of the Company representing thirty-five percent (35%) or more of the combined voting power of the Company’s then outstanding securities, excluding, however, the following: (A) any acquisition directly from the Company, (B) any acquisition by the Company; (C) any acquisition by any employee benefit plan (or related trust) sponsored or maintained by the Company or any corporation controlled by the Company; or (D) any underwriter temporarily holding securities pursuant to an offering of such securities. In applying the preceding sentence, an agreement to vote securities shall be disregarded unless its ultimate purpose is to cause what would otherwise be Change of Control, as reasonably determined by the Board.</w:t>
      </w:r>
    </w:p>
    <w:p>
      <w:pPr>
        <w:spacing w:after="0" w:line="198" w:lineRule="exact"/>
        <w:rPr>
          <w:rFonts w:ascii="Arial" w:cs="Arial" w:eastAsia="Arial" w:hAnsi="Arial"/>
          <w:sz w:val="19"/>
          <w:szCs w:val="19"/>
          <w:color w:val="auto"/>
        </w:rPr>
      </w:pPr>
    </w:p>
    <w:p>
      <w:pPr>
        <w:ind w:left="660" w:right="20" w:firstLine="1522"/>
        <w:spacing w:after="0" w:line="292" w:lineRule="auto"/>
        <w:tabs>
          <w:tab w:leader="none" w:pos="2855" w:val="left"/>
        </w:tabs>
        <w:numPr>
          <w:ilvl w:val="1"/>
          <w:numId w:val="62"/>
        </w:numPr>
        <w:rPr>
          <w:rFonts w:ascii="Arial" w:cs="Arial" w:eastAsia="Arial" w:hAnsi="Arial"/>
          <w:sz w:val="19"/>
          <w:szCs w:val="19"/>
          <w:color w:val="auto"/>
        </w:rPr>
      </w:pPr>
      <w:r>
        <w:rPr>
          <w:rFonts w:ascii="Arial" w:cs="Arial" w:eastAsia="Arial" w:hAnsi="Arial"/>
          <w:sz w:val="19"/>
          <w:szCs w:val="19"/>
          <w:i w:val="1"/>
          <w:iCs w:val="1"/>
          <w:color w:val="auto"/>
        </w:rPr>
        <w:t>Change in Board Control</w:t>
      </w:r>
      <w:r>
        <w:rPr>
          <w:rFonts w:ascii="Arial" w:cs="Arial" w:eastAsia="Arial" w:hAnsi="Arial"/>
          <w:sz w:val="19"/>
          <w:szCs w:val="19"/>
          <w:color w:val="auto"/>
        </w:rPr>
        <w:t>. During any consecutive one-year period commencing after the Effective</w:t>
      </w:r>
      <w:r>
        <w:rPr>
          <w:rFonts w:ascii="Arial" w:cs="Arial" w:eastAsia="Arial" w:hAnsi="Arial"/>
          <w:sz w:val="19"/>
          <w:szCs w:val="19"/>
          <w:i w:val="1"/>
          <w:iCs w:val="1"/>
          <w:color w:val="auto"/>
        </w:rPr>
        <w:t xml:space="preserve"> </w:t>
      </w:r>
      <w:r>
        <w:rPr>
          <w:rFonts w:ascii="Arial" w:cs="Arial" w:eastAsia="Arial" w:hAnsi="Arial"/>
          <w:sz w:val="19"/>
          <w:szCs w:val="19"/>
          <w:color w:val="auto"/>
        </w:rPr>
        <w:t>Date, individuals who constituted the Board at the beginning of the period (or their approved replacements, as defined in the next sentence) cease for any reason to constitute a majority of the Board. A new director shall be considered an “approved replacement” director if his or her election (or nomination for election) was approved by a vote of at least a majority of the directors then still in office who either were directors at the beginning of the period or were themselves approved replacement directors, but in either case excluding any director whose initial assumption of office occurred as a result of an actual or threatened solicitation of proxies or consents by or on behalf of any person other than the Board.</w:t>
      </w:r>
    </w:p>
    <w:p>
      <w:pPr>
        <w:spacing w:after="0" w:line="192" w:lineRule="exact"/>
        <w:rPr>
          <w:rFonts w:ascii="Arial" w:cs="Arial" w:eastAsia="Arial" w:hAnsi="Arial"/>
          <w:sz w:val="19"/>
          <w:szCs w:val="19"/>
          <w:color w:val="auto"/>
        </w:rPr>
      </w:pPr>
    </w:p>
    <w:p>
      <w:pPr>
        <w:ind w:left="2920" w:hanging="738"/>
        <w:spacing w:after="0"/>
        <w:tabs>
          <w:tab w:leader="none" w:pos="2920" w:val="left"/>
        </w:tabs>
        <w:numPr>
          <w:ilvl w:val="1"/>
          <w:numId w:val="62"/>
        </w:numPr>
        <w:rPr>
          <w:rFonts w:ascii="Arial" w:cs="Arial" w:eastAsia="Arial" w:hAnsi="Arial"/>
          <w:sz w:val="19"/>
          <w:szCs w:val="19"/>
          <w:color w:val="auto"/>
        </w:rPr>
      </w:pPr>
      <w:r>
        <w:rPr>
          <w:rFonts w:ascii="Arial" w:cs="Arial" w:eastAsia="Arial" w:hAnsi="Arial"/>
          <w:sz w:val="19"/>
          <w:szCs w:val="19"/>
          <w:i w:val="1"/>
          <w:iCs w:val="1"/>
          <w:color w:val="auto"/>
        </w:rPr>
        <w:t>Merger</w:t>
      </w:r>
      <w:r>
        <w:rPr>
          <w:rFonts w:ascii="Arial" w:cs="Arial" w:eastAsia="Arial" w:hAnsi="Arial"/>
          <w:sz w:val="19"/>
          <w:szCs w:val="19"/>
          <w:color w:val="auto"/>
        </w:rPr>
        <w:t>. The Company consummates a merger, or consolidation of the Company with any other</w:t>
      </w:r>
    </w:p>
    <w:p>
      <w:pPr>
        <w:spacing w:after="0" w:line="56" w:lineRule="exact"/>
        <w:rPr>
          <w:rFonts w:ascii="Arial" w:cs="Arial" w:eastAsia="Arial" w:hAnsi="Arial"/>
          <w:sz w:val="19"/>
          <w:szCs w:val="19"/>
          <w:color w:val="auto"/>
        </w:rPr>
      </w:pPr>
    </w:p>
    <w:p>
      <w:pPr>
        <w:ind w:left="660" w:right="140"/>
        <w:spacing w:after="0" w:line="257" w:lineRule="auto"/>
        <w:rPr>
          <w:rFonts w:ascii="Arial" w:cs="Arial" w:eastAsia="Arial" w:hAnsi="Arial"/>
          <w:sz w:val="19"/>
          <w:szCs w:val="19"/>
          <w:color w:val="auto"/>
        </w:rPr>
      </w:pPr>
      <w:r>
        <w:rPr>
          <w:rFonts w:ascii="Arial" w:cs="Arial" w:eastAsia="Arial" w:hAnsi="Arial"/>
          <w:sz w:val="21"/>
          <w:szCs w:val="21"/>
          <w:color w:val="auto"/>
        </w:rPr>
        <w:t>corporation unless: (a) the voting securities of the Company outstanding immediately before the merger or consolidation would continue to represent (either by remaining outstanding or by being converted into voting securities of the surviving entity) at least fifty percent (50%) of the combined voting power of the voting securities of the Company or such surviving entity outstanding immediately after such merger or consolidation; and (b) no person (other than persons who are employees at any time more than one year before the transaction) becomes the beneficial owner, directly or indirectly, of securities of the Company representing fifty percent (50%) or more of the combined voting power of the Company’s then outstanding securities.</w:t>
      </w:r>
    </w:p>
    <w:p>
      <w:pPr>
        <w:sectPr>
          <w:pgSz w:w="11900" w:h="16838" w:orient="portrait"/>
          <w:cols w:equalWidth="0" w:num="1">
            <w:col w:w="11420"/>
          </w:cols>
          <w:pgMar w:left="240" w:top="591" w:right="239" w:bottom="1440" w:gutter="0" w:footer="0" w:header="0"/>
        </w:sectPr>
      </w:pPr>
    </w:p>
    <w:bookmarkStart w:id="134" w:name="page135"/>
    <w:bookmarkEnd w:id="134"/>
    <w:p>
      <w:pPr>
        <w:ind w:left="2900" w:hanging="718"/>
        <w:spacing w:after="0"/>
        <w:tabs>
          <w:tab w:leader="none" w:pos="2900" w:val="left"/>
        </w:tabs>
        <w:numPr>
          <w:ilvl w:val="0"/>
          <w:numId w:val="63"/>
        </w:numPr>
        <w:rPr>
          <w:rFonts w:ascii="Arial" w:cs="Arial" w:eastAsia="Arial" w:hAnsi="Arial"/>
          <w:sz w:val="19"/>
          <w:szCs w:val="19"/>
          <w:color w:val="auto"/>
        </w:rPr>
      </w:pPr>
      <w:r>
        <w:rPr>
          <w:rFonts w:ascii="Arial" w:cs="Arial" w:eastAsia="Arial" w:hAnsi="Arial"/>
          <w:sz w:val="19"/>
          <w:szCs w:val="19"/>
          <w:i w:val="1"/>
          <w:iCs w:val="1"/>
          <w:color w:val="auto"/>
        </w:rPr>
        <w:t>Sale of Assets</w:t>
      </w:r>
      <w:r>
        <w:rPr>
          <w:rFonts w:ascii="Arial" w:cs="Arial" w:eastAsia="Arial" w:hAnsi="Arial"/>
          <w:sz w:val="19"/>
          <w:szCs w:val="19"/>
          <w:color w:val="auto"/>
        </w:rPr>
        <w:t>. The Company consummates a sale or disposition of all, or substantially all, of the</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Company’s assets.</w:t>
      </w:r>
    </w:p>
    <w:p>
      <w:pPr>
        <w:spacing w:after="0" w:line="242" w:lineRule="exact"/>
        <w:rPr>
          <w:rFonts w:ascii="Arial" w:cs="Arial" w:eastAsia="Arial" w:hAnsi="Arial"/>
          <w:sz w:val="19"/>
          <w:szCs w:val="19"/>
          <w:color w:val="auto"/>
        </w:rPr>
      </w:pPr>
    </w:p>
    <w:p>
      <w:pPr>
        <w:ind w:left="2840" w:hanging="658"/>
        <w:spacing w:after="0"/>
        <w:tabs>
          <w:tab w:leader="none" w:pos="2840" w:val="left"/>
        </w:tabs>
        <w:numPr>
          <w:ilvl w:val="0"/>
          <w:numId w:val="63"/>
        </w:numPr>
        <w:rPr>
          <w:rFonts w:ascii="Arial" w:cs="Arial" w:eastAsia="Arial" w:hAnsi="Arial"/>
          <w:sz w:val="19"/>
          <w:szCs w:val="19"/>
          <w:color w:val="auto"/>
        </w:rPr>
      </w:pPr>
      <w:r>
        <w:rPr>
          <w:rFonts w:ascii="Arial" w:cs="Arial" w:eastAsia="Arial" w:hAnsi="Arial"/>
          <w:sz w:val="19"/>
          <w:szCs w:val="19"/>
          <w:i w:val="1"/>
          <w:iCs w:val="1"/>
          <w:color w:val="auto"/>
        </w:rPr>
        <w:t>Liquidation or Dissolution</w:t>
      </w:r>
      <w:r>
        <w:rPr>
          <w:rFonts w:ascii="Arial" w:cs="Arial" w:eastAsia="Arial" w:hAnsi="Arial"/>
          <w:sz w:val="19"/>
          <w:szCs w:val="19"/>
          <w:color w:val="auto"/>
        </w:rPr>
        <w:t>. The Company implements a plan for liquidation or dissolution of the</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Company</w:t>
      </w:r>
      <w:r>
        <w:rPr>
          <w:rFonts w:ascii="Arial" w:cs="Arial" w:eastAsia="Arial" w:hAnsi="Arial"/>
          <w:sz w:val="22"/>
          <w:szCs w:val="22"/>
          <w:b w:val="1"/>
          <w:bCs w:val="1"/>
          <w:color w:val="auto"/>
        </w:rPr>
        <w:t>.</w:t>
      </w:r>
    </w:p>
    <w:p>
      <w:pPr>
        <w:spacing w:after="0" w:line="242" w:lineRule="exact"/>
        <w:rPr>
          <w:sz w:val="20"/>
          <w:szCs w:val="20"/>
          <w:color w:val="auto"/>
        </w:rPr>
      </w:pPr>
    </w:p>
    <w:p>
      <w:pPr>
        <w:ind w:right="160"/>
        <w:spacing w:after="0" w:line="290" w:lineRule="auto"/>
        <w:rPr>
          <w:sz w:val="20"/>
          <w:szCs w:val="20"/>
          <w:color w:val="auto"/>
        </w:rPr>
      </w:pPr>
      <w:r>
        <w:rPr>
          <w:rFonts w:ascii="Arial" w:cs="Arial" w:eastAsia="Arial" w:hAnsi="Arial"/>
          <w:sz w:val="19"/>
          <w:szCs w:val="19"/>
          <w:color w:val="auto"/>
        </w:rPr>
        <w:t>Notwithstanding the foregoing, (x) a “Change of Control” shall not be deemed to have occurred by virtue of the consummation of any transaction or series of integrated transactions immediately following which the record holders of the common stock of the Company immediately prior to such transaction or series of transactions continue to have substantially the same proportionate ownership in an entity which owns all or substantially all of the assets of the Company immediately following such transaction or series of transactions and (y) with respect to the payment of any amount that constitutes a deferral of compensation subject to Section 409A of the Code payable upon a Change of Control, a “Change of Control” shall not be deemed to have occurred unless the Change of Control constitutes a change in the ownership or effective control of the Company or in the ownership of a substantial portion of the assets of the Company under Section 409A(a)(2)(A)(v) of the Code.</w:t>
      </w:r>
    </w:p>
    <w:p>
      <w:pPr>
        <w:spacing w:after="0" w:line="157" w:lineRule="exact"/>
        <w:rPr>
          <w:sz w:val="20"/>
          <w:szCs w:val="20"/>
          <w:color w:val="auto"/>
        </w:rPr>
      </w:pPr>
    </w:p>
    <w:p>
      <w:pPr>
        <w:ind w:left="2200" w:hanging="895"/>
        <w:spacing w:after="0"/>
        <w:tabs>
          <w:tab w:leader="none" w:pos="2200" w:val="left"/>
        </w:tabs>
        <w:numPr>
          <w:ilvl w:val="0"/>
          <w:numId w:val="6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shall mean the Internal Revenue Code of 1986, as amended, and the rules and regulations</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promulgated thereunder.</w:t>
      </w:r>
    </w:p>
    <w:p>
      <w:pPr>
        <w:spacing w:after="0" w:line="242" w:lineRule="exact"/>
        <w:rPr>
          <w:rFonts w:ascii="Arial" w:cs="Arial" w:eastAsia="Arial" w:hAnsi="Arial"/>
          <w:sz w:val="21"/>
          <w:szCs w:val="21"/>
          <w:color w:val="auto"/>
        </w:rPr>
      </w:pPr>
    </w:p>
    <w:p>
      <w:pPr>
        <w:ind w:left="2160" w:hanging="855"/>
        <w:spacing w:after="0"/>
        <w:tabs>
          <w:tab w:leader="none" w:pos="21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shall have the meaning set forth in the preamble hereto.</w:t>
      </w:r>
    </w:p>
    <w:p>
      <w:pPr>
        <w:spacing w:after="0" w:line="260" w:lineRule="exact"/>
        <w:rPr>
          <w:rFonts w:ascii="Arial" w:cs="Arial" w:eastAsia="Arial" w:hAnsi="Arial"/>
          <w:sz w:val="22"/>
          <w:szCs w:val="22"/>
          <w:color w:val="auto"/>
        </w:rPr>
      </w:pPr>
    </w:p>
    <w:p>
      <w:pPr>
        <w:ind w:left="2160" w:hanging="855"/>
        <w:spacing w:after="0"/>
        <w:tabs>
          <w:tab w:leader="none" w:pos="2160" w:val="left"/>
        </w:tabs>
        <w:numPr>
          <w:ilvl w:val="0"/>
          <w:numId w:val="6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Group</w:t>
      </w:r>
      <w:r>
        <w:rPr>
          <w:rFonts w:ascii="Arial" w:cs="Arial" w:eastAsia="Arial" w:hAnsi="Arial"/>
          <w:sz w:val="19"/>
          <w:szCs w:val="19"/>
          <w:color w:val="auto"/>
        </w:rPr>
        <w:t>” shall mean the Parent together with any direct or indirect subsidiaries of the Parent.</w:t>
      </w:r>
    </w:p>
    <w:p>
      <w:pPr>
        <w:spacing w:after="0" w:line="294" w:lineRule="exact"/>
        <w:rPr>
          <w:rFonts w:ascii="Arial" w:cs="Arial" w:eastAsia="Arial" w:hAnsi="Arial"/>
          <w:sz w:val="19"/>
          <w:szCs w:val="19"/>
          <w:color w:val="auto"/>
        </w:rPr>
      </w:pPr>
    </w:p>
    <w:p>
      <w:pPr>
        <w:ind w:right="360" w:firstLine="1305"/>
        <w:spacing w:after="0" w:line="263" w:lineRule="auto"/>
        <w:tabs>
          <w:tab w:leader="none" w:pos="2197" w:val="left"/>
        </w:tabs>
        <w:numPr>
          <w:ilvl w:val="0"/>
          <w:numId w:val="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Compensation Committee</w:t>
      </w:r>
      <w:r>
        <w:rPr>
          <w:rFonts w:ascii="Arial" w:cs="Arial" w:eastAsia="Arial" w:hAnsi="Arial"/>
          <w:sz w:val="22"/>
          <w:szCs w:val="22"/>
          <w:color w:val="auto"/>
        </w:rPr>
        <w:t>” shall mean the committee of the Board designated to make compensation decisions relating to senior executive officers of the Company Group.</w:t>
      </w:r>
    </w:p>
    <w:p>
      <w:pPr>
        <w:spacing w:after="0" w:line="215" w:lineRule="exact"/>
        <w:rPr>
          <w:rFonts w:ascii="Arial" w:cs="Arial" w:eastAsia="Arial" w:hAnsi="Arial"/>
          <w:sz w:val="22"/>
          <w:szCs w:val="22"/>
          <w:color w:val="auto"/>
        </w:rPr>
      </w:pPr>
    </w:p>
    <w:p>
      <w:pPr>
        <w:ind w:left="2160" w:hanging="855"/>
        <w:spacing w:after="0"/>
        <w:tabs>
          <w:tab w:leader="none" w:pos="21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Delay Period</w:t>
      </w:r>
      <w:r>
        <w:rPr>
          <w:rFonts w:ascii="Arial" w:cs="Arial" w:eastAsia="Arial" w:hAnsi="Arial"/>
          <w:sz w:val="22"/>
          <w:szCs w:val="22"/>
          <w:color w:val="auto"/>
        </w:rPr>
        <w:t>” shall have the meaning set forth in Section 13 hereof.</w:t>
      </w:r>
    </w:p>
    <w:p>
      <w:pPr>
        <w:spacing w:after="0" w:line="260" w:lineRule="exact"/>
        <w:rPr>
          <w:rFonts w:ascii="Arial" w:cs="Arial" w:eastAsia="Arial" w:hAnsi="Arial"/>
          <w:sz w:val="22"/>
          <w:szCs w:val="22"/>
          <w:color w:val="auto"/>
        </w:rPr>
      </w:pPr>
    </w:p>
    <w:p>
      <w:pPr>
        <w:ind w:firstLine="1305"/>
        <w:spacing w:after="0" w:line="247" w:lineRule="auto"/>
        <w:tabs>
          <w:tab w:leader="none" w:pos="2257" w:val="left"/>
        </w:tabs>
        <w:numPr>
          <w:ilvl w:val="0"/>
          <w:numId w:val="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shall mean any physical or mental disability or infirmity of Executive that prevents the performance of Executive’s material duties for a period of one hundred twenty (120) consecutive days during any twelve (12) month period. Any question as to the existence, extent, or potentiality of Executive’s Disability upon which Executive and the Company cannot agree shall be determined by a qualified, independent physician selected and paid for by the Company and approved by Executive (which approval shall not be unreasonably withheld). The determination of any such physician shall be final and conclusive for all purposes of this Agreement.</w:t>
      </w:r>
    </w:p>
    <w:p>
      <w:pPr>
        <w:spacing w:after="0" w:line="234" w:lineRule="exact"/>
        <w:rPr>
          <w:rFonts w:ascii="Arial" w:cs="Arial" w:eastAsia="Arial" w:hAnsi="Arial"/>
          <w:sz w:val="22"/>
          <w:szCs w:val="22"/>
          <w:color w:val="auto"/>
        </w:rPr>
      </w:pPr>
    </w:p>
    <w:p>
      <w:pPr>
        <w:ind w:left="2200" w:hanging="895"/>
        <w:spacing w:after="0"/>
        <w:tabs>
          <w:tab w:leader="none" w:pos="2200" w:val="left"/>
        </w:tabs>
        <w:numPr>
          <w:ilvl w:val="0"/>
          <w:numId w:val="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Executive</w:t>
      </w:r>
      <w:r>
        <w:rPr>
          <w:rFonts w:ascii="Arial" w:cs="Arial" w:eastAsia="Arial" w:hAnsi="Arial"/>
          <w:sz w:val="22"/>
          <w:szCs w:val="22"/>
          <w:color w:val="auto"/>
        </w:rPr>
        <w:t>” shall have the meaning set forth in the preamble hereto.</w:t>
      </w:r>
    </w:p>
    <w:p>
      <w:pPr>
        <w:spacing w:after="0" w:line="260" w:lineRule="exact"/>
        <w:rPr>
          <w:rFonts w:ascii="Arial" w:cs="Arial" w:eastAsia="Arial" w:hAnsi="Arial"/>
          <w:sz w:val="22"/>
          <w:szCs w:val="22"/>
          <w:color w:val="auto"/>
        </w:rPr>
      </w:pPr>
    </w:p>
    <w:p>
      <w:pPr>
        <w:ind w:right="100" w:firstLine="1305"/>
        <w:spacing w:after="0" w:line="259" w:lineRule="auto"/>
        <w:tabs>
          <w:tab w:leader="none" w:pos="2197" w:val="left"/>
        </w:tabs>
        <w:numPr>
          <w:ilvl w:val="0"/>
          <w:numId w:val="6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Good Reason</w:t>
      </w:r>
      <w:r>
        <w:rPr>
          <w:rFonts w:ascii="Arial" w:cs="Arial" w:eastAsia="Arial" w:hAnsi="Arial"/>
          <w:sz w:val="21"/>
          <w:szCs w:val="21"/>
          <w:color w:val="auto"/>
        </w:rPr>
        <w:t>” shall mean, without Executive’s consent, (i) a material diminution in Executive’s title, authority, duties, or responsibilities as set forth in Section 3 hereof such that Executive is no longer serving in a senior executive capacity for the Company, (ii) a material reduction in Base Salary set forth in Section 4(a) hereof or Annual Bonus opportunity set forth in Section 4(b) hereof (other than pursuant to an across-the-board reduction applicable to all similarly situated executive officers), (iii) the relocation of Executive’s principal place of employment (as provided in Section 3(c) hereof) more than fifty (50) miles from its current Radnor, Pennsylvania location, or (iv) any other material breach of a provision of this Agreement by the Company (other than a provision that is covered by clause (i), (ii) or (iii) above). Executive acknowledges and agrees that his exclusive remedy in the event of any breach of</w:t>
      </w:r>
    </w:p>
    <w:p>
      <w:pPr>
        <w:sectPr>
          <w:pgSz w:w="11900" w:h="16838" w:orient="portrait"/>
          <w:cols w:equalWidth="0" w:num="1">
            <w:col w:w="11400"/>
          </w:cols>
          <w:pgMar w:left="240" w:top="591" w:right="259" w:bottom="1440" w:gutter="0" w:footer="0" w:header="0"/>
        </w:sectPr>
      </w:pPr>
    </w:p>
    <w:bookmarkStart w:id="135" w:name="page136"/>
    <w:bookmarkEnd w:id="135"/>
    <w:p>
      <w:pPr>
        <w:ind w:right="40"/>
        <w:spacing w:after="0" w:line="261" w:lineRule="auto"/>
        <w:rPr>
          <w:sz w:val="20"/>
          <w:szCs w:val="20"/>
          <w:color w:val="auto"/>
        </w:rPr>
      </w:pPr>
      <w:r>
        <w:rPr>
          <w:rFonts w:ascii="Arial" w:cs="Arial" w:eastAsia="Arial" w:hAnsi="Arial"/>
          <w:sz w:val="21"/>
          <w:szCs w:val="21"/>
          <w:color w:val="auto"/>
        </w:rPr>
        <w:t xml:space="preserve">this Agreement shall be to assert Good Reason pursuant to the terms and conditions of Section 8(e) hereof. Notwithstanding the foregoing, during the Term, in the event that the Board reasonably believes that Executive may have engaged in conduct that could constitute Cause hereunder, the Board may, in its sole and absolute discretion, suspend Executive from performing his duties hereunder, and in no event shall any such suspension constitute an event pursuant to which Executive may terminate employment with Good Reason or otherwise constitute a breach hereunder; </w:t>
      </w:r>
      <w:r>
        <w:rPr>
          <w:rFonts w:ascii="Arial" w:cs="Arial" w:eastAsia="Arial" w:hAnsi="Arial"/>
          <w:sz w:val="21"/>
          <w:szCs w:val="21"/>
          <w:i w:val="1"/>
          <w:iCs w:val="1"/>
          <w:color w:val="auto"/>
        </w:rPr>
        <w:t>provided</w:t>
      </w:r>
      <w:r>
        <w:rPr>
          <w:rFonts w:ascii="Arial" w:cs="Arial" w:eastAsia="Arial" w:hAnsi="Arial"/>
          <w:sz w:val="21"/>
          <w:szCs w:val="21"/>
          <w:color w:val="auto"/>
        </w:rPr>
        <w:t>, that no such suspension shall alter the Company’s obligations under this Agreement during such period of suspension.</w:t>
      </w:r>
    </w:p>
    <w:p>
      <w:pPr>
        <w:spacing w:after="0" w:line="221" w:lineRule="exact"/>
        <w:rPr>
          <w:sz w:val="20"/>
          <w:szCs w:val="20"/>
          <w:color w:val="auto"/>
        </w:rPr>
      </w:pPr>
    </w:p>
    <w:p>
      <w:pPr>
        <w:ind w:left="2200" w:hanging="895"/>
        <w:spacing w:after="0"/>
        <w:tabs>
          <w:tab w:leader="none" w:pos="2200" w:val="left"/>
        </w:tabs>
        <w:numPr>
          <w:ilvl w:val="1"/>
          <w:numId w:val="6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Long Term Incentive Plan</w:t>
      </w:r>
      <w:r>
        <w:rPr>
          <w:rFonts w:ascii="Arial" w:cs="Arial" w:eastAsia="Arial" w:hAnsi="Arial"/>
          <w:sz w:val="22"/>
          <w:szCs w:val="22"/>
          <w:color w:val="auto"/>
        </w:rPr>
        <w:t>” shall have the meaning set forth in Section 4(b) hereof.</w:t>
      </w:r>
    </w:p>
    <w:p>
      <w:pPr>
        <w:spacing w:after="0" w:line="260" w:lineRule="exact"/>
        <w:rPr>
          <w:rFonts w:ascii="Arial" w:cs="Arial" w:eastAsia="Arial" w:hAnsi="Arial"/>
          <w:sz w:val="22"/>
          <w:szCs w:val="22"/>
          <w:color w:val="auto"/>
        </w:rPr>
      </w:pPr>
    </w:p>
    <w:p>
      <w:pPr>
        <w:ind w:left="2200" w:hanging="895"/>
        <w:spacing w:after="0"/>
        <w:tabs>
          <w:tab w:leader="none" w:pos="2200" w:val="left"/>
        </w:tabs>
        <w:numPr>
          <w:ilvl w:val="1"/>
          <w:numId w:val="6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LTIP Award</w:t>
      </w:r>
      <w:r>
        <w:rPr>
          <w:rFonts w:ascii="Arial" w:cs="Arial" w:eastAsia="Arial" w:hAnsi="Arial"/>
          <w:sz w:val="22"/>
          <w:szCs w:val="22"/>
          <w:color w:val="auto"/>
        </w:rPr>
        <w:t>” shall have the meaning set forth in Section 4(b) hereof.</w:t>
      </w:r>
    </w:p>
    <w:p>
      <w:pPr>
        <w:spacing w:after="0" w:line="260" w:lineRule="exact"/>
        <w:rPr>
          <w:rFonts w:ascii="Arial" w:cs="Arial" w:eastAsia="Arial" w:hAnsi="Arial"/>
          <w:sz w:val="22"/>
          <w:szCs w:val="22"/>
          <w:color w:val="auto"/>
        </w:rPr>
      </w:pPr>
    </w:p>
    <w:p>
      <w:pPr>
        <w:ind w:right="940" w:firstLine="1305"/>
        <w:spacing w:after="0" w:line="263" w:lineRule="auto"/>
        <w:tabs>
          <w:tab w:leader="none" w:pos="2161" w:val="left"/>
        </w:tabs>
        <w:numPr>
          <w:ilvl w:val="1"/>
          <w:numId w:val="6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Non-Interference Agreement</w:t>
      </w:r>
      <w:r>
        <w:rPr>
          <w:rFonts w:ascii="Arial" w:cs="Arial" w:eastAsia="Arial" w:hAnsi="Arial"/>
          <w:sz w:val="22"/>
          <w:szCs w:val="22"/>
          <w:color w:val="auto"/>
        </w:rPr>
        <w:t xml:space="preserve">” shall mean the Confidentiality, Non-Interference, and Invention Assignment Agreement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15" w:lineRule="exact"/>
        <w:rPr>
          <w:rFonts w:ascii="Arial" w:cs="Arial" w:eastAsia="Arial" w:hAnsi="Arial"/>
          <w:sz w:val="22"/>
          <w:szCs w:val="22"/>
          <w:color w:val="auto"/>
        </w:rPr>
      </w:pPr>
    </w:p>
    <w:p>
      <w:pPr>
        <w:ind w:left="2180" w:hanging="875"/>
        <w:spacing w:after="0"/>
        <w:tabs>
          <w:tab w:leader="none" w:pos="2180" w:val="left"/>
        </w:tabs>
        <w:numPr>
          <w:ilvl w:val="1"/>
          <w:numId w:val="6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w:t>
      </w:r>
      <w:r>
        <w:rPr>
          <w:rFonts w:ascii="Arial" w:cs="Arial" w:eastAsia="Arial" w:hAnsi="Arial"/>
          <w:sz w:val="22"/>
          <w:szCs w:val="22"/>
          <w:color w:val="auto"/>
        </w:rPr>
        <w:t>” shall mean Essent Group Ltd., a Bermuda limited liability company.</w:t>
      </w:r>
    </w:p>
    <w:p>
      <w:pPr>
        <w:spacing w:after="0" w:line="260" w:lineRule="exact"/>
        <w:rPr>
          <w:rFonts w:ascii="Arial" w:cs="Arial" w:eastAsia="Arial" w:hAnsi="Arial"/>
          <w:sz w:val="22"/>
          <w:szCs w:val="22"/>
          <w:color w:val="auto"/>
        </w:rPr>
      </w:pPr>
    </w:p>
    <w:p>
      <w:pPr>
        <w:ind w:right="40" w:firstLine="1305"/>
        <w:spacing w:after="0" w:line="265" w:lineRule="exact"/>
        <w:tabs>
          <w:tab w:leader="none" w:pos="2149" w:val="left"/>
        </w:tabs>
        <w:numPr>
          <w:ilvl w:val="1"/>
          <w:numId w:val="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shall mean any individual, corporation, partnership, limited liability company, joint venture, association, joint</w:t>
      </w:r>
      <w:r>
        <w:rPr>
          <w:rFonts w:ascii="MS PGothic" w:cs="MS PGothic" w:eastAsia="MS PGothic" w:hAnsi="MS PGothic"/>
          <w:sz w:val="19"/>
          <w:szCs w:val="19"/>
          <w:color w:val="auto"/>
        </w:rPr>
        <w:t>‑</w:t>
      </w:r>
      <w:r>
        <w:rPr>
          <w:rFonts w:ascii="Arial" w:cs="Arial" w:eastAsia="Arial" w:hAnsi="Arial"/>
          <w:sz w:val="19"/>
          <w:szCs w:val="19"/>
          <w:color w:val="auto"/>
        </w:rPr>
        <w:t>stock company, trust (charitable or non-charitable), unincorporated organization, or other form of business entity.</w:t>
      </w:r>
    </w:p>
    <w:p>
      <w:pPr>
        <w:spacing w:after="0" w:line="239" w:lineRule="exact"/>
        <w:rPr>
          <w:rFonts w:ascii="Arial" w:cs="Arial" w:eastAsia="Arial" w:hAnsi="Arial"/>
          <w:sz w:val="19"/>
          <w:szCs w:val="19"/>
          <w:color w:val="auto"/>
        </w:rPr>
      </w:pPr>
    </w:p>
    <w:p>
      <w:pPr>
        <w:ind w:left="2200" w:hanging="895"/>
        <w:spacing w:after="0"/>
        <w:tabs>
          <w:tab w:leader="none" w:pos="2200" w:val="left"/>
        </w:tabs>
        <w:numPr>
          <w:ilvl w:val="1"/>
          <w:numId w:val="6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Prior Agreement</w:t>
      </w:r>
      <w:r>
        <w:rPr>
          <w:rFonts w:ascii="Arial" w:cs="Arial" w:eastAsia="Arial" w:hAnsi="Arial"/>
          <w:sz w:val="22"/>
          <w:szCs w:val="22"/>
          <w:color w:val="auto"/>
        </w:rPr>
        <w:t>” shall have the meaning set forth in the recitals hereto.</w:t>
      </w:r>
    </w:p>
    <w:p>
      <w:pPr>
        <w:spacing w:after="0" w:line="260" w:lineRule="exact"/>
        <w:rPr>
          <w:rFonts w:ascii="Arial" w:cs="Arial" w:eastAsia="Arial" w:hAnsi="Arial"/>
          <w:sz w:val="22"/>
          <w:szCs w:val="22"/>
          <w:color w:val="auto"/>
        </w:rPr>
      </w:pPr>
    </w:p>
    <w:p>
      <w:pPr>
        <w:jc w:val="both"/>
        <w:ind w:right="200" w:firstLine="1305"/>
        <w:spacing w:after="0" w:line="253" w:lineRule="auto"/>
        <w:tabs>
          <w:tab w:leader="none" w:pos="2197" w:val="left"/>
        </w:tabs>
        <w:numPr>
          <w:ilvl w:val="1"/>
          <w:numId w:val="6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 of Claims</w:t>
      </w:r>
      <w:r>
        <w:rPr>
          <w:rFonts w:ascii="Arial" w:cs="Arial" w:eastAsia="Arial" w:hAnsi="Arial"/>
          <w:sz w:val="22"/>
          <w:szCs w:val="22"/>
          <w:color w:val="auto"/>
        </w:rPr>
        <w:t xml:space="preserve">” shall mean the Release of Claims in substantially the same form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(as the same may be revised from time to time by the Company upon the advice of counsel to comply with changes in applicable law).</w:t>
      </w:r>
    </w:p>
    <w:p>
      <w:pPr>
        <w:spacing w:after="0" w:line="226" w:lineRule="exact"/>
        <w:rPr>
          <w:rFonts w:ascii="Arial" w:cs="Arial" w:eastAsia="Arial" w:hAnsi="Arial"/>
          <w:sz w:val="22"/>
          <w:szCs w:val="22"/>
          <w:color w:val="auto"/>
        </w:rPr>
      </w:pPr>
    </w:p>
    <w:p>
      <w:pPr>
        <w:ind w:left="2260" w:hanging="955"/>
        <w:spacing w:after="0"/>
        <w:tabs>
          <w:tab w:leader="none" w:pos="2260" w:val="left"/>
        </w:tabs>
        <w:numPr>
          <w:ilvl w:val="1"/>
          <w:numId w:val="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Retirement</w:t>
      </w:r>
      <w:r>
        <w:rPr>
          <w:rFonts w:ascii="Arial" w:cs="Arial" w:eastAsia="Arial" w:hAnsi="Arial"/>
          <w:sz w:val="19"/>
          <w:szCs w:val="19"/>
          <w:color w:val="auto"/>
        </w:rPr>
        <w:t>” shall mean Executive’s voluntary termination of employment without Good Reason either</w:t>
      </w:r>
    </w:p>
    <w:p>
      <w:pPr>
        <w:spacing w:after="0" w:line="56" w:lineRule="exact"/>
        <w:rPr>
          <w:rFonts w:ascii="Arial" w:cs="Arial" w:eastAsia="Arial" w:hAnsi="Arial"/>
          <w:sz w:val="19"/>
          <w:szCs w:val="19"/>
          <w:color w:val="auto"/>
        </w:rPr>
      </w:pPr>
    </w:p>
    <w:p>
      <w:pPr>
        <w:ind w:right="60" w:firstLine="8"/>
        <w:spacing w:after="0" w:line="244" w:lineRule="auto"/>
        <w:tabs>
          <w:tab w:leader="none" w:pos="258" w:val="left"/>
        </w:tabs>
        <w:numPr>
          <w:ilvl w:val="0"/>
          <w:numId w:val="66"/>
        </w:numPr>
        <w:rPr>
          <w:rFonts w:ascii="Arial" w:cs="Arial" w:eastAsia="Arial" w:hAnsi="Arial"/>
          <w:sz w:val="22"/>
          <w:szCs w:val="22"/>
          <w:color w:val="auto"/>
        </w:rPr>
      </w:pPr>
      <w:r>
        <w:rPr>
          <w:rFonts w:ascii="Arial" w:cs="Arial" w:eastAsia="Arial" w:hAnsi="Arial"/>
          <w:sz w:val="22"/>
          <w:szCs w:val="22"/>
          <w:color w:val="auto"/>
        </w:rPr>
        <w:t>upon satisfaction of the requirements for late, normal or early retirement under the tax-qualified defined contribution plan in which Executive is eligible to participate, as defined in such plan, or (ii) regardless of whether such plan exists, following any date after which Executive has attained the age of sixty-two (62) and completed no less than ten (10) years of continuous service with the Company Group.</w:t>
      </w:r>
    </w:p>
    <w:p>
      <w:pPr>
        <w:spacing w:after="0" w:line="236" w:lineRule="exact"/>
        <w:rPr>
          <w:rFonts w:ascii="Arial" w:cs="Arial" w:eastAsia="Arial" w:hAnsi="Arial"/>
          <w:sz w:val="22"/>
          <w:szCs w:val="22"/>
          <w:color w:val="auto"/>
        </w:rPr>
      </w:pPr>
    </w:p>
    <w:p>
      <w:pPr>
        <w:ind w:left="2200" w:hanging="895"/>
        <w:spacing w:after="0"/>
        <w:tabs>
          <w:tab w:leader="none" w:pos="2200" w:val="left"/>
        </w:tabs>
        <w:numPr>
          <w:ilvl w:val="1"/>
          <w:numId w:val="6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Severance Benefits</w:t>
      </w:r>
      <w:r>
        <w:rPr>
          <w:rFonts w:ascii="Arial" w:cs="Arial" w:eastAsia="Arial" w:hAnsi="Arial"/>
          <w:sz w:val="22"/>
          <w:szCs w:val="22"/>
          <w:color w:val="auto"/>
        </w:rPr>
        <w:t>” shall have the meaning set forth in Section 8(h) hereof.</w:t>
      </w:r>
    </w:p>
    <w:p>
      <w:pPr>
        <w:spacing w:after="0" w:line="260" w:lineRule="exact"/>
        <w:rPr>
          <w:rFonts w:ascii="Arial" w:cs="Arial" w:eastAsia="Arial" w:hAnsi="Arial"/>
          <w:sz w:val="22"/>
          <w:szCs w:val="22"/>
          <w:color w:val="auto"/>
        </w:rPr>
      </w:pPr>
    </w:p>
    <w:p>
      <w:pPr>
        <w:ind w:left="2200" w:hanging="895"/>
        <w:spacing w:after="0"/>
        <w:tabs>
          <w:tab w:leader="none" w:pos="2200" w:val="left"/>
        </w:tabs>
        <w:numPr>
          <w:ilvl w:val="1"/>
          <w:numId w:val="6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Severance Multiplier</w:t>
      </w:r>
      <w:r>
        <w:rPr>
          <w:rFonts w:ascii="Arial" w:cs="Arial" w:eastAsia="Arial" w:hAnsi="Arial"/>
          <w:sz w:val="22"/>
          <w:szCs w:val="22"/>
          <w:color w:val="auto"/>
        </w:rPr>
        <w:t>” shall mean an amount equal to one and one-half (1½).</w:t>
      </w:r>
    </w:p>
    <w:p>
      <w:pPr>
        <w:spacing w:after="0" w:line="260" w:lineRule="exact"/>
        <w:rPr>
          <w:rFonts w:ascii="Arial" w:cs="Arial" w:eastAsia="Arial" w:hAnsi="Arial"/>
          <w:sz w:val="22"/>
          <w:szCs w:val="22"/>
          <w:color w:val="auto"/>
        </w:rPr>
      </w:pPr>
    </w:p>
    <w:p>
      <w:pPr>
        <w:ind w:left="2200" w:hanging="895"/>
        <w:spacing w:after="0"/>
        <w:tabs>
          <w:tab w:leader="none" w:pos="2200" w:val="left"/>
        </w:tabs>
        <w:numPr>
          <w:ilvl w:val="1"/>
          <w:numId w:val="6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w:t>
      </w:r>
      <w:r>
        <w:rPr>
          <w:rFonts w:ascii="Arial" w:cs="Arial" w:eastAsia="Arial" w:hAnsi="Arial"/>
          <w:sz w:val="22"/>
          <w:szCs w:val="22"/>
          <w:color w:val="auto"/>
        </w:rPr>
        <w:t>” shall mean the period specified in Section 2 hereof.</w:t>
      </w:r>
    </w:p>
    <w:p>
      <w:pPr>
        <w:spacing w:after="0" w:line="260" w:lineRule="exact"/>
        <w:rPr>
          <w:sz w:val="20"/>
          <w:szCs w:val="20"/>
          <w:color w:val="auto"/>
        </w:rPr>
      </w:pPr>
    </w:p>
    <w:p>
      <w:pPr>
        <w:ind w:left="2280" w:hanging="975"/>
        <w:spacing w:after="0"/>
        <w:tabs>
          <w:tab w:leader="none" w:pos="2280" w:val="left"/>
        </w:tabs>
        <w:numPr>
          <w:ilvl w:val="0"/>
          <w:numId w:val="6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SERP</w:t>
      </w:r>
      <w:r>
        <w:rPr>
          <w:rFonts w:ascii="Arial" w:cs="Arial" w:eastAsia="Arial" w:hAnsi="Arial"/>
          <w:sz w:val="22"/>
          <w:szCs w:val="22"/>
          <w:color w:val="auto"/>
        </w:rPr>
        <w:t>” shall have the meaning set forth in Section 4(d) hereof.</w:t>
      </w:r>
    </w:p>
    <w:p>
      <w:pPr>
        <w:spacing w:after="0" w:line="254" w:lineRule="exact"/>
        <w:rPr>
          <w:sz w:val="20"/>
          <w:szCs w:val="20"/>
          <w:color w:val="auto"/>
        </w:rPr>
      </w:pPr>
    </w:p>
    <w:p>
      <w:pPr>
        <w:ind w:left="660"/>
        <w:spacing w:after="0"/>
        <w:tabs>
          <w:tab w:leader="none" w:pos="282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19"/>
          <w:szCs w:val="19"/>
          <w:b w:val="1"/>
          <w:bCs w:val="1"/>
          <w:color w:val="auto"/>
        </w:rPr>
        <w:t>Acceptance and Term.</w:t>
      </w:r>
    </w:p>
    <w:p>
      <w:pPr>
        <w:spacing w:after="0" w:line="266"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The Company agrees to continue to employ Executive, and Executive agrees to continue to serve the Company, on the terms and conditions set forth herein. The Term shall commence on the Effective Date and, unless terminated sooner as provided in Section 8 hereof, shall continue during the period ending on the close of business of the three (3) year anniversary of the Effective Date (the ”</w:t>
      </w:r>
      <w:r>
        <w:rPr>
          <w:rFonts w:ascii="Arial" w:cs="Arial" w:eastAsia="Arial" w:hAnsi="Arial"/>
          <w:sz w:val="19"/>
          <w:szCs w:val="19"/>
          <w:u w:val="single" w:color="auto"/>
          <w:color w:val="auto"/>
        </w:rPr>
        <w:t>Initial Term</w:t>
      </w:r>
      <w:r>
        <w:rPr>
          <w:rFonts w:ascii="Arial" w:cs="Arial" w:eastAsia="Arial" w:hAnsi="Arial"/>
          <w:sz w:val="19"/>
          <w:szCs w:val="19"/>
          <w:color w:val="auto"/>
        </w:rPr>
        <w:t>”). The term of this Agreement shall automatically be extended for successive one-year periods (“</w:t>
      </w:r>
      <w:r>
        <w:rPr>
          <w:rFonts w:ascii="Arial" w:cs="Arial" w:eastAsia="Arial" w:hAnsi="Arial"/>
          <w:sz w:val="19"/>
          <w:szCs w:val="19"/>
          <w:u w:val="single" w:color="auto"/>
          <w:color w:val="auto"/>
        </w:rPr>
        <w:t>Extension</w:t>
      </w:r>
    </w:p>
    <w:p>
      <w:pPr>
        <w:sectPr>
          <w:pgSz w:w="11900" w:h="16838" w:orient="portrait"/>
          <w:cols w:equalWidth="0" w:num="1">
            <w:col w:w="11360"/>
          </w:cols>
          <w:pgMar w:left="240" w:top="591" w:right="299" w:bottom="1440" w:gutter="0" w:footer="0" w:header="0"/>
        </w:sectPr>
      </w:pPr>
    </w:p>
    <w:bookmarkStart w:id="136" w:name="page137"/>
    <w:bookmarkEnd w:id="136"/>
    <w:p>
      <w:pPr>
        <w:ind w:right="60"/>
        <w:spacing w:after="0" w:line="297" w:lineRule="auto"/>
        <w:rPr>
          <w:sz w:val="20"/>
          <w:szCs w:val="20"/>
          <w:color w:val="auto"/>
        </w:rPr>
      </w:pPr>
      <w:r>
        <w:rPr>
          <w:rFonts w:ascii="Arial" w:cs="Arial" w:eastAsia="Arial" w:hAnsi="Arial"/>
          <w:sz w:val="19"/>
          <w:szCs w:val="19"/>
          <w:u w:val="single" w:color="auto"/>
          <w:color w:val="auto"/>
        </w:rPr>
        <w:t>Terms</w:t>
      </w:r>
      <w:r>
        <w:rPr>
          <w:rFonts w:ascii="Arial" w:cs="Arial" w:eastAsia="Arial" w:hAnsi="Arial"/>
          <w:sz w:val="19"/>
          <w:szCs w:val="19"/>
          <w:color w:val="auto"/>
        </w:rPr>
        <w:t>” and, collectively with the Initial Term, the ”</w:t>
      </w:r>
      <w:r>
        <w:rPr>
          <w:rFonts w:ascii="Arial" w:cs="Arial" w:eastAsia="Arial" w:hAnsi="Arial"/>
          <w:sz w:val="19"/>
          <w:szCs w:val="19"/>
          <w:u w:val="single" w:color="auto"/>
          <w:color w:val="auto"/>
        </w:rPr>
        <w:t>Term</w:t>
      </w:r>
      <w:r>
        <w:rPr>
          <w:rFonts w:ascii="Arial" w:cs="Arial" w:eastAsia="Arial" w:hAnsi="Arial"/>
          <w:sz w:val="19"/>
          <w:szCs w:val="19"/>
          <w:color w:val="auto"/>
        </w:rPr>
        <w:t>”) unless either party gives written notice of non-extension to the other no later than one hundred twenty (120) days prior to the expiration of the then-applicable Term. For the avoidance of doubt, in the event that the Company provides notice of non-extension to Executive in accordance with this Section 2, such notice and non-extension of the Term shall not be treated as a termination by the Company without Cause or an event that constitutes Good Reason, and Executive shall not be entitled to any Severance Benefits upon such termination of this Agreement.</w:t>
      </w:r>
    </w:p>
    <w:p>
      <w:pPr>
        <w:spacing w:after="0" w:line="141" w:lineRule="exact"/>
        <w:rPr>
          <w:sz w:val="20"/>
          <w:szCs w:val="20"/>
          <w:color w:val="auto"/>
        </w:rPr>
      </w:pPr>
    </w:p>
    <w:p>
      <w:pPr>
        <w:ind w:left="660"/>
        <w:spacing w:after="0"/>
        <w:tabs>
          <w:tab w:leader="none" w:pos="282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19"/>
          <w:szCs w:val="19"/>
          <w:b w:val="1"/>
          <w:bCs w:val="1"/>
          <w:color w:val="auto"/>
        </w:rPr>
        <w:t>Position, Duties, and Responsibilities; Place of Performance.</w:t>
      </w:r>
    </w:p>
    <w:p>
      <w:pPr>
        <w:spacing w:after="0" w:line="266" w:lineRule="exact"/>
        <w:rPr>
          <w:sz w:val="20"/>
          <w:szCs w:val="20"/>
          <w:color w:val="auto"/>
        </w:rPr>
      </w:pPr>
    </w:p>
    <w:p>
      <w:pPr>
        <w:ind w:right="280" w:firstLine="1305"/>
        <w:spacing w:after="0" w:line="247" w:lineRule="auto"/>
        <w:tabs>
          <w:tab w:leader="none" w:pos="2185"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Position, Duties, and Responsibilities</w:t>
      </w:r>
      <w:r>
        <w:rPr>
          <w:rFonts w:ascii="Arial" w:cs="Arial" w:eastAsia="Arial" w:hAnsi="Arial"/>
          <w:sz w:val="22"/>
          <w:szCs w:val="22"/>
          <w:color w:val="auto"/>
        </w:rPr>
        <w:t>. During the Term, Executive shall be employed and serve as the Senior Vice President, Chief Business Officer of the Company and the Parent (together with such other position or positions consistent with Executive’s title as the Board shall specify from time to time) and shall have such duties and responsibilities commensurate with such titles. Executive also agrees to serve as an officer and/or director of any other member of the Company Group, in each case without additional compensation. Executive shall report directly to the Chief Executive Officer of the Company.</w:t>
      </w:r>
    </w:p>
    <w:p>
      <w:pPr>
        <w:spacing w:after="0" w:line="234" w:lineRule="exact"/>
        <w:rPr>
          <w:rFonts w:ascii="Arial" w:cs="Arial" w:eastAsia="Arial" w:hAnsi="Arial"/>
          <w:sz w:val="22"/>
          <w:szCs w:val="22"/>
          <w:color w:val="auto"/>
        </w:rPr>
      </w:pPr>
    </w:p>
    <w:p>
      <w:pPr>
        <w:ind w:firstLine="1305"/>
        <w:spacing w:after="0" w:line="288" w:lineRule="auto"/>
        <w:tabs>
          <w:tab w:leader="none" w:pos="2197"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Performance</w:t>
      </w:r>
      <w:r>
        <w:rPr>
          <w:rFonts w:ascii="Arial" w:cs="Arial" w:eastAsia="Arial" w:hAnsi="Arial"/>
          <w:sz w:val="19"/>
          <w:szCs w:val="19"/>
          <w:color w:val="auto"/>
        </w:rPr>
        <w:t xml:space="preserve">. Executive shall devote his full business time, attention, skill, and best efforts to the performance of his duties under this Agreement and shall not engage in any other business or occupation during the Term, including, without limitation, any activity that (x) conflicts with the interests of the Company or any other member of the Company Group, (y) interferes with the proper and efficient performance of Executive’s duties for the Company, or (z) interferes with Executive’s exercise of judgment in the Company’s best interests. Notwithstanding the foregoing, nothing herein shall preclude Executive from (i) serving, with the prior written consent of the Board, as a member of the boards of directors or advisory boards (or their equivalents in the case of a non-corporate entity) of non-competing businesses and charitable organizations, (ii) engaging in charitable activities and community affairs, and (iii) managing his personal investments and affairs;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activities set out in clauses (i), (ii), and (iii) shall be limited by Executive so as not to materially interfere, individually or in the aggregate, with the performance of his duties and responsibilities hereunder or create a potential business or fiduciary conflict.</w:t>
      </w:r>
    </w:p>
    <w:p>
      <w:pPr>
        <w:spacing w:after="0" w:line="200" w:lineRule="exact"/>
        <w:rPr>
          <w:rFonts w:ascii="Arial" w:cs="Arial" w:eastAsia="Arial" w:hAnsi="Arial"/>
          <w:sz w:val="19"/>
          <w:szCs w:val="19"/>
          <w:color w:val="auto"/>
        </w:rPr>
      </w:pPr>
    </w:p>
    <w:p>
      <w:pPr>
        <w:ind w:right="100" w:firstLine="1305"/>
        <w:spacing w:after="0" w:line="343" w:lineRule="auto"/>
        <w:tabs>
          <w:tab w:leader="none" w:pos="2185"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Principal Place of Employment</w:t>
      </w:r>
      <w:r>
        <w:rPr>
          <w:rFonts w:ascii="Arial" w:cs="Arial" w:eastAsia="Arial" w:hAnsi="Arial"/>
          <w:sz w:val="19"/>
          <w:szCs w:val="19"/>
          <w:color w:val="auto"/>
        </w:rPr>
        <w:t>. Executive’s principal place of employment shall be in Radnor, Pennsylvania, although Executive understands and agrees that he may be required to travel from time to time for business reasons.</w:t>
      </w:r>
    </w:p>
    <w:p>
      <w:pPr>
        <w:spacing w:after="0" w:line="139" w:lineRule="exact"/>
        <w:rPr>
          <w:sz w:val="20"/>
          <w:szCs w:val="20"/>
          <w:color w:val="auto"/>
        </w:rPr>
      </w:pPr>
    </w:p>
    <w:p>
      <w:pPr>
        <w:ind w:left="660"/>
        <w:spacing w:after="0"/>
        <w:tabs>
          <w:tab w:leader="none" w:pos="282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19"/>
          <w:szCs w:val="19"/>
          <w:b w:val="1"/>
          <w:bCs w:val="1"/>
          <w:color w:val="auto"/>
        </w:rPr>
        <w:t>Compensation.</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During the Term, Executive shall be entitled to the following compensation:</w:t>
      </w:r>
    </w:p>
    <w:p>
      <w:pPr>
        <w:spacing w:after="0" w:line="220" w:lineRule="exact"/>
        <w:rPr>
          <w:sz w:val="20"/>
          <w:szCs w:val="20"/>
          <w:color w:val="auto"/>
        </w:rPr>
      </w:pPr>
    </w:p>
    <w:p>
      <w:pPr>
        <w:ind w:right="120" w:firstLine="1305"/>
        <w:spacing w:after="0" w:line="302" w:lineRule="auto"/>
        <w:tabs>
          <w:tab w:leader="none" w:pos="2185"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xml:space="preserve">. Executive shall be paid an annualized Base Salary, payable in accordance with the regular payroll practices of the Company, of not less than $350,000, with increases, if any, as may be approved in writing by the Compensation Committee;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foregoing shall not preclude the Company from reducing Executive’s Base Salary as part of an across-the-board reduction applicable to all similarly situated executive officers of the Company.</w:t>
      </w:r>
    </w:p>
    <w:p>
      <w:pPr>
        <w:spacing w:after="0" w:line="183" w:lineRule="exact"/>
        <w:rPr>
          <w:rFonts w:ascii="Arial" w:cs="Arial" w:eastAsia="Arial" w:hAnsi="Arial"/>
          <w:sz w:val="19"/>
          <w:szCs w:val="19"/>
          <w:color w:val="auto"/>
        </w:rPr>
      </w:pPr>
    </w:p>
    <w:p>
      <w:pPr>
        <w:ind w:right="160" w:firstLine="1305"/>
        <w:spacing w:after="0" w:line="250" w:lineRule="auto"/>
        <w:tabs>
          <w:tab w:leader="none" w:pos="2197"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Annual Bonus</w:t>
      </w:r>
      <w:r>
        <w:rPr>
          <w:rFonts w:ascii="Arial" w:cs="Arial" w:eastAsia="Arial" w:hAnsi="Arial"/>
          <w:sz w:val="22"/>
          <w:szCs w:val="22"/>
          <w:color w:val="auto"/>
        </w:rPr>
        <w:t>. Executive shall be eligible for an annual incentive bonus award determined by the Compensation Committee in respect of each fiscal year during the Term (the “Annual Bonus Plan”). The target Annual Bonus for each fiscal year, commencing with fiscal year 2014, shall be at least 100% of Base Salary, with the actual Annual Bonus payable being based upon the level of</w:t>
      </w:r>
    </w:p>
    <w:p>
      <w:pPr>
        <w:sectPr>
          <w:pgSz w:w="11900" w:h="16838" w:orient="portrait"/>
          <w:cols w:equalWidth="0" w:num="1">
            <w:col w:w="11380"/>
          </w:cols>
          <w:pgMar w:left="240" w:top="591" w:right="279" w:bottom="1440" w:gutter="0" w:footer="0" w:header="0"/>
        </w:sectPr>
      </w:pPr>
    </w:p>
    <w:bookmarkStart w:id="137" w:name="page138"/>
    <w:bookmarkEnd w:id="137"/>
    <w:p>
      <w:pPr>
        <w:ind w:right="180"/>
        <w:spacing w:after="0" w:line="302" w:lineRule="auto"/>
        <w:rPr>
          <w:sz w:val="20"/>
          <w:szCs w:val="20"/>
          <w:color w:val="auto"/>
        </w:rPr>
      </w:pPr>
      <w:r>
        <w:rPr>
          <w:rFonts w:ascii="Arial" w:cs="Arial" w:eastAsia="Arial" w:hAnsi="Arial"/>
          <w:sz w:val="19"/>
          <w:szCs w:val="19"/>
          <w:color w:val="auto"/>
        </w:rPr>
        <w:t>achievement of annual Company and individual performance objectives for such fiscal year, as determined by the Compensation Committee and communicated to Executive consistent with the Annual Bonus Plan. The Annual Bonus shall be paid to Executive at the same time as annual bonuses are generally payable to other senior executives of the Company subject to Executive’s continuous employment through the payment date, except as otherwise provided in this Agreement.</w:t>
      </w:r>
    </w:p>
    <w:p>
      <w:pPr>
        <w:spacing w:after="0" w:line="183" w:lineRule="exact"/>
        <w:rPr>
          <w:sz w:val="20"/>
          <w:szCs w:val="20"/>
          <w:color w:val="auto"/>
        </w:rPr>
      </w:pPr>
    </w:p>
    <w:p>
      <w:pPr>
        <w:ind w:right="80" w:firstLine="1305"/>
        <w:spacing w:after="0" w:line="246" w:lineRule="auto"/>
        <w:tabs>
          <w:tab w:leader="none" w:pos="2185"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Long Term Incentive Plan</w:t>
      </w:r>
      <w:r>
        <w:rPr>
          <w:rFonts w:ascii="Arial" w:cs="Arial" w:eastAsia="Arial" w:hAnsi="Arial"/>
          <w:sz w:val="22"/>
          <w:szCs w:val="22"/>
          <w:color w:val="auto"/>
        </w:rPr>
        <w:t>. Commencing with the 2014 calendar year, Executive shall be eligible to participate in the applicable Company long-term incentive plan (“</w:t>
      </w:r>
      <w:r>
        <w:rPr>
          <w:rFonts w:ascii="Arial" w:cs="Arial" w:eastAsia="Arial" w:hAnsi="Arial"/>
          <w:sz w:val="22"/>
          <w:szCs w:val="22"/>
          <w:u w:val="single" w:color="auto"/>
          <w:color w:val="auto"/>
        </w:rPr>
        <w:t>Long Term Incentive Plan</w:t>
      </w:r>
      <w:r>
        <w:rPr>
          <w:rFonts w:ascii="Arial" w:cs="Arial" w:eastAsia="Arial" w:hAnsi="Arial"/>
          <w:sz w:val="22"/>
          <w:szCs w:val="22"/>
          <w:color w:val="auto"/>
        </w:rPr>
        <w:t>”), with an annual target opportunity thereunder of at least 50% of Base Salary. The terms and conditions (</w:t>
      </w:r>
      <w:r>
        <w:rPr>
          <w:rFonts w:ascii="Arial" w:cs="Arial" w:eastAsia="Arial" w:hAnsi="Arial"/>
          <w:sz w:val="22"/>
          <w:szCs w:val="22"/>
          <w:i w:val="1"/>
          <w:iCs w:val="1"/>
          <w:color w:val="auto"/>
        </w:rPr>
        <w:t>e</w:t>
      </w:r>
      <w:r>
        <w:rPr>
          <w:rFonts w:ascii="Arial" w:cs="Arial" w:eastAsia="Arial" w:hAnsi="Arial"/>
          <w:sz w:val="22"/>
          <w:szCs w:val="22"/>
          <w:color w:val="auto"/>
        </w:rPr>
        <w:t>.</w:t>
      </w:r>
      <w:r>
        <w:rPr>
          <w:rFonts w:ascii="Arial" w:cs="Arial" w:eastAsia="Arial" w:hAnsi="Arial"/>
          <w:sz w:val="22"/>
          <w:szCs w:val="22"/>
          <w:i w:val="1"/>
          <w:iCs w:val="1"/>
          <w:color w:val="auto"/>
        </w:rPr>
        <w:t>g</w:t>
      </w:r>
      <w:r>
        <w:rPr>
          <w:rFonts w:ascii="Arial" w:cs="Arial" w:eastAsia="Arial" w:hAnsi="Arial"/>
          <w:sz w:val="22"/>
          <w:szCs w:val="22"/>
          <w:color w:val="auto"/>
        </w:rPr>
        <w:t>., performance measures, vesting schedules, allocation between different forms of equity) of Executive’s long-term incentive awards shall be substantially similar to the terms and conditions of the long-term incentive awards granted to other executive officers of the Company, as determined by the Compensation Committee from time to time (the “</w:t>
      </w:r>
      <w:r>
        <w:rPr>
          <w:rFonts w:ascii="Arial" w:cs="Arial" w:eastAsia="Arial" w:hAnsi="Arial"/>
          <w:sz w:val="22"/>
          <w:szCs w:val="22"/>
          <w:u w:val="single" w:color="auto"/>
          <w:color w:val="auto"/>
        </w:rPr>
        <w:t>LTIP Awards</w:t>
      </w:r>
      <w:r>
        <w:rPr>
          <w:rFonts w:ascii="Arial" w:cs="Arial" w:eastAsia="Arial" w:hAnsi="Arial"/>
          <w:sz w:val="22"/>
          <w:szCs w:val="22"/>
          <w:color w:val="auto"/>
        </w:rPr>
        <w:t>”). The terms and conditions of the grant of LTIP Awards to Executive under the applicable Company’s Long Term Incentive Plan shall be set forth in the award agreement relating to the grant of such LTIP Award.</w:t>
      </w:r>
    </w:p>
    <w:p>
      <w:pPr>
        <w:spacing w:after="0" w:line="235" w:lineRule="exact"/>
        <w:rPr>
          <w:rFonts w:ascii="Arial" w:cs="Arial" w:eastAsia="Arial" w:hAnsi="Arial"/>
          <w:sz w:val="22"/>
          <w:szCs w:val="22"/>
          <w:color w:val="auto"/>
        </w:rPr>
      </w:pPr>
    </w:p>
    <w:p>
      <w:pPr>
        <w:ind w:right="80" w:firstLine="1305"/>
        <w:spacing w:after="0" w:line="250" w:lineRule="auto"/>
        <w:tabs>
          <w:tab w:leader="none" w:pos="2197"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Supplemental Senior Executive Retirement Plan</w:t>
      </w:r>
      <w:r>
        <w:rPr>
          <w:rFonts w:ascii="Arial" w:cs="Arial" w:eastAsia="Arial" w:hAnsi="Arial"/>
          <w:sz w:val="22"/>
          <w:szCs w:val="22"/>
          <w:color w:val="auto"/>
        </w:rPr>
        <w:t>. Commencing with the 2013 calendar year, Executive shall be eligible to participate in the Company Supplemental Senior Executive Retirement Plan (the “</w:t>
      </w:r>
      <w:r>
        <w:rPr>
          <w:rFonts w:ascii="Arial" w:cs="Arial" w:eastAsia="Arial" w:hAnsi="Arial"/>
          <w:sz w:val="22"/>
          <w:szCs w:val="22"/>
          <w:u w:val="single" w:color="auto"/>
          <w:color w:val="auto"/>
        </w:rPr>
        <w:t>SERP</w:t>
      </w:r>
      <w:r>
        <w:rPr>
          <w:rFonts w:ascii="Arial" w:cs="Arial" w:eastAsia="Arial" w:hAnsi="Arial"/>
          <w:sz w:val="22"/>
          <w:szCs w:val="22"/>
          <w:color w:val="auto"/>
        </w:rPr>
        <w:t>”), if and when established. Executive’s benefits under the SERP shall be treated consistent with and in the same manner as the benefit of the other executive officers of the Company who participate in the SERP.</w:t>
      </w:r>
    </w:p>
    <w:p>
      <w:pPr>
        <w:spacing w:after="0" w:line="223" w:lineRule="exact"/>
        <w:rPr>
          <w:sz w:val="20"/>
          <w:szCs w:val="20"/>
          <w:color w:val="auto"/>
        </w:rPr>
      </w:pPr>
    </w:p>
    <w:p>
      <w:pPr>
        <w:ind w:left="660"/>
        <w:spacing w:after="0"/>
        <w:tabs>
          <w:tab w:leader="none" w:pos="282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19"/>
          <w:szCs w:val="19"/>
          <w:b w:val="1"/>
          <w:bCs w:val="1"/>
          <w:color w:val="auto"/>
        </w:rPr>
        <w:t>Executive Benefits.</w:t>
      </w:r>
    </w:p>
    <w:p>
      <w:pPr>
        <w:spacing w:after="0" w:line="266"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During the Term, Executive shall be entitled to participate in health, insurance, retirement, and other benefits provided on no less favorable terms to similarly situated executive officers of the Company. Executive shall also be entitled to the same number of holidays, vacation days, and sick days, as well as any other benefits, in each case provided on no less favorable terms to similarly situated executive officers of the Company in accordance with the Company policy as in effect from time to time. Nothing contained herein shall be construed to limit the Company’s ability to amend, suspend, or terminate any employee benefit plan or policy at any time.</w:t>
      </w:r>
    </w:p>
    <w:p>
      <w:pPr>
        <w:spacing w:after="0" w:line="188" w:lineRule="exact"/>
        <w:rPr>
          <w:sz w:val="20"/>
          <w:szCs w:val="20"/>
          <w:color w:val="auto"/>
        </w:rPr>
      </w:pPr>
    </w:p>
    <w:p>
      <w:pPr>
        <w:ind w:left="660"/>
        <w:spacing w:after="0"/>
        <w:tabs>
          <w:tab w:leader="none" w:pos="282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19"/>
          <w:szCs w:val="19"/>
          <w:b w:val="1"/>
          <w:bCs w:val="1"/>
          <w:color w:val="auto"/>
        </w:rPr>
        <w:t>Key-Man Insurance.</w:t>
      </w:r>
    </w:p>
    <w:p>
      <w:pPr>
        <w:spacing w:after="0" w:line="266" w:lineRule="exact"/>
        <w:rPr>
          <w:sz w:val="20"/>
          <w:szCs w:val="20"/>
          <w:color w:val="auto"/>
        </w:rPr>
      </w:pPr>
    </w:p>
    <w:p>
      <w:pPr>
        <w:ind w:right="160" w:firstLine="648"/>
        <w:spacing w:after="0" w:line="297" w:lineRule="auto"/>
        <w:rPr>
          <w:sz w:val="20"/>
          <w:szCs w:val="20"/>
          <w:color w:val="auto"/>
        </w:rPr>
      </w:pPr>
      <w:r>
        <w:rPr>
          <w:rFonts w:ascii="Arial" w:cs="Arial" w:eastAsia="Arial" w:hAnsi="Arial"/>
          <w:sz w:val="19"/>
          <w:szCs w:val="19"/>
          <w:color w:val="auto"/>
        </w:rPr>
        <w:t>At any time during the Term, the Company shall have the right to insure the life of Executive for the sole benefit of the Company, in such amounts, and with such terms, as it may determine. All premiums payable thereon shall be the obligation of the Company. Executive shall have no interest in any such policy, but agrees to cooperate with the Company in procuring such insurance by submitting to physical examinations, supplying all information required by the insurance company, and executing all necessary documents, provided that no financial obligation is imposed on Executive by any such documents.</w:t>
      </w:r>
    </w:p>
    <w:p>
      <w:pPr>
        <w:spacing w:after="0" w:line="141" w:lineRule="exact"/>
        <w:rPr>
          <w:sz w:val="20"/>
          <w:szCs w:val="20"/>
          <w:color w:val="auto"/>
        </w:rPr>
      </w:pPr>
    </w:p>
    <w:p>
      <w:pPr>
        <w:ind w:left="660"/>
        <w:spacing w:after="0"/>
        <w:tabs>
          <w:tab w:leader="none" w:pos="2820" w:val="left"/>
        </w:tabs>
        <w:rPr>
          <w:sz w:val="20"/>
          <w:szCs w:val="20"/>
          <w:color w:val="auto"/>
        </w:rPr>
      </w:pPr>
      <w:r>
        <w:rPr>
          <w:rFonts w:ascii="Arial" w:cs="Arial" w:eastAsia="Arial" w:hAnsi="Arial"/>
          <w:sz w:val="22"/>
          <w:szCs w:val="22"/>
          <w:b w:val="1"/>
          <w:bCs w:val="1"/>
          <w:color w:val="auto"/>
        </w:rPr>
        <w:t>Section 7.</w:t>
      </w:r>
      <w:r>
        <w:rPr>
          <w:sz w:val="20"/>
          <w:szCs w:val="20"/>
          <w:color w:val="auto"/>
        </w:rPr>
        <w:tab/>
      </w:r>
      <w:r>
        <w:rPr>
          <w:rFonts w:ascii="Arial" w:cs="Arial" w:eastAsia="Arial" w:hAnsi="Arial"/>
          <w:sz w:val="19"/>
          <w:szCs w:val="19"/>
          <w:b w:val="1"/>
          <w:bCs w:val="1"/>
          <w:color w:val="auto"/>
        </w:rPr>
        <w:t>Reimbursement of Business Expenses; Financial Advisory Services.</w:t>
      </w:r>
    </w:p>
    <w:p>
      <w:pPr>
        <w:spacing w:after="0" w:line="266"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During the Term, the Company shall pay (or promptly reimburse Executive) for documented, out-of-pocket expenses reasonably incurred by Executive in the course of performing his duties and responsibilities hereunder, which are consistent with the Company’s policies in effect from time to time with respect to business expenses, subject to the Company’s requirements with respect to reporting of such expenses.</w:t>
      </w:r>
    </w:p>
    <w:p>
      <w:pPr>
        <w:sectPr>
          <w:pgSz w:w="11900" w:h="16838" w:orient="portrait"/>
          <w:cols w:equalWidth="0" w:num="1">
            <w:col w:w="11420"/>
          </w:cols>
          <w:pgMar w:left="240" w:top="591" w:right="239" w:bottom="1440" w:gutter="0" w:footer="0" w:header="0"/>
        </w:sectPr>
      </w:pPr>
    </w:p>
    <w:bookmarkStart w:id="138" w:name="page139"/>
    <w:bookmarkEnd w:id="138"/>
    <w:p>
      <w:pPr>
        <w:ind w:left="660"/>
        <w:spacing w:after="0"/>
        <w:tabs>
          <w:tab w:leader="none" w:pos="2820" w:val="left"/>
        </w:tabs>
        <w:rPr>
          <w:sz w:val="20"/>
          <w:szCs w:val="20"/>
          <w:color w:val="auto"/>
        </w:rPr>
      </w:pPr>
      <w:r>
        <w:rPr>
          <w:rFonts w:ascii="Arial" w:cs="Arial" w:eastAsia="Arial" w:hAnsi="Arial"/>
          <w:sz w:val="22"/>
          <w:szCs w:val="22"/>
          <w:b w:val="1"/>
          <w:bCs w:val="1"/>
          <w:color w:val="auto"/>
        </w:rPr>
        <w:t>Section 8.</w:t>
      </w:r>
      <w:r>
        <w:rPr>
          <w:sz w:val="20"/>
          <w:szCs w:val="20"/>
          <w:color w:val="auto"/>
        </w:rPr>
        <w:tab/>
      </w:r>
      <w:r>
        <w:rPr>
          <w:rFonts w:ascii="Arial" w:cs="Arial" w:eastAsia="Arial" w:hAnsi="Arial"/>
          <w:sz w:val="19"/>
          <w:szCs w:val="19"/>
          <w:b w:val="1"/>
          <w:bCs w:val="1"/>
          <w:color w:val="auto"/>
        </w:rPr>
        <w:t>Termination of Employment.</w:t>
      </w:r>
    </w:p>
    <w:p>
      <w:pPr>
        <w:spacing w:after="0" w:line="266" w:lineRule="exact"/>
        <w:rPr>
          <w:sz w:val="20"/>
          <w:szCs w:val="20"/>
          <w:color w:val="auto"/>
        </w:rPr>
      </w:pPr>
    </w:p>
    <w:p>
      <w:pPr>
        <w:ind w:left="2200" w:hanging="895"/>
        <w:spacing w:after="0"/>
        <w:tabs>
          <w:tab w:leader="none" w:pos="2200" w:val="left"/>
        </w:tabs>
        <w:numPr>
          <w:ilvl w:val="1"/>
          <w:numId w:val="71"/>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The Term shall terminate earlier than as provided in Section 2 hereof upon the earliest to occur of</w:t>
      </w:r>
    </w:p>
    <w:p>
      <w:pPr>
        <w:spacing w:after="0" w:line="56" w:lineRule="exact"/>
        <w:rPr>
          <w:rFonts w:ascii="Arial" w:cs="Arial" w:eastAsia="Arial" w:hAnsi="Arial"/>
          <w:sz w:val="19"/>
          <w:szCs w:val="19"/>
          <w:color w:val="auto"/>
        </w:rPr>
      </w:pPr>
    </w:p>
    <w:p>
      <w:pPr>
        <w:ind w:left="260" w:hanging="252"/>
        <w:spacing w:after="0"/>
        <w:tabs>
          <w:tab w:leader="none" w:pos="260" w:val="left"/>
        </w:tabs>
        <w:numPr>
          <w:ilvl w:val="0"/>
          <w:numId w:val="72"/>
        </w:numPr>
        <w:rPr>
          <w:rFonts w:ascii="Arial" w:cs="Arial" w:eastAsia="Arial" w:hAnsi="Arial"/>
          <w:sz w:val="19"/>
          <w:szCs w:val="19"/>
          <w:color w:val="auto"/>
        </w:rPr>
      </w:pPr>
      <w:r>
        <w:rPr>
          <w:rFonts w:ascii="Arial" w:cs="Arial" w:eastAsia="Arial" w:hAnsi="Arial"/>
          <w:sz w:val="19"/>
          <w:szCs w:val="19"/>
          <w:color w:val="auto"/>
        </w:rPr>
        <w:t>Executive’s death, (ii) a termination by reason of a Disability, (iii) a termination by the Company with or without Cause, and</w:t>
      </w:r>
    </w:p>
    <w:p>
      <w:pPr>
        <w:spacing w:after="0" w:line="38" w:lineRule="exact"/>
        <w:rPr>
          <w:rFonts w:ascii="Arial" w:cs="Arial" w:eastAsia="Arial" w:hAnsi="Arial"/>
          <w:sz w:val="19"/>
          <w:szCs w:val="19"/>
          <w:color w:val="auto"/>
        </w:rPr>
      </w:pPr>
    </w:p>
    <w:p>
      <w:pPr>
        <w:ind w:right="100" w:firstLine="8"/>
        <w:spacing w:after="0" w:line="281" w:lineRule="auto"/>
        <w:tabs>
          <w:tab w:leader="none" w:pos="366" w:val="left"/>
        </w:tabs>
        <w:numPr>
          <w:ilvl w:val="0"/>
          <w:numId w:val="73"/>
        </w:numPr>
        <w:rPr>
          <w:rFonts w:ascii="Arial" w:cs="Arial" w:eastAsia="Arial" w:hAnsi="Arial"/>
          <w:sz w:val="19"/>
          <w:szCs w:val="19"/>
          <w:color w:val="auto"/>
        </w:rPr>
      </w:pPr>
      <w:r>
        <w:rPr>
          <w:rFonts w:ascii="Arial" w:cs="Arial" w:eastAsia="Arial" w:hAnsi="Arial"/>
          <w:sz w:val="19"/>
          <w:szCs w:val="19"/>
          <w:color w:val="auto"/>
        </w:rPr>
        <w:t>a termination by Executive with or without Good Reason (including due to Retirement). Upon any termination of Executive’s employment for any reason, except as may otherwise be requested by the Company in writing and agreed upon in writing by Executive, Executive shall resign from any and all directorships, committee memberships, and any other positions Executive holds with the Company or any other member of the Company Group. Notwithstanding anything herein to the contrary, the payment (or commencement of a series of payments) hereunder of any nonqualified deferred compensation (within the meaning of</w:t>
      </w:r>
    </w:p>
    <w:p>
      <w:pPr>
        <w:spacing w:after="0" w:line="3" w:lineRule="exact"/>
        <w:rPr>
          <w:rFonts w:ascii="Arial" w:cs="Arial" w:eastAsia="Arial" w:hAnsi="Arial"/>
          <w:sz w:val="19"/>
          <w:szCs w:val="19"/>
          <w:color w:val="auto"/>
        </w:rPr>
      </w:pPr>
    </w:p>
    <w:p>
      <w:pPr>
        <w:spacing w:after="0" w:line="244" w:lineRule="auto"/>
        <w:rPr>
          <w:rFonts w:ascii="Arial" w:cs="Arial" w:eastAsia="Arial" w:hAnsi="Arial"/>
          <w:sz w:val="19"/>
          <w:szCs w:val="19"/>
          <w:color w:val="auto"/>
        </w:rPr>
      </w:pPr>
      <w:r>
        <w:rPr>
          <w:rFonts w:ascii="Arial" w:cs="Arial" w:eastAsia="Arial" w:hAnsi="Arial"/>
          <w:sz w:val="22"/>
          <w:szCs w:val="22"/>
          <w:color w:val="auto"/>
        </w:rPr>
        <w:t>Section 409A of the Code) upon a termination of employment shall be delayed until such time as Executive has also undergone a “separation from service” as defined in Treas. Reg. 1.409A-1(h), at which time such nonqualified deferred compensation (calculated as of the date of Executive’s termination of employment hereunder) shall be paid (or commence to be paid) to Executive on the schedule set forth in this Section 8 as if Executive had undergone such termination of employment (under the same circumstances) on the date of his ultimate “separation from service.”</w:t>
      </w:r>
    </w:p>
    <w:p>
      <w:pPr>
        <w:spacing w:after="0" w:line="235" w:lineRule="exact"/>
        <w:rPr>
          <w:rFonts w:ascii="Arial" w:cs="Arial" w:eastAsia="Arial" w:hAnsi="Arial"/>
          <w:sz w:val="19"/>
          <w:szCs w:val="19"/>
          <w:color w:val="auto"/>
        </w:rPr>
      </w:pPr>
    </w:p>
    <w:p>
      <w:pPr>
        <w:ind w:right="220" w:firstLine="1305"/>
        <w:spacing w:after="0" w:line="297" w:lineRule="auto"/>
        <w:tabs>
          <w:tab w:leader="none" w:pos="2197" w:val="left"/>
        </w:tabs>
        <w:numPr>
          <w:ilvl w:val="1"/>
          <w:numId w:val="73"/>
        </w:numPr>
        <w:rPr>
          <w:rFonts w:ascii="Arial" w:cs="Arial" w:eastAsia="Arial" w:hAnsi="Arial"/>
          <w:sz w:val="19"/>
          <w:szCs w:val="19"/>
          <w:color w:val="auto"/>
        </w:rPr>
      </w:pPr>
      <w:r>
        <w:rPr>
          <w:rFonts w:ascii="Arial" w:cs="Arial" w:eastAsia="Arial" w:hAnsi="Arial"/>
          <w:sz w:val="19"/>
          <w:szCs w:val="19"/>
          <w:u w:val="single" w:color="auto"/>
          <w:color w:val="auto"/>
        </w:rPr>
        <w:t>Termination Due to Death, Disability or Retirement</w:t>
      </w:r>
      <w:r>
        <w:rPr>
          <w:rFonts w:ascii="Arial" w:cs="Arial" w:eastAsia="Arial" w:hAnsi="Arial"/>
          <w:sz w:val="19"/>
          <w:szCs w:val="19"/>
          <w:color w:val="auto"/>
        </w:rPr>
        <w:t>. Executive’s employment shall terminate automatically upon his death. The Company may terminate Executive’s employment immediately upon the occurrence of a Disability, such termination to be effective upon Executive’s receipt of written notice of such termination. Employment shall terminate upon Executive’s Retirement. Upon Executive’s death or in the event that Executive’s employment is terminated due to his Disability or Retirement, Executive or his estate or his beneficiaries, as the case may be, shall be entitled to:</w:t>
      </w:r>
    </w:p>
    <w:p>
      <w:pPr>
        <w:spacing w:after="0" w:line="187" w:lineRule="exact"/>
        <w:rPr>
          <w:rFonts w:ascii="Arial" w:cs="Arial" w:eastAsia="Arial" w:hAnsi="Arial"/>
          <w:sz w:val="19"/>
          <w:szCs w:val="19"/>
          <w:color w:val="auto"/>
        </w:rPr>
      </w:pPr>
    </w:p>
    <w:p>
      <w:pPr>
        <w:ind w:left="2800" w:hanging="847"/>
        <w:spacing w:after="0"/>
        <w:tabs>
          <w:tab w:leader="none" w:pos="2800" w:val="left"/>
        </w:tabs>
        <w:numPr>
          <w:ilvl w:val="2"/>
          <w:numId w:val="73"/>
        </w:numPr>
        <w:rPr>
          <w:rFonts w:ascii="Arial" w:cs="Arial" w:eastAsia="Arial" w:hAnsi="Arial"/>
          <w:sz w:val="22"/>
          <w:szCs w:val="22"/>
          <w:color w:val="auto"/>
        </w:rPr>
      </w:pPr>
      <w:r>
        <w:rPr>
          <w:rFonts w:ascii="Arial" w:cs="Arial" w:eastAsia="Arial" w:hAnsi="Arial"/>
          <w:sz w:val="22"/>
          <w:szCs w:val="22"/>
          <w:color w:val="auto"/>
        </w:rPr>
        <w:t>The Accrued Obligations; and</w:t>
      </w:r>
    </w:p>
    <w:p>
      <w:pPr>
        <w:spacing w:after="0" w:line="260" w:lineRule="exact"/>
        <w:rPr>
          <w:rFonts w:ascii="Arial" w:cs="Arial" w:eastAsia="Arial" w:hAnsi="Arial"/>
          <w:sz w:val="22"/>
          <w:szCs w:val="22"/>
          <w:color w:val="auto"/>
        </w:rPr>
      </w:pPr>
    </w:p>
    <w:p>
      <w:pPr>
        <w:ind w:left="660" w:right="140" w:firstLine="1293"/>
        <w:spacing w:after="0" w:line="250" w:lineRule="auto"/>
        <w:tabs>
          <w:tab w:leader="none" w:pos="2869" w:val="left"/>
        </w:tabs>
        <w:numPr>
          <w:ilvl w:val="2"/>
          <w:numId w:val="73"/>
        </w:numPr>
        <w:rPr>
          <w:rFonts w:ascii="Arial" w:cs="Arial" w:eastAsia="Arial" w:hAnsi="Arial"/>
          <w:sz w:val="22"/>
          <w:szCs w:val="22"/>
          <w:color w:val="auto"/>
        </w:rPr>
      </w:pPr>
      <w:r>
        <w:rPr>
          <w:rFonts w:ascii="Arial" w:cs="Arial" w:eastAsia="Arial" w:hAnsi="Arial"/>
          <w:sz w:val="22"/>
          <w:szCs w:val="22"/>
          <w:color w:val="auto"/>
        </w:rPr>
        <w:t>Any unpaid Annual Bonus in respect of any completed fiscal year that has ended prior to the date of such termination, which amount shall be paid at such time annual bonuses are paid to other senior executives of the Company, but in no event later than the date that is 2½ months following the last day of the fiscal year in which such termination occurred; and</w:t>
      </w:r>
    </w:p>
    <w:p>
      <w:pPr>
        <w:spacing w:after="0" w:line="228" w:lineRule="exact"/>
        <w:rPr>
          <w:rFonts w:ascii="Arial" w:cs="Arial" w:eastAsia="Arial" w:hAnsi="Arial"/>
          <w:sz w:val="22"/>
          <w:szCs w:val="22"/>
          <w:color w:val="auto"/>
        </w:rPr>
      </w:pPr>
    </w:p>
    <w:p>
      <w:pPr>
        <w:ind w:left="2920" w:hanging="967"/>
        <w:spacing w:after="0"/>
        <w:tabs>
          <w:tab w:leader="none" w:pos="2920" w:val="left"/>
        </w:tabs>
        <w:numPr>
          <w:ilvl w:val="2"/>
          <w:numId w:val="73"/>
        </w:numPr>
        <w:rPr>
          <w:rFonts w:ascii="Arial" w:cs="Arial" w:eastAsia="Arial" w:hAnsi="Arial"/>
          <w:sz w:val="19"/>
          <w:szCs w:val="19"/>
          <w:color w:val="auto"/>
        </w:rPr>
      </w:pPr>
      <w:r>
        <w:rPr>
          <w:rFonts w:ascii="Arial" w:cs="Arial" w:eastAsia="Arial" w:hAnsi="Arial"/>
          <w:sz w:val="19"/>
          <w:szCs w:val="19"/>
          <w:color w:val="auto"/>
        </w:rPr>
        <w:t>Any service-based vesting or service requirements with respect to any equity grant and other</w:t>
      </w:r>
    </w:p>
    <w:p>
      <w:pPr>
        <w:spacing w:after="0" w:line="56" w:lineRule="exact"/>
        <w:rPr>
          <w:sz w:val="20"/>
          <w:szCs w:val="20"/>
          <w:color w:val="auto"/>
        </w:rPr>
      </w:pPr>
    </w:p>
    <w:p>
      <w:pPr>
        <w:ind w:left="660" w:right="80"/>
        <w:spacing w:after="0" w:line="256" w:lineRule="auto"/>
        <w:rPr>
          <w:sz w:val="20"/>
          <w:szCs w:val="20"/>
          <w:color w:val="auto"/>
        </w:rPr>
      </w:pPr>
      <w:r>
        <w:rPr>
          <w:rFonts w:ascii="Arial" w:cs="Arial" w:eastAsia="Arial" w:hAnsi="Arial"/>
          <w:sz w:val="21"/>
          <w:szCs w:val="21"/>
          <w:color w:val="auto"/>
        </w:rPr>
        <w:t>long-term incentive award previously granted to Executive and then outstanding shall become vested and non-forfeitable as of the date of termination of Executive’s employment and any performance-based equity grant and other long-term incentive award previously granted to Executive and then outstanding that has not been earned as of the date of termination of Executive’s employment, shall remain outstanding through the last day of the applicable performance period, without regard for the termination of employment, and shall be earned at a pro-rata amount (based on the amount of time which elapsed from the commencement of the applicable performance period through the date of termination), based on the actual attainment of performance goals during the applicable performance period, and, in other respects, such awards shall be governed by the plans, programs, agreements, or other documents, as applicable, pursuant to which such awards were granted.</w:t>
      </w:r>
    </w:p>
    <w:p>
      <w:pPr>
        <w:spacing w:after="0" w:line="230" w:lineRule="exact"/>
        <w:rPr>
          <w:sz w:val="20"/>
          <w:szCs w:val="20"/>
          <w:color w:val="auto"/>
        </w:rPr>
      </w:pPr>
    </w:p>
    <w:p>
      <w:pPr>
        <w:ind w:right="280"/>
        <w:spacing w:after="0" w:line="343" w:lineRule="auto"/>
        <w:rPr>
          <w:sz w:val="20"/>
          <w:szCs w:val="20"/>
          <w:color w:val="auto"/>
        </w:rPr>
      </w:pPr>
      <w:r>
        <w:rPr>
          <w:rFonts w:ascii="Arial" w:cs="Arial" w:eastAsia="Arial" w:hAnsi="Arial"/>
          <w:sz w:val="19"/>
          <w:szCs w:val="19"/>
          <w:color w:val="auto"/>
        </w:rPr>
        <w:t>Following Executive’s death or a termination of Executive’s employment by reason of a Disability or Retirement, except as set forth in this Section 8(b), Executive shall have no further rights to any compensation or any other benefits under this Agreement.</w:t>
      </w:r>
    </w:p>
    <w:p>
      <w:pPr>
        <w:sectPr>
          <w:pgSz w:w="11900" w:h="16838" w:orient="portrait"/>
          <w:cols w:equalWidth="0" w:num="1">
            <w:col w:w="11420"/>
          </w:cols>
          <w:pgMar w:left="240" w:top="585" w:right="239" w:bottom="1440" w:gutter="0" w:footer="0" w:header="0"/>
        </w:sectPr>
      </w:pPr>
    </w:p>
    <w:bookmarkStart w:id="139" w:name="page140"/>
    <w:bookmarkEnd w:id="139"/>
    <w:p>
      <w:pPr>
        <w:ind w:left="1000" w:hanging="895"/>
        <w:spacing w:after="0"/>
        <w:tabs>
          <w:tab w:leader="none" w:pos="100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Termination by the Company with Cause</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540" w:right="20" w:firstLine="1293"/>
        <w:spacing w:after="0" w:line="290" w:lineRule="auto"/>
        <w:tabs>
          <w:tab w:leader="none" w:pos="1609" w:val="left"/>
        </w:tabs>
        <w:numPr>
          <w:ilvl w:val="1"/>
          <w:numId w:val="74"/>
        </w:numPr>
        <w:rPr>
          <w:rFonts w:ascii="Arial" w:cs="Arial" w:eastAsia="Arial" w:hAnsi="Arial"/>
          <w:sz w:val="19"/>
          <w:szCs w:val="19"/>
          <w:color w:val="auto"/>
        </w:rPr>
      </w:pPr>
      <w:r>
        <w:rPr>
          <w:rFonts w:ascii="Arial" w:cs="Arial" w:eastAsia="Arial" w:hAnsi="Arial"/>
          <w:sz w:val="19"/>
          <w:szCs w:val="19"/>
          <w:color w:val="auto"/>
        </w:rPr>
        <w:t xml:space="preserve">The Company may terminate Executive’s employment at any time with Cause, effective upon Executive’s receipt of written notice of such termination;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with respect to any Cause termination relying on clause (ii) or (vi) of the definition of Cause set forth in Section 1(f) hereof, to the extent that such act or acts or failure or failures to act are curable, Executive shall be given not less than thirty (30) days’ written notice by the Board of the Company’s intention to terminate him with Cause, such notice to state in detail the particular act or acts or failure or failures to act that constitute the grounds on which the proposed termination with Cause is based, and such termination shall be effective at the expiration of such thirty (30) day notice period unless Executive has fully cured such act or acts or failure or failures to act that give rise to Cause during such period.</w:t>
      </w:r>
    </w:p>
    <w:p>
      <w:pPr>
        <w:spacing w:after="0" w:line="197" w:lineRule="exact"/>
        <w:rPr>
          <w:rFonts w:ascii="Arial" w:cs="Arial" w:eastAsia="Arial" w:hAnsi="Arial"/>
          <w:sz w:val="19"/>
          <w:szCs w:val="19"/>
          <w:color w:val="auto"/>
        </w:rPr>
      </w:pPr>
    </w:p>
    <w:p>
      <w:pPr>
        <w:ind w:left="-540" w:right="20" w:firstLine="1293"/>
        <w:spacing w:after="0" w:line="250" w:lineRule="auto"/>
        <w:tabs>
          <w:tab w:leader="none" w:pos="1669" w:val="left"/>
        </w:tabs>
        <w:numPr>
          <w:ilvl w:val="1"/>
          <w:numId w:val="74"/>
        </w:numPr>
        <w:rPr>
          <w:rFonts w:ascii="Arial" w:cs="Arial" w:eastAsia="Arial" w:hAnsi="Arial"/>
          <w:sz w:val="22"/>
          <w:szCs w:val="22"/>
          <w:color w:val="auto"/>
        </w:rPr>
      </w:pPr>
      <w:r>
        <w:rPr>
          <w:rFonts w:ascii="Arial" w:cs="Arial" w:eastAsia="Arial" w:hAnsi="Arial"/>
          <w:sz w:val="22"/>
          <w:szCs w:val="22"/>
          <w:color w:val="auto"/>
        </w:rPr>
        <w:t>In the event that the Company terminates Executive’s employment with Cause, he shall be entitled only to the Accrued Obligations. Following such termination of Executive’s employment with Cause, except as set forth in this Section 8(c)(ii)). Executive shall have no further rights to any compensation or any other benefits under this Agreement.</w:t>
      </w:r>
    </w:p>
    <w:p>
      <w:pPr>
        <w:spacing w:after="0" w:line="228" w:lineRule="exact"/>
        <w:rPr>
          <w:rFonts w:ascii="Arial" w:cs="Arial" w:eastAsia="Arial" w:hAnsi="Arial"/>
          <w:sz w:val="22"/>
          <w:szCs w:val="22"/>
          <w:color w:val="auto"/>
        </w:rPr>
      </w:pPr>
    </w:p>
    <w:p>
      <w:pPr>
        <w:ind w:left="-1200" w:right="320" w:firstLine="1305"/>
        <w:spacing w:after="0" w:line="312" w:lineRule="auto"/>
        <w:tabs>
          <w:tab w:leader="none" w:pos="997"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 without Cause</w:t>
      </w:r>
      <w:r>
        <w:rPr>
          <w:rFonts w:ascii="Arial" w:cs="Arial" w:eastAsia="Arial" w:hAnsi="Arial"/>
          <w:sz w:val="19"/>
          <w:szCs w:val="19"/>
          <w:color w:val="auto"/>
        </w:rPr>
        <w:t>. The Company may terminate Executive’s employment at any time without Cause, effective upon Executive’s receipt of written notice of such termination. In the event that Executive’s employment is terminated by the Company without Cause (other than due to death or Disability), Executive shall be entitled to:</w:t>
      </w:r>
    </w:p>
    <w:p>
      <w:pPr>
        <w:spacing w:after="0" w:line="174" w:lineRule="exact"/>
        <w:rPr>
          <w:rFonts w:ascii="Arial" w:cs="Arial" w:eastAsia="Arial" w:hAnsi="Arial"/>
          <w:sz w:val="19"/>
          <w:szCs w:val="19"/>
          <w:color w:val="auto"/>
        </w:rPr>
      </w:pPr>
    </w:p>
    <w:p>
      <w:pPr>
        <w:ind w:left="1600" w:hanging="847"/>
        <w:spacing w:after="0"/>
        <w:tabs>
          <w:tab w:leader="none" w:pos="1600" w:val="left"/>
        </w:tabs>
        <w:numPr>
          <w:ilvl w:val="1"/>
          <w:numId w:val="74"/>
        </w:numPr>
        <w:rPr>
          <w:rFonts w:ascii="Arial" w:cs="Arial" w:eastAsia="Arial" w:hAnsi="Arial"/>
          <w:sz w:val="22"/>
          <w:szCs w:val="22"/>
          <w:color w:val="auto"/>
        </w:rPr>
      </w:pPr>
      <w:r>
        <w:rPr>
          <w:rFonts w:ascii="Arial" w:cs="Arial" w:eastAsia="Arial" w:hAnsi="Arial"/>
          <w:sz w:val="22"/>
          <w:szCs w:val="22"/>
          <w:color w:val="auto"/>
        </w:rPr>
        <w:t>The Accrued Obligations; and</w:t>
      </w:r>
    </w:p>
    <w:p>
      <w:pPr>
        <w:spacing w:after="0" w:line="260" w:lineRule="exact"/>
        <w:rPr>
          <w:rFonts w:ascii="Arial" w:cs="Arial" w:eastAsia="Arial" w:hAnsi="Arial"/>
          <w:sz w:val="22"/>
          <w:szCs w:val="22"/>
          <w:color w:val="auto"/>
        </w:rPr>
      </w:pPr>
    </w:p>
    <w:p>
      <w:pPr>
        <w:ind w:left="-540" w:right="120" w:firstLine="1293"/>
        <w:spacing w:after="0" w:line="250" w:lineRule="auto"/>
        <w:tabs>
          <w:tab w:leader="none" w:pos="1669" w:val="left"/>
        </w:tabs>
        <w:numPr>
          <w:ilvl w:val="1"/>
          <w:numId w:val="74"/>
        </w:numPr>
        <w:rPr>
          <w:rFonts w:ascii="Arial" w:cs="Arial" w:eastAsia="Arial" w:hAnsi="Arial"/>
          <w:sz w:val="22"/>
          <w:szCs w:val="22"/>
          <w:color w:val="auto"/>
        </w:rPr>
      </w:pPr>
      <w:r>
        <w:rPr>
          <w:rFonts w:ascii="Arial" w:cs="Arial" w:eastAsia="Arial" w:hAnsi="Arial"/>
          <w:sz w:val="22"/>
          <w:szCs w:val="22"/>
          <w:color w:val="auto"/>
        </w:rPr>
        <w:t>Any unpaid Annual Bonus in respect of any completed fiscal year that has ended prior to the date of such termination, which amount shall be paid at such time annual bonuses are paid to other senior executives of the Company, but in no event later than the date that is 2½ months following the last day of the fiscal year in which such termination occurred; and</w:t>
      </w:r>
    </w:p>
    <w:p>
      <w:pPr>
        <w:spacing w:after="0" w:line="228" w:lineRule="exact"/>
        <w:rPr>
          <w:rFonts w:ascii="Arial" w:cs="Arial" w:eastAsia="Arial" w:hAnsi="Arial"/>
          <w:sz w:val="22"/>
          <w:szCs w:val="22"/>
          <w:color w:val="auto"/>
        </w:rPr>
      </w:pPr>
    </w:p>
    <w:p>
      <w:pPr>
        <w:ind w:left="-540" w:right="40" w:firstLine="1293"/>
        <w:spacing w:after="0" w:line="294" w:lineRule="auto"/>
        <w:tabs>
          <w:tab w:leader="none" w:pos="1729" w:val="left"/>
        </w:tabs>
        <w:numPr>
          <w:ilvl w:val="1"/>
          <w:numId w:val="74"/>
        </w:numPr>
        <w:rPr>
          <w:rFonts w:ascii="Arial" w:cs="Arial" w:eastAsia="Arial" w:hAnsi="Arial"/>
          <w:sz w:val="19"/>
          <w:szCs w:val="19"/>
          <w:color w:val="auto"/>
        </w:rPr>
      </w:pPr>
      <w:r>
        <w:rPr>
          <w:rFonts w:ascii="Arial" w:cs="Arial" w:eastAsia="Arial" w:hAnsi="Arial"/>
          <w:sz w:val="19"/>
          <w:szCs w:val="19"/>
          <w:color w:val="auto"/>
        </w:rPr>
        <w:t>Subject to achievement of the applicable performance conditions for the fiscal year of the Company in which Executive’s termination occurs, as determined by the Compensation Committee, payment of the Annual Bonus that would otherwise have been earned in respect of the fiscal year in which such termination occurred, pro-rated to reflect the number of days Executive was employed during such fiscal year, which amount shall be paid at such time annual bonuses are paid to other senior executive officers of the Company, but in no event later than the date that is 2½ months following the last day of the fiscal year in which such termination occurred; and</w:t>
      </w:r>
    </w:p>
    <w:p>
      <w:pPr>
        <w:spacing w:after="0" w:line="190" w:lineRule="exact"/>
        <w:rPr>
          <w:rFonts w:ascii="Arial" w:cs="Arial" w:eastAsia="Arial" w:hAnsi="Arial"/>
          <w:sz w:val="19"/>
          <w:szCs w:val="19"/>
          <w:color w:val="auto"/>
        </w:rPr>
      </w:pPr>
    </w:p>
    <w:p>
      <w:pPr>
        <w:ind w:left="-540" w:firstLine="1293"/>
        <w:spacing w:after="0" w:line="302" w:lineRule="auto"/>
        <w:tabs>
          <w:tab w:leader="none" w:pos="1717" w:val="left"/>
        </w:tabs>
        <w:numPr>
          <w:ilvl w:val="1"/>
          <w:numId w:val="74"/>
        </w:numPr>
        <w:rPr>
          <w:rFonts w:ascii="Arial" w:cs="Arial" w:eastAsia="Arial" w:hAnsi="Arial"/>
          <w:sz w:val="19"/>
          <w:szCs w:val="19"/>
          <w:color w:val="auto"/>
        </w:rPr>
      </w:pPr>
      <w:r>
        <w:rPr>
          <w:rFonts w:ascii="Arial" w:cs="Arial" w:eastAsia="Arial" w:hAnsi="Arial"/>
          <w:sz w:val="19"/>
          <w:szCs w:val="19"/>
          <w:color w:val="auto"/>
        </w:rPr>
        <w:t>A lump sum payment equal to the Severance Multiplier multiplied by the sum of (x) Executive’s then-current Base Salary and (y) Executive’s target Annual Bonus for the fiscal year in which the date of termination occurs, payable as soon as reasonably practicable following the date of termination, but in no event later than the date that is 2½ months following the last day of the fiscal year in which such termination occurred; and</w:t>
      </w:r>
    </w:p>
    <w:p>
      <w:pPr>
        <w:spacing w:after="0" w:line="183" w:lineRule="exact"/>
        <w:rPr>
          <w:rFonts w:ascii="Arial" w:cs="Arial" w:eastAsia="Arial" w:hAnsi="Arial"/>
          <w:sz w:val="19"/>
          <w:szCs w:val="19"/>
          <w:color w:val="auto"/>
        </w:rPr>
      </w:pPr>
    </w:p>
    <w:p>
      <w:pPr>
        <w:ind w:left="-540" w:right="140" w:firstLine="1293"/>
        <w:spacing w:after="0" w:line="250" w:lineRule="auto"/>
        <w:tabs>
          <w:tab w:leader="none" w:pos="1657" w:val="left"/>
        </w:tabs>
        <w:numPr>
          <w:ilvl w:val="1"/>
          <w:numId w:val="74"/>
        </w:numPr>
        <w:rPr>
          <w:rFonts w:ascii="Arial" w:cs="Arial" w:eastAsia="Arial" w:hAnsi="Arial"/>
          <w:sz w:val="22"/>
          <w:szCs w:val="22"/>
          <w:color w:val="auto"/>
        </w:rPr>
      </w:pPr>
      <w:r>
        <w:rPr>
          <w:rFonts w:ascii="Arial" w:cs="Arial" w:eastAsia="Arial" w:hAnsi="Arial"/>
          <w:sz w:val="22"/>
          <w:szCs w:val="22"/>
          <w:color w:val="auto"/>
        </w:rPr>
        <w:t>To the extent permitted by applicable law without any tax or penalty to Executive or any member of the Company Group and subject to Executive’s election of COBRA continuation coverage under the Company’s group health plan, for a period of eighteen (18) months following the date of termination of Executive’s employment, on the first regularly</w:t>
      </w:r>
    </w:p>
    <w:p>
      <w:pPr>
        <w:sectPr>
          <w:pgSz w:w="11900" w:h="16838" w:orient="portrait"/>
          <w:cols w:equalWidth="0" w:num="1">
            <w:col w:w="10200"/>
          </w:cols>
          <w:pgMar w:left="1440" w:top="591" w:right="259" w:bottom="1440" w:gutter="0" w:footer="0" w:header="0"/>
        </w:sectPr>
      </w:pPr>
    </w:p>
    <w:bookmarkStart w:id="140" w:name="page141"/>
    <w:bookmarkEnd w:id="140"/>
    <w:p>
      <w:pPr>
        <w:ind w:left="660" w:right="140"/>
        <w:spacing w:after="0" w:line="291" w:lineRule="auto"/>
        <w:rPr>
          <w:sz w:val="20"/>
          <w:szCs w:val="20"/>
          <w:color w:val="auto"/>
        </w:rPr>
      </w:pPr>
      <w:r>
        <w:rPr>
          <w:rFonts w:ascii="Arial" w:cs="Arial" w:eastAsia="Arial" w:hAnsi="Arial"/>
          <w:sz w:val="19"/>
          <w:szCs w:val="19"/>
          <w:color w:val="auto"/>
        </w:rPr>
        <w:t xml:space="preserve">scheduled payroll date of each month during such eighteen (18) month period, the Company will pay Executive an amount equal to the monthly COBRA premium cost for current coverage and ; </w:t>
      </w:r>
      <w:r>
        <w:rPr>
          <w:rFonts w:ascii="Arial" w:cs="Arial" w:eastAsia="Arial" w:hAnsi="Arial"/>
          <w:sz w:val="19"/>
          <w:szCs w:val="19"/>
          <w:i w:val="1"/>
          <w:iCs w:val="1"/>
          <w:color w:val="auto"/>
        </w:rPr>
        <w:t>provided</w:t>
      </w:r>
      <w:r>
        <w:rPr>
          <w:rFonts w:ascii="Arial" w:cs="Arial" w:eastAsia="Arial" w:hAnsi="Arial"/>
          <w:sz w:val="19"/>
          <w:szCs w:val="19"/>
          <w:color w:val="auto"/>
        </w:rPr>
        <w:t>, that the payments pursuant to this clause</w:t>
      </w:r>
    </w:p>
    <w:p>
      <w:pPr>
        <w:spacing w:after="0" w:line="1" w:lineRule="exact"/>
        <w:rPr>
          <w:sz w:val="20"/>
          <w:szCs w:val="20"/>
          <w:color w:val="auto"/>
        </w:rPr>
      </w:pPr>
    </w:p>
    <w:p>
      <w:pPr>
        <w:ind w:left="660" w:right="120" w:hanging="4"/>
        <w:spacing w:after="0" w:line="244" w:lineRule="auto"/>
        <w:tabs>
          <w:tab w:leader="none" w:pos="1026" w:val="left"/>
        </w:tabs>
        <w:numPr>
          <w:ilvl w:val="0"/>
          <w:numId w:val="75"/>
        </w:numPr>
        <w:rPr>
          <w:rFonts w:ascii="Arial" w:cs="Arial" w:eastAsia="Arial" w:hAnsi="Arial"/>
          <w:sz w:val="22"/>
          <w:szCs w:val="22"/>
          <w:color w:val="auto"/>
        </w:rPr>
      </w:pPr>
      <w:r>
        <w:rPr>
          <w:rFonts w:ascii="Arial" w:cs="Arial" w:eastAsia="Arial" w:hAnsi="Arial"/>
          <w:sz w:val="22"/>
          <w:szCs w:val="22"/>
          <w:color w:val="auto"/>
        </w:rPr>
        <w:t>shall cease earlier than the expiration of the eighteen (18) month period in the event that Executive becomes eligible to receive comparable health benefits through a new employer. In the event that the provision of the continued coverage described herein is legally prohibited, or could subject either the Company or Executive to any tax or penalty, after consulting with Executive, the Company shall be permitted to modify such coverage so as to comply with applicable law and avoid any such tax or penalty;</w:t>
      </w:r>
    </w:p>
    <w:p>
      <w:pPr>
        <w:spacing w:after="0" w:line="235" w:lineRule="exact"/>
        <w:rPr>
          <w:rFonts w:ascii="Arial" w:cs="Arial" w:eastAsia="Arial" w:hAnsi="Arial"/>
          <w:sz w:val="22"/>
          <w:szCs w:val="22"/>
          <w:color w:val="auto"/>
        </w:rPr>
      </w:pPr>
    </w:p>
    <w:p>
      <w:pPr>
        <w:ind w:left="660" w:firstLine="1293"/>
        <w:spacing w:after="0" w:line="292" w:lineRule="auto"/>
        <w:tabs>
          <w:tab w:leader="none" w:pos="2917" w:val="left"/>
        </w:tabs>
        <w:numPr>
          <w:ilvl w:val="1"/>
          <w:numId w:val="75"/>
        </w:numPr>
        <w:rPr>
          <w:rFonts w:ascii="Arial" w:cs="Arial" w:eastAsia="Arial" w:hAnsi="Arial"/>
          <w:sz w:val="19"/>
          <w:szCs w:val="19"/>
          <w:color w:val="auto"/>
        </w:rPr>
      </w:pPr>
      <w:r>
        <w:rPr>
          <w:rFonts w:ascii="Arial" w:cs="Arial" w:eastAsia="Arial" w:hAnsi="Arial"/>
          <w:sz w:val="19"/>
          <w:szCs w:val="19"/>
          <w:color w:val="auto"/>
        </w:rPr>
        <w:t xml:space="preserve">Any service-based vesting or service requirements with respect to any equity grant and other long-term incentive award previously granted to Executive and then outstanding that would have vested during a number of months following the date of termination of Executive’s employment equal to the Severance Multiplier multiplied by twelve (12) shall become vested and non-forfeitable as of the date of termination of Executive’s employment; </w:t>
      </w:r>
      <w:r>
        <w:rPr>
          <w:rFonts w:ascii="Arial" w:cs="Arial" w:eastAsia="Arial" w:hAnsi="Arial"/>
          <w:sz w:val="19"/>
          <w:szCs w:val="19"/>
          <w:i w:val="1"/>
          <w:iCs w:val="1"/>
          <w:color w:val="auto"/>
        </w:rPr>
        <w:t>provided</w:t>
      </w:r>
      <w:r>
        <w:rPr>
          <w:rFonts w:ascii="Arial" w:cs="Arial" w:eastAsia="Arial" w:hAnsi="Arial"/>
          <w:sz w:val="19"/>
          <w:szCs w:val="19"/>
          <w:color w:val="auto"/>
        </w:rPr>
        <w:t>, that in the event the termination of Executive’s employment follows a Change of Control, any service-based vesting or service requirements with respect to any equity grant and other long-term incentive award previously granted to Executive and then outstanding shall become fully vested and non-forfeitable as of the date of termination of Executive’s employment;</w:t>
      </w:r>
    </w:p>
    <w:p>
      <w:pPr>
        <w:spacing w:after="0" w:line="192" w:lineRule="exact"/>
        <w:rPr>
          <w:rFonts w:ascii="Arial" w:cs="Arial" w:eastAsia="Arial" w:hAnsi="Arial"/>
          <w:sz w:val="19"/>
          <w:szCs w:val="19"/>
          <w:color w:val="auto"/>
        </w:rPr>
      </w:pPr>
    </w:p>
    <w:p>
      <w:pPr>
        <w:ind w:left="660" w:right="40" w:firstLine="1293"/>
        <w:spacing w:after="0" w:line="292" w:lineRule="auto"/>
        <w:tabs>
          <w:tab w:leader="none" w:pos="2977" w:val="left"/>
        </w:tabs>
        <w:numPr>
          <w:ilvl w:val="1"/>
          <w:numId w:val="75"/>
        </w:numPr>
        <w:rPr>
          <w:rFonts w:ascii="Arial" w:cs="Arial" w:eastAsia="Arial" w:hAnsi="Arial"/>
          <w:sz w:val="19"/>
          <w:szCs w:val="19"/>
          <w:color w:val="auto"/>
        </w:rPr>
      </w:pPr>
      <w:r>
        <w:rPr>
          <w:rFonts w:ascii="Arial" w:cs="Arial" w:eastAsia="Arial" w:hAnsi="Arial"/>
          <w:sz w:val="19"/>
          <w:szCs w:val="19"/>
          <w:color w:val="auto"/>
        </w:rPr>
        <w:t>Any performance-based equity grant and other long-term incentive award previously granted to Executive and then outstanding that has not been earned as of the date of termination of Executive’s employment, shall remain outstanding through the last day of the applicable performance period, without regard for the termination of employment, and shall be earned at a pro-rata amount (based on the amount of time which elapsed from the commencement of the applicable performance period through the date of termination), based on the actual attainment of performance goals during the applicable performance period , and, in other respects, such awards shall be governed by the plans, programs, agreements, or other documents, as applicable, pursuant to which such awards were granted; and</w:t>
      </w:r>
    </w:p>
    <w:p>
      <w:pPr>
        <w:spacing w:after="0" w:line="192" w:lineRule="exact"/>
        <w:rPr>
          <w:rFonts w:ascii="Arial" w:cs="Arial" w:eastAsia="Arial" w:hAnsi="Arial"/>
          <w:sz w:val="19"/>
          <w:szCs w:val="19"/>
          <w:color w:val="auto"/>
        </w:rPr>
      </w:pPr>
    </w:p>
    <w:p>
      <w:pPr>
        <w:ind w:left="660" w:right="20" w:firstLine="1293"/>
        <w:spacing w:after="0" w:line="263" w:lineRule="auto"/>
        <w:tabs>
          <w:tab w:leader="none" w:pos="3037" w:val="left"/>
        </w:tabs>
        <w:numPr>
          <w:ilvl w:val="1"/>
          <w:numId w:val="75"/>
        </w:numPr>
        <w:rPr>
          <w:rFonts w:ascii="Arial" w:cs="Arial" w:eastAsia="Arial" w:hAnsi="Arial"/>
          <w:sz w:val="22"/>
          <w:szCs w:val="22"/>
          <w:color w:val="auto"/>
        </w:rPr>
      </w:pPr>
      <w:r>
        <w:rPr>
          <w:rFonts w:ascii="Arial" w:cs="Arial" w:eastAsia="Arial" w:hAnsi="Arial"/>
          <w:sz w:val="22"/>
          <w:szCs w:val="22"/>
          <w:color w:val="auto"/>
        </w:rPr>
        <w:t>Outplacement services at a level commensurate with Executive’s position in accordance with the Company’s practices as in effect from time to time.</w:t>
      </w:r>
    </w:p>
    <w:p>
      <w:pPr>
        <w:spacing w:after="0" w:line="215" w:lineRule="exact"/>
        <w:rPr>
          <w:sz w:val="20"/>
          <w:szCs w:val="20"/>
          <w:color w:val="auto"/>
        </w:rPr>
      </w:pPr>
    </w:p>
    <w:p>
      <w:pPr>
        <w:ind w:right="100"/>
        <w:spacing w:after="0" w:line="294" w:lineRule="auto"/>
        <w:rPr>
          <w:sz w:val="20"/>
          <w:szCs w:val="20"/>
          <w:color w:val="auto"/>
        </w:rPr>
      </w:pPr>
      <w:r>
        <w:rPr>
          <w:rFonts w:ascii="Arial" w:cs="Arial" w:eastAsia="Arial" w:hAnsi="Arial"/>
          <w:sz w:val="19"/>
          <w:szCs w:val="19"/>
          <w:color w:val="auto"/>
        </w:rPr>
        <w:t>Notwithstanding the foregoing, the payments and benefits described in clauses (ii), (iii), (iv) and (v) above shall immediately terminate, and the Company shall have no further obligations to Executive with respect thereto, in the event that Executive breaches any provision of the Non-Interference Agreement. Following such termination of Executive’s employment by the Company without Cause, except as set forth in this Section 8(d), Executive shall have no further rights to any compensation or any other benefits under this Agreement. For the avoidance of doubt, Executive’s sole and exclusive remedy upon a termination of employment by the Company without Cause shall be receipt of the Severance Benefits.</w:t>
      </w:r>
    </w:p>
    <w:p>
      <w:pPr>
        <w:spacing w:after="0" w:line="150" w:lineRule="exact"/>
        <w:rPr>
          <w:sz w:val="20"/>
          <w:szCs w:val="20"/>
          <w:color w:val="auto"/>
        </w:rPr>
      </w:pPr>
    </w:p>
    <w:p>
      <w:pPr>
        <w:ind w:right="140" w:firstLine="1305"/>
        <w:spacing w:after="0" w:line="259" w:lineRule="auto"/>
        <w:tabs>
          <w:tab w:leader="none" w:pos="2185" w:val="left"/>
        </w:tabs>
        <w:numPr>
          <w:ilvl w:val="0"/>
          <w:numId w:val="76"/>
        </w:numPr>
        <w:rPr>
          <w:rFonts w:ascii="Arial" w:cs="Arial" w:eastAsia="Arial" w:hAnsi="Arial"/>
          <w:sz w:val="21"/>
          <w:szCs w:val="21"/>
          <w:color w:val="auto"/>
        </w:rPr>
      </w:pPr>
      <w:r>
        <w:rPr>
          <w:rFonts w:ascii="Arial" w:cs="Arial" w:eastAsia="Arial" w:hAnsi="Arial"/>
          <w:sz w:val="21"/>
          <w:szCs w:val="21"/>
          <w:u w:val="single" w:color="auto"/>
          <w:color w:val="auto"/>
        </w:rPr>
        <w:t>Termination by Executive with Good Reason</w:t>
      </w:r>
      <w:r>
        <w:rPr>
          <w:rFonts w:ascii="Arial" w:cs="Arial" w:eastAsia="Arial" w:hAnsi="Arial"/>
          <w:sz w:val="21"/>
          <w:szCs w:val="21"/>
          <w:color w:val="auto"/>
        </w:rPr>
        <w:t>. Executive may terminate his employment with Good Reason by providing the Company thirty (30) days’ written notice setting forth in reasonable specificity the event that constitutes Good Reason, which written notice, to be effective, must be provided to the Company within ninety (90) days of Executives knowledge of occurrence of such event. During such thirty (30) day notice period, the Company shall have a cure right, and if not cured within such period, Executive’s termination will be effective upon the expiration of such cure period, and Executive shall be entitled to the same payments and benefits as provided in Section 8(d) hereof for a termination by the Company without Cause, subject to the same conditions on payment and benefits as described in Section 8(d) hereof. Following such termination of Executive’s employment by Executive</w:t>
      </w:r>
    </w:p>
    <w:p>
      <w:pPr>
        <w:sectPr>
          <w:pgSz w:w="11900" w:h="16838" w:orient="portrait"/>
          <w:cols w:equalWidth="0" w:num="1">
            <w:col w:w="11420"/>
          </w:cols>
          <w:pgMar w:left="240" w:top="591" w:right="239" w:bottom="1440" w:gutter="0" w:footer="0" w:header="0"/>
        </w:sectPr>
      </w:pPr>
    </w:p>
    <w:bookmarkStart w:id="141" w:name="page142"/>
    <w:bookmarkEnd w:id="141"/>
    <w:p>
      <w:pPr>
        <w:ind w:right="140"/>
        <w:spacing w:after="0" w:line="253" w:lineRule="auto"/>
        <w:rPr>
          <w:sz w:val="20"/>
          <w:szCs w:val="20"/>
          <w:color w:val="auto"/>
        </w:rPr>
      </w:pPr>
      <w:r>
        <w:rPr>
          <w:rFonts w:ascii="Arial" w:cs="Arial" w:eastAsia="Arial" w:hAnsi="Arial"/>
          <w:sz w:val="22"/>
          <w:szCs w:val="22"/>
          <w:color w:val="auto"/>
        </w:rPr>
        <w:t>with Good Reason, except as set forth in this Section 8(e), Executive shall have no further rights to any compensation or any other benefits under this Agreement. For the avoidance of doubt, Executive’s sole and exclusive remedy upon a termination of employment with Good Reason shall be receipt of the Severance Benefits.</w:t>
      </w:r>
    </w:p>
    <w:p>
      <w:pPr>
        <w:spacing w:after="0" w:line="226" w:lineRule="exact"/>
        <w:rPr>
          <w:sz w:val="20"/>
          <w:szCs w:val="20"/>
          <w:color w:val="auto"/>
        </w:rPr>
      </w:pPr>
    </w:p>
    <w:p>
      <w:pPr>
        <w:ind w:right="20" w:firstLine="1305"/>
        <w:spacing w:after="0" w:line="292" w:lineRule="auto"/>
        <w:tabs>
          <w:tab w:leader="none" w:pos="2161"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Termination by Executive without Good Reason</w:t>
      </w:r>
      <w:r>
        <w:rPr>
          <w:rFonts w:ascii="Arial" w:cs="Arial" w:eastAsia="Arial" w:hAnsi="Arial"/>
          <w:sz w:val="19"/>
          <w:szCs w:val="19"/>
          <w:color w:val="auto"/>
        </w:rPr>
        <w:t>. Executive may terminate his employment without Good Reason by providing the Company thirty (30) days’ written notice of such termination. In the event of a termination of employment by Executive under this Section 8(f), Executive shall be entitled only to the Accrued Obligations. In the event of termination of Executive’s employment under this Section 8(f), the Company may, in its sole and absolute discretion, by written notice accelerate such date of termination without changing the characterization of such termination as a termination by Executive without Good Reason. Following such termination of Executive’s employment by Executive without Good Reason, except as set forth in this Section 8(f), Executive shall have no further rights to any compensation or any other benefits under this Agreement.</w:t>
      </w:r>
    </w:p>
    <w:p>
      <w:pPr>
        <w:spacing w:after="0" w:line="192" w:lineRule="exact"/>
        <w:rPr>
          <w:rFonts w:ascii="Arial" w:cs="Arial" w:eastAsia="Arial" w:hAnsi="Arial"/>
          <w:sz w:val="19"/>
          <w:szCs w:val="19"/>
          <w:color w:val="auto"/>
        </w:rPr>
      </w:pPr>
    </w:p>
    <w:p>
      <w:pPr>
        <w:ind w:firstLine="1305"/>
        <w:spacing w:after="0" w:line="312" w:lineRule="auto"/>
        <w:tabs>
          <w:tab w:leader="none" w:pos="2197"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Employment following Expiration of the Term</w:t>
      </w:r>
      <w:r>
        <w:rPr>
          <w:rFonts w:ascii="Arial" w:cs="Arial" w:eastAsia="Arial" w:hAnsi="Arial"/>
          <w:sz w:val="19"/>
          <w:szCs w:val="19"/>
          <w:color w:val="auto"/>
        </w:rPr>
        <w:t>. If Executive’s employment with the Company continues beyond the expiration of the Term, Executive shall be considered an “at-will” employee and shall not be entitled to any payments or benefits under this Agreement upon any subsequent termination of employment for any reason whatsoever.</w:t>
      </w:r>
    </w:p>
    <w:p>
      <w:pPr>
        <w:spacing w:after="0" w:line="174" w:lineRule="exact"/>
        <w:rPr>
          <w:rFonts w:ascii="Arial" w:cs="Arial" w:eastAsia="Arial" w:hAnsi="Arial"/>
          <w:sz w:val="19"/>
          <w:szCs w:val="19"/>
          <w:color w:val="auto"/>
        </w:rPr>
      </w:pPr>
    </w:p>
    <w:p>
      <w:pPr>
        <w:ind w:right="60" w:firstLine="1305"/>
        <w:spacing w:after="0" w:line="291" w:lineRule="auto"/>
        <w:tabs>
          <w:tab w:leader="none" w:pos="2197"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Release</w:t>
      </w:r>
      <w:r>
        <w:rPr>
          <w:rFonts w:ascii="Arial" w:cs="Arial" w:eastAsia="Arial" w:hAnsi="Arial"/>
          <w:sz w:val="19"/>
          <w:szCs w:val="19"/>
          <w:color w:val="auto"/>
        </w:rPr>
        <w:t>. Notwithstanding any provision herein to the contrary, the payment of any amount or provision of any benefit pursuant to subsection (b), (d), or (e) of this Section 8 (other than the Accrued Obligations) (collectively,</w:t>
      </w:r>
    </w:p>
    <w:p>
      <w:pPr>
        <w:spacing w:after="0" w:line="1" w:lineRule="exact"/>
        <w:rPr>
          <w:rFonts w:ascii="Arial" w:cs="Arial" w:eastAsia="Arial" w:hAnsi="Arial"/>
          <w:sz w:val="19"/>
          <w:szCs w:val="19"/>
          <w:color w:val="auto"/>
        </w:rPr>
      </w:pPr>
    </w:p>
    <w:p>
      <w:pPr>
        <w:ind w:right="20"/>
        <w:spacing w:after="0" w:line="257" w:lineRule="auto"/>
        <w:rPr>
          <w:rFonts w:ascii="Arial" w:cs="Arial" w:eastAsia="Arial" w:hAnsi="Arial"/>
          <w:sz w:val="19"/>
          <w:szCs w:val="19"/>
          <w:color w:val="auto"/>
        </w:rPr>
      </w:pPr>
      <w:r>
        <w:rPr>
          <w:rFonts w:ascii="Arial" w:cs="Arial" w:eastAsia="Arial" w:hAnsi="Arial"/>
          <w:sz w:val="20"/>
          <w:szCs w:val="20"/>
          <w:color w:val="auto"/>
        </w:rPr>
        <w:t>the “</w:t>
      </w:r>
      <w:r>
        <w:rPr>
          <w:rFonts w:ascii="Arial" w:cs="Arial" w:eastAsia="Arial" w:hAnsi="Arial"/>
          <w:sz w:val="20"/>
          <w:szCs w:val="20"/>
          <w:u w:val="single" w:color="auto"/>
          <w:color w:val="auto"/>
        </w:rPr>
        <w:t>Severance Benefits</w:t>
      </w:r>
      <w:r>
        <w:rPr>
          <w:rFonts w:ascii="Arial" w:cs="Arial" w:eastAsia="Arial" w:hAnsi="Arial"/>
          <w:sz w:val="20"/>
          <w:szCs w:val="20"/>
          <w:color w:val="auto"/>
        </w:rPr>
        <w:t>”) shall be conditioned upon Executive’s execution, delivery to the Company, and non-revocation of the Release of Claims (and the expiration of any revocation period contained in such Release of Claims) within sixty (60) days following the date of Executive’s termination of employment hereunder. If Executive fails to execute the Release of Claims in such a timely manner so as to permit any revocation period to expire prior to the end of such sixty (60) day period, or timely revokes his acceptance of such release following its execution, Executive shall not be entitled to any of the Severance Benefits. Further, to the extent that any of the Severance Benefits constitutes “nonqualified deferred compensation” for purposes of Section 409A of the Code, any payment of any amount or provision of any benefit otherwise scheduled to occur prior to the sixtieth (60</w:t>
      </w:r>
      <w:r>
        <w:rPr>
          <w:rFonts w:ascii="Arial" w:cs="Arial" w:eastAsia="Arial" w:hAnsi="Arial"/>
          <w:sz w:val="26"/>
          <w:szCs w:val="26"/>
          <w:color w:val="auto"/>
          <w:vertAlign w:val="superscript"/>
        </w:rPr>
        <w:t>th</w:t>
      </w:r>
      <w:r>
        <w:rPr>
          <w:rFonts w:ascii="Arial" w:cs="Arial" w:eastAsia="Arial" w:hAnsi="Arial"/>
          <w:sz w:val="20"/>
          <w:szCs w:val="20"/>
          <w:color w:val="auto"/>
        </w:rPr>
        <w:t>) day following the date of Executive’s termination of employment hereunder, but for the condition on executing the Release of Claims as set forth herein, shall not be made until the first regularly scheduled payroll date following such sixtieth (60</w:t>
      </w:r>
      <w:r>
        <w:rPr>
          <w:rFonts w:ascii="Arial" w:cs="Arial" w:eastAsia="Arial" w:hAnsi="Arial"/>
          <w:sz w:val="26"/>
          <w:szCs w:val="26"/>
          <w:color w:val="auto"/>
          <w:vertAlign w:val="superscript"/>
        </w:rPr>
        <w:t>th</w:t>
      </w:r>
      <w:r>
        <w:rPr>
          <w:rFonts w:ascii="Arial" w:cs="Arial" w:eastAsia="Arial" w:hAnsi="Arial"/>
          <w:sz w:val="20"/>
          <w:szCs w:val="20"/>
          <w:color w:val="auto"/>
        </w:rPr>
        <w:t>) day, after which any remaining Severance Benefits shall thereafter be provided to Executive according to the applicable schedule set forth herein. For the avoidance of doubt, in the event of a termination due to Executive’s death or Disability, Executive’s obligations herein to execute and not revoke the Release of Claims may be satisfied on his behalf by his estate or a person having legal power of attorney over his affairs.</w:t>
      </w:r>
    </w:p>
    <w:p>
      <w:pPr>
        <w:spacing w:after="0" w:line="219" w:lineRule="exact"/>
        <w:rPr>
          <w:sz w:val="20"/>
          <w:szCs w:val="20"/>
          <w:color w:val="auto"/>
        </w:rPr>
      </w:pPr>
    </w:p>
    <w:p>
      <w:pPr>
        <w:ind w:left="660"/>
        <w:spacing w:after="0"/>
        <w:tabs>
          <w:tab w:leader="none" w:pos="2820" w:val="left"/>
        </w:tabs>
        <w:rPr>
          <w:sz w:val="20"/>
          <w:szCs w:val="20"/>
          <w:color w:val="auto"/>
        </w:rPr>
      </w:pPr>
      <w:r>
        <w:rPr>
          <w:rFonts w:ascii="Arial" w:cs="Arial" w:eastAsia="Arial" w:hAnsi="Arial"/>
          <w:sz w:val="22"/>
          <w:szCs w:val="22"/>
          <w:b w:val="1"/>
          <w:bCs w:val="1"/>
          <w:color w:val="auto"/>
        </w:rPr>
        <w:t>Section 9.</w:t>
      </w:r>
      <w:r>
        <w:rPr>
          <w:sz w:val="20"/>
          <w:szCs w:val="20"/>
          <w:color w:val="auto"/>
        </w:rPr>
        <w:tab/>
      </w:r>
      <w:r>
        <w:rPr>
          <w:rFonts w:ascii="Arial" w:cs="Arial" w:eastAsia="Arial" w:hAnsi="Arial"/>
          <w:sz w:val="19"/>
          <w:szCs w:val="19"/>
          <w:b w:val="1"/>
          <w:bCs w:val="1"/>
          <w:color w:val="auto"/>
        </w:rPr>
        <w:t>Non-Interference Agreement.</w:t>
      </w:r>
    </w:p>
    <w:p>
      <w:pPr>
        <w:spacing w:after="0" w:line="266" w:lineRule="exact"/>
        <w:rPr>
          <w:sz w:val="20"/>
          <w:szCs w:val="20"/>
          <w:color w:val="auto"/>
        </w:rPr>
      </w:pPr>
    </w:p>
    <w:p>
      <w:pPr>
        <w:ind w:right="220" w:firstLine="648"/>
        <w:spacing w:after="0" w:line="250" w:lineRule="auto"/>
        <w:rPr>
          <w:sz w:val="20"/>
          <w:szCs w:val="20"/>
          <w:color w:val="auto"/>
        </w:rPr>
      </w:pPr>
      <w:r>
        <w:rPr>
          <w:rFonts w:ascii="Arial" w:cs="Arial" w:eastAsia="Arial" w:hAnsi="Arial"/>
          <w:sz w:val="22"/>
          <w:szCs w:val="22"/>
          <w:color w:val="auto"/>
        </w:rPr>
        <w:t>As a condition of, and prior to commencement of, Executive’s employment with the Company, Executive shall have executed and delivered to the Company the Non-Interference Agreement. The parties hereto acknowledge and agree that this Agreement and the Non-Interference Agreement shall be considered separate contracts, and the Non-Interference Agreement will survive the termination of this Agreement for any reason.</w:t>
      </w:r>
    </w:p>
    <w:p>
      <w:pPr>
        <w:sectPr>
          <w:pgSz w:w="11900" w:h="16838" w:orient="portrait"/>
          <w:cols w:equalWidth="0" w:num="1">
            <w:col w:w="11420"/>
          </w:cols>
          <w:pgMar w:left="240" w:top="591" w:right="239" w:bottom="1440" w:gutter="0" w:footer="0" w:header="0"/>
        </w:sectPr>
      </w:pPr>
    </w:p>
    <w:bookmarkStart w:id="142" w:name="page143"/>
    <w:bookmarkEnd w:id="142"/>
    <w:p>
      <w:pPr>
        <w:ind w:left="660"/>
        <w:spacing w:after="0"/>
        <w:tabs>
          <w:tab w:leader="none" w:pos="2920" w:val="left"/>
        </w:tabs>
        <w:rPr>
          <w:sz w:val="20"/>
          <w:szCs w:val="20"/>
          <w:color w:val="auto"/>
        </w:rPr>
      </w:pPr>
      <w:r>
        <w:rPr>
          <w:rFonts w:ascii="Arial" w:cs="Arial" w:eastAsia="Arial" w:hAnsi="Arial"/>
          <w:sz w:val="22"/>
          <w:szCs w:val="22"/>
          <w:b w:val="1"/>
          <w:bCs w:val="1"/>
          <w:color w:val="auto"/>
        </w:rPr>
        <w:t>Section 10.</w:t>
      </w:r>
      <w:r>
        <w:rPr>
          <w:sz w:val="20"/>
          <w:szCs w:val="20"/>
          <w:color w:val="auto"/>
        </w:rPr>
        <w:tab/>
      </w:r>
      <w:r>
        <w:rPr>
          <w:rFonts w:ascii="Arial" w:cs="Arial" w:eastAsia="Arial" w:hAnsi="Arial"/>
          <w:sz w:val="19"/>
          <w:szCs w:val="19"/>
          <w:b w:val="1"/>
          <w:bCs w:val="1"/>
          <w:color w:val="auto"/>
        </w:rPr>
        <w:t>Representations and Warranties of Executive.</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Executive represents and warrants to the Company that-</w:t>
      </w:r>
    </w:p>
    <w:p>
      <w:pPr>
        <w:spacing w:after="0" w:line="220" w:lineRule="exact"/>
        <w:rPr>
          <w:sz w:val="20"/>
          <w:szCs w:val="20"/>
          <w:color w:val="auto"/>
        </w:rPr>
      </w:pPr>
    </w:p>
    <w:p>
      <w:pPr>
        <w:jc w:val="both"/>
        <w:ind w:right="20" w:firstLine="1305"/>
        <w:spacing w:after="0" w:line="253" w:lineRule="auto"/>
        <w:tabs>
          <w:tab w:leader="none" w:pos="2185" w:val="left"/>
        </w:tabs>
        <w:numPr>
          <w:ilvl w:val="0"/>
          <w:numId w:val="78"/>
        </w:numPr>
        <w:rPr>
          <w:rFonts w:ascii="Arial" w:cs="Arial" w:eastAsia="Arial" w:hAnsi="Arial"/>
          <w:sz w:val="22"/>
          <w:szCs w:val="22"/>
          <w:color w:val="auto"/>
        </w:rPr>
      </w:pPr>
      <w:r>
        <w:rPr>
          <w:rFonts w:ascii="Arial" w:cs="Arial" w:eastAsia="Arial" w:hAnsi="Arial"/>
          <w:sz w:val="22"/>
          <w:szCs w:val="22"/>
          <w:color w:val="auto"/>
        </w:rPr>
        <w:t>Executive is entering into this Agreement voluntarily and that his employment hereunder and compliance with the terms and conditions hereof will not conflict with or result in the breach by him of any agreement to which he is a party or by which he may be bound;</w:t>
      </w:r>
    </w:p>
    <w:p>
      <w:pPr>
        <w:spacing w:after="0" w:line="226" w:lineRule="exact"/>
        <w:rPr>
          <w:rFonts w:ascii="Arial" w:cs="Arial" w:eastAsia="Arial" w:hAnsi="Arial"/>
          <w:sz w:val="22"/>
          <w:szCs w:val="22"/>
          <w:color w:val="auto"/>
        </w:rPr>
      </w:pPr>
    </w:p>
    <w:p>
      <w:pPr>
        <w:ind w:right="20" w:firstLine="1305"/>
        <w:spacing w:after="0" w:line="253" w:lineRule="auto"/>
        <w:tabs>
          <w:tab w:leader="none" w:pos="2197" w:val="left"/>
        </w:tabs>
        <w:numPr>
          <w:ilvl w:val="0"/>
          <w:numId w:val="78"/>
        </w:numPr>
        <w:rPr>
          <w:rFonts w:ascii="Arial" w:cs="Arial" w:eastAsia="Arial" w:hAnsi="Arial"/>
          <w:sz w:val="22"/>
          <w:szCs w:val="22"/>
          <w:color w:val="auto"/>
        </w:rPr>
      </w:pPr>
      <w:r>
        <w:rPr>
          <w:rFonts w:ascii="Arial" w:cs="Arial" w:eastAsia="Arial" w:hAnsi="Arial"/>
          <w:sz w:val="22"/>
          <w:szCs w:val="22"/>
          <w:color w:val="auto"/>
        </w:rPr>
        <w:t>Executive has not violated, and in connection with his employment with the Company will not violate, any non-solicitation, non-competition, or other similar covenant or agreement of a prior employer by which he is or may be bound; and</w:t>
      </w:r>
    </w:p>
    <w:p>
      <w:pPr>
        <w:spacing w:after="0" w:line="226" w:lineRule="exact"/>
        <w:rPr>
          <w:rFonts w:ascii="Arial" w:cs="Arial" w:eastAsia="Arial" w:hAnsi="Arial"/>
          <w:sz w:val="22"/>
          <w:szCs w:val="22"/>
          <w:color w:val="auto"/>
        </w:rPr>
      </w:pPr>
    </w:p>
    <w:p>
      <w:pPr>
        <w:ind w:right="760" w:firstLine="1305"/>
        <w:spacing w:after="0" w:line="343" w:lineRule="auto"/>
        <w:tabs>
          <w:tab w:leader="none" w:pos="2185" w:val="left"/>
        </w:tabs>
        <w:numPr>
          <w:ilvl w:val="0"/>
          <w:numId w:val="78"/>
        </w:numPr>
        <w:rPr>
          <w:rFonts w:ascii="Arial" w:cs="Arial" w:eastAsia="Arial" w:hAnsi="Arial"/>
          <w:sz w:val="19"/>
          <w:szCs w:val="19"/>
          <w:color w:val="auto"/>
        </w:rPr>
      </w:pPr>
      <w:r>
        <w:rPr>
          <w:rFonts w:ascii="Arial" w:cs="Arial" w:eastAsia="Arial" w:hAnsi="Arial"/>
          <w:sz w:val="19"/>
          <w:szCs w:val="19"/>
          <w:color w:val="auto"/>
        </w:rPr>
        <w:t>in connection with his employment with the Company, Executive will not use any confidential or proprietary information he may have obtained in connection with employment with any prior employer.</w:t>
      </w:r>
    </w:p>
    <w:p>
      <w:pPr>
        <w:spacing w:after="0" w:line="139" w:lineRule="exact"/>
        <w:rPr>
          <w:sz w:val="20"/>
          <w:szCs w:val="20"/>
          <w:color w:val="auto"/>
        </w:rPr>
      </w:pPr>
    </w:p>
    <w:p>
      <w:pPr>
        <w:ind w:left="660"/>
        <w:spacing w:after="0"/>
        <w:tabs>
          <w:tab w:leader="none" w:pos="2920" w:val="left"/>
        </w:tabs>
        <w:rPr>
          <w:sz w:val="20"/>
          <w:szCs w:val="20"/>
          <w:color w:val="auto"/>
        </w:rPr>
      </w:pPr>
      <w:r>
        <w:rPr>
          <w:rFonts w:ascii="Arial" w:cs="Arial" w:eastAsia="Arial" w:hAnsi="Arial"/>
          <w:sz w:val="22"/>
          <w:szCs w:val="22"/>
          <w:b w:val="1"/>
          <w:bCs w:val="1"/>
          <w:color w:val="auto"/>
        </w:rPr>
        <w:t>Section 11.</w:t>
      </w:r>
      <w:r>
        <w:rPr>
          <w:sz w:val="20"/>
          <w:szCs w:val="20"/>
          <w:color w:val="auto"/>
        </w:rPr>
        <w:tab/>
      </w:r>
      <w:r>
        <w:rPr>
          <w:rFonts w:ascii="Arial" w:cs="Arial" w:eastAsia="Arial" w:hAnsi="Arial"/>
          <w:sz w:val="18"/>
          <w:szCs w:val="18"/>
          <w:b w:val="1"/>
          <w:bCs w:val="1"/>
          <w:color w:val="auto"/>
        </w:rPr>
        <w:t>Taxes.</w:t>
      </w:r>
    </w:p>
    <w:p>
      <w:pPr>
        <w:spacing w:after="0" w:line="266" w:lineRule="exact"/>
        <w:rPr>
          <w:sz w:val="20"/>
          <w:szCs w:val="20"/>
          <w:color w:val="auto"/>
        </w:rPr>
      </w:pPr>
    </w:p>
    <w:p>
      <w:pPr>
        <w:ind w:right="60" w:firstLine="648"/>
        <w:spacing w:after="0" w:line="297" w:lineRule="auto"/>
        <w:rPr>
          <w:sz w:val="20"/>
          <w:szCs w:val="20"/>
          <w:color w:val="auto"/>
        </w:rPr>
      </w:pPr>
      <w:r>
        <w:rPr>
          <w:rFonts w:ascii="Arial" w:cs="Arial" w:eastAsia="Arial" w:hAnsi="Arial"/>
          <w:sz w:val="19"/>
          <w:szCs w:val="19"/>
          <w:color w:val="auto"/>
        </w:rPr>
        <w:t>The Company may withhold from any payments made under this Agreement all applicable taxes, including but not limited to income, employment, and social insurance taxes, as shall be required by law. Executive acknowledges and represents that the Company has not provided any tax advice to him in connection with this Agreement and that he has been advised by the Company to seek tax advice from his own tax advisors regarding this Agreement and payments that may be made to him pursuant to this Agreement, including specifically, the application of the provisions of Section 409A of the Code to such payments.</w:t>
      </w:r>
    </w:p>
    <w:p>
      <w:pPr>
        <w:spacing w:after="0" w:line="141" w:lineRule="exact"/>
        <w:rPr>
          <w:sz w:val="20"/>
          <w:szCs w:val="20"/>
          <w:color w:val="auto"/>
        </w:rPr>
      </w:pPr>
    </w:p>
    <w:p>
      <w:pPr>
        <w:ind w:left="660"/>
        <w:spacing w:after="0"/>
        <w:tabs>
          <w:tab w:leader="none" w:pos="2920" w:val="left"/>
        </w:tabs>
        <w:rPr>
          <w:sz w:val="20"/>
          <w:szCs w:val="20"/>
          <w:color w:val="auto"/>
        </w:rPr>
      </w:pPr>
      <w:r>
        <w:rPr>
          <w:rFonts w:ascii="Arial" w:cs="Arial" w:eastAsia="Arial" w:hAnsi="Arial"/>
          <w:sz w:val="22"/>
          <w:szCs w:val="22"/>
          <w:b w:val="1"/>
          <w:bCs w:val="1"/>
          <w:color w:val="auto"/>
        </w:rPr>
        <w:t>Section 12.</w:t>
      </w:r>
      <w:r>
        <w:rPr>
          <w:sz w:val="20"/>
          <w:szCs w:val="20"/>
          <w:color w:val="auto"/>
        </w:rPr>
        <w:tab/>
      </w:r>
      <w:r>
        <w:rPr>
          <w:rFonts w:ascii="Arial" w:cs="Arial" w:eastAsia="Arial" w:hAnsi="Arial"/>
          <w:sz w:val="19"/>
          <w:szCs w:val="19"/>
          <w:b w:val="1"/>
          <w:bCs w:val="1"/>
          <w:color w:val="auto"/>
        </w:rPr>
        <w:t>Set Off; Mitigation.</w:t>
      </w:r>
    </w:p>
    <w:p>
      <w:pPr>
        <w:spacing w:after="0" w:line="266"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 xml:space="preserve">The Company’s obligation to pay Executive the amounts provided and to make the arrangements provided hereunder shall be subject to set-off, counterclaim, or recoupment of amounts owed by Executive to the Company or its affiliates;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to the extent any amount so subject to set-off, counterclaim, or recoupment is payable in installments hereunder, such</w:t>
      </w:r>
      <w:r>
        <w:rPr>
          <w:rFonts w:ascii="Arial" w:cs="Arial" w:eastAsia="Arial" w:hAnsi="Arial"/>
          <w:sz w:val="19"/>
          <w:szCs w:val="19"/>
          <w:i w:val="1"/>
          <w:iCs w:val="1"/>
          <w:color w:val="auto"/>
        </w:rPr>
        <w:t xml:space="preserve"> </w:t>
      </w:r>
      <w:r>
        <w:rPr>
          <w:rFonts w:ascii="Arial" w:cs="Arial" w:eastAsia="Arial" w:hAnsi="Arial"/>
          <w:sz w:val="19"/>
          <w:szCs w:val="19"/>
          <w:color w:val="auto"/>
        </w:rPr>
        <w:t>set-off, counterclaim, or recoupment shall not modify the applicable payment date of any installment, and to the extent an obligation cannot be satisfied by reduction of a single installment payment, any portion not satisfied shall remain an outstanding obligation of Executive and shall be applied to the next installment only at such time the installment is otherwise payable pursuant to the specified payment schedule. Executive shall not be required to mitigate the amount of any payment or benefit provided pursuant to this Agreement by seeking other employment or otherwise, and except as provided in Section 8(d)(iv) hereof, the amount of any payment or benefit provided for pursuant to this Agreement shall not be reduced by any compensation earned as a result of Executive’s other employment or otherwise.</w:t>
      </w:r>
    </w:p>
    <w:p>
      <w:pPr>
        <w:spacing w:after="0" w:line="154" w:lineRule="exact"/>
        <w:rPr>
          <w:sz w:val="20"/>
          <w:szCs w:val="20"/>
          <w:color w:val="auto"/>
        </w:rPr>
      </w:pPr>
    </w:p>
    <w:p>
      <w:pPr>
        <w:ind w:left="660"/>
        <w:spacing w:after="0"/>
        <w:tabs>
          <w:tab w:leader="none" w:pos="2920" w:val="left"/>
        </w:tabs>
        <w:rPr>
          <w:sz w:val="20"/>
          <w:szCs w:val="20"/>
          <w:color w:val="auto"/>
        </w:rPr>
      </w:pPr>
      <w:r>
        <w:rPr>
          <w:rFonts w:ascii="Arial" w:cs="Arial" w:eastAsia="Arial" w:hAnsi="Arial"/>
          <w:sz w:val="22"/>
          <w:szCs w:val="22"/>
          <w:b w:val="1"/>
          <w:bCs w:val="1"/>
          <w:color w:val="auto"/>
        </w:rPr>
        <w:t>Section 13.</w:t>
      </w:r>
      <w:r>
        <w:rPr>
          <w:sz w:val="20"/>
          <w:szCs w:val="20"/>
          <w:color w:val="auto"/>
        </w:rPr>
        <w:tab/>
      </w:r>
      <w:r>
        <w:rPr>
          <w:rFonts w:ascii="Arial" w:cs="Arial" w:eastAsia="Arial" w:hAnsi="Arial"/>
          <w:sz w:val="19"/>
          <w:szCs w:val="19"/>
          <w:b w:val="1"/>
          <w:bCs w:val="1"/>
          <w:color w:val="auto"/>
        </w:rPr>
        <w:t>Additional Section 409A Provisions.</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Notwithstanding any provision in this Agreement to the contrary-</w:t>
      </w:r>
    </w:p>
    <w:p>
      <w:pPr>
        <w:spacing w:after="0" w:line="220" w:lineRule="exact"/>
        <w:rPr>
          <w:sz w:val="20"/>
          <w:szCs w:val="20"/>
          <w:color w:val="auto"/>
        </w:rPr>
      </w:pPr>
    </w:p>
    <w:p>
      <w:pPr>
        <w:ind w:right="100" w:firstLine="1305"/>
        <w:spacing w:after="0" w:line="248" w:lineRule="auto"/>
        <w:tabs>
          <w:tab w:leader="none" w:pos="2185" w:val="left"/>
        </w:tabs>
        <w:numPr>
          <w:ilvl w:val="0"/>
          <w:numId w:val="79"/>
        </w:numPr>
        <w:rPr>
          <w:rFonts w:ascii="Arial" w:cs="Arial" w:eastAsia="Arial" w:hAnsi="Arial"/>
          <w:sz w:val="22"/>
          <w:szCs w:val="22"/>
          <w:color w:val="auto"/>
        </w:rPr>
      </w:pPr>
      <w:r>
        <w:rPr>
          <w:rFonts w:ascii="Arial" w:cs="Arial" w:eastAsia="Arial" w:hAnsi="Arial"/>
          <w:sz w:val="22"/>
          <w:szCs w:val="22"/>
          <w:color w:val="auto"/>
        </w:rPr>
        <w:t>Any payment otherwise required to be made hereunder to Executive at any date as a result of the termination of Executive’s employment shall be delayed for such period of time as may be necessary to meet the requirements of Section 409A(a)(2)(B)(i) of the Code (the ”</w:t>
      </w:r>
      <w:r>
        <w:rPr>
          <w:rFonts w:ascii="Arial" w:cs="Arial" w:eastAsia="Arial" w:hAnsi="Arial"/>
          <w:sz w:val="22"/>
          <w:szCs w:val="22"/>
          <w:u w:val="single" w:color="auto"/>
          <w:color w:val="auto"/>
        </w:rPr>
        <w:t>Delay Period</w:t>
      </w:r>
      <w:r>
        <w:rPr>
          <w:rFonts w:ascii="Arial" w:cs="Arial" w:eastAsia="Arial" w:hAnsi="Arial"/>
          <w:sz w:val="22"/>
          <w:szCs w:val="22"/>
          <w:color w:val="auto"/>
        </w:rPr>
        <w:t>”). On the first business day following the expiration of the Delay Period, Executive shall be paid, in a single cash lump sum, an amount equal to the aggregate amount of all payments delayed pursuant to the preceding</w:t>
      </w:r>
    </w:p>
    <w:p>
      <w:pPr>
        <w:sectPr>
          <w:pgSz w:w="11900" w:h="16838" w:orient="portrait"/>
          <w:cols w:equalWidth="0" w:num="1">
            <w:col w:w="11360"/>
          </w:cols>
          <w:pgMar w:left="240" w:top="585" w:right="299" w:bottom="1440" w:gutter="0" w:footer="0" w:header="0"/>
        </w:sectPr>
      </w:pPr>
    </w:p>
    <w:bookmarkStart w:id="143" w:name="page144"/>
    <w:bookmarkEnd w:id="143"/>
    <w:p>
      <w:pPr>
        <w:spacing w:after="0"/>
        <w:rPr>
          <w:sz w:val="20"/>
          <w:szCs w:val="20"/>
          <w:color w:val="auto"/>
        </w:rPr>
      </w:pPr>
      <w:r>
        <w:rPr>
          <w:rFonts w:ascii="Arial" w:cs="Arial" w:eastAsia="Arial" w:hAnsi="Arial"/>
          <w:sz w:val="19"/>
          <w:szCs w:val="19"/>
          <w:color w:val="auto"/>
        </w:rPr>
        <w:t>sentence, and any remaining payments not so delayed shall continue to be paid pursuant to the payment schedule set forth herein.</w:t>
      </w:r>
    </w:p>
    <w:p>
      <w:pPr>
        <w:spacing w:after="0" w:line="295" w:lineRule="exact"/>
        <w:rPr>
          <w:sz w:val="20"/>
          <w:szCs w:val="20"/>
          <w:color w:val="auto"/>
        </w:rPr>
      </w:pPr>
    </w:p>
    <w:p>
      <w:pPr>
        <w:ind w:right="20" w:firstLine="1305"/>
        <w:spacing w:after="0" w:line="263" w:lineRule="auto"/>
        <w:tabs>
          <w:tab w:leader="none" w:pos="2197" w:val="left"/>
        </w:tabs>
        <w:numPr>
          <w:ilvl w:val="0"/>
          <w:numId w:val="80"/>
        </w:numPr>
        <w:rPr>
          <w:rFonts w:ascii="Arial" w:cs="Arial" w:eastAsia="Arial" w:hAnsi="Arial"/>
          <w:sz w:val="22"/>
          <w:szCs w:val="22"/>
          <w:color w:val="auto"/>
        </w:rPr>
      </w:pPr>
      <w:r>
        <w:rPr>
          <w:rFonts w:ascii="Arial" w:cs="Arial" w:eastAsia="Arial" w:hAnsi="Arial"/>
          <w:sz w:val="22"/>
          <w:szCs w:val="22"/>
          <w:color w:val="auto"/>
        </w:rPr>
        <w:t>Each payment in a series of payments hereunder shall be deemed to be a separate payment for purposes of Section 409A of the Code.</w:t>
      </w:r>
    </w:p>
    <w:p>
      <w:pPr>
        <w:spacing w:after="0" w:line="215" w:lineRule="exact"/>
        <w:rPr>
          <w:rFonts w:ascii="Arial" w:cs="Arial" w:eastAsia="Arial" w:hAnsi="Arial"/>
          <w:sz w:val="22"/>
          <w:szCs w:val="22"/>
          <w:color w:val="auto"/>
        </w:rPr>
      </w:pPr>
    </w:p>
    <w:p>
      <w:pPr>
        <w:ind w:firstLine="1305"/>
        <w:spacing w:after="0" w:line="290" w:lineRule="auto"/>
        <w:tabs>
          <w:tab w:leader="none" w:pos="2185" w:val="left"/>
        </w:tabs>
        <w:numPr>
          <w:ilvl w:val="0"/>
          <w:numId w:val="80"/>
        </w:numPr>
        <w:rPr>
          <w:rFonts w:ascii="Arial" w:cs="Arial" w:eastAsia="Arial" w:hAnsi="Arial"/>
          <w:sz w:val="19"/>
          <w:szCs w:val="19"/>
          <w:color w:val="auto"/>
        </w:rPr>
      </w:pPr>
      <w:r>
        <w:rPr>
          <w:rFonts w:ascii="Arial" w:cs="Arial" w:eastAsia="Arial" w:hAnsi="Arial"/>
          <w:sz w:val="19"/>
          <w:szCs w:val="19"/>
          <w:color w:val="auto"/>
        </w:rPr>
        <w:t xml:space="preserve">To the extent that any right to reimbursement of expenses or payment of any benefit in-kind under this Agreement constitutes nonqualified deferred compensation (within the meaning of Section 409A of the Code), (i) any such expense reimbursement shall be made by the Company no later than the last day of the taxable year following the taxable year in which such expense was incurred by Executive,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w:t>
      </w:r>
      <w:r>
        <w:rPr>
          <w:rFonts w:ascii="Arial" w:cs="Arial" w:eastAsia="Arial" w:hAnsi="Arial"/>
          <w:sz w:val="19"/>
          <w:szCs w:val="19"/>
          <w:i w:val="1"/>
          <w:iCs w:val="1"/>
          <w:color w:val="auto"/>
        </w:rPr>
        <w:t>provided</w:t>
      </w:r>
      <w:r>
        <w:rPr>
          <w:rFonts w:ascii="Arial" w:cs="Arial" w:eastAsia="Arial" w:hAnsi="Arial"/>
          <w:sz w:val="19"/>
          <w:szCs w:val="19"/>
          <w:color w:val="auto"/>
        </w:rPr>
        <w:t>, that the foregoing clause shall not be violated with regard to expenses reimbursed under any arrangement covered by</w:t>
      </w:r>
      <w:r>
        <w:rPr>
          <w:rFonts w:ascii="Arial" w:cs="Arial" w:eastAsia="Arial" w:hAnsi="Arial"/>
          <w:sz w:val="19"/>
          <w:szCs w:val="19"/>
          <w:i w:val="1"/>
          <w:iCs w:val="1"/>
          <w:color w:val="auto"/>
        </w:rPr>
        <w:t xml:space="preserve"> </w:t>
      </w:r>
      <w:r>
        <w:rPr>
          <w:rFonts w:ascii="Arial" w:cs="Arial" w:eastAsia="Arial" w:hAnsi="Arial"/>
          <w:sz w:val="19"/>
          <w:szCs w:val="19"/>
          <w:color w:val="auto"/>
        </w:rPr>
        <w:t>Section 105(b) of the Code solely because such expenses are subject to a limit related to the period the arrangement is in effect.</w:t>
      </w:r>
    </w:p>
    <w:p>
      <w:pPr>
        <w:spacing w:after="0" w:line="197" w:lineRule="exact"/>
        <w:rPr>
          <w:rFonts w:ascii="Arial" w:cs="Arial" w:eastAsia="Arial" w:hAnsi="Arial"/>
          <w:sz w:val="19"/>
          <w:szCs w:val="19"/>
          <w:color w:val="auto"/>
        </w:rPr>
      </w:pPr>
    </w:p>
    <w:p>
      <w:pPr>
        <w:ind w:right="60" w:firstLine="1305"/>
        <w:spacing w:after="0" w:line="297" w:lineRule="auto"/>
        <w:tabs>
          <w:tab w:leader="none" w:pos="2197" w:val="left"/>
        </w:tabs>
        <w:numPr>
          <w:ilvl w:val="0"/>
          <w:numId w:val="80"/>
        </w:numPr>
        <w:rPr>
          <w:rFonts w:ascii="Arial" w:cs="Arial" w:eastAsia="Arial" w:hAnsi="Arial"/>
          <w:sz w:val="19"/>
          <w:szCs w:val="19"/>
          <w:color w:val="auto"/>
        </w:rPr>
      </w:pPr>
      <w:r>
        <w:rPr>
          <w:rFonts w:ascii="Arial" w:cs="Arial" w:eastAsia="Arial" w:hAnsi="Arial"/>
          <w:sz w:val="19"/>
          <w:szCs w:val="19"/>
          <w:color w:val="auto"/>
        </w:rPr>
        <w:t>While the payments and benefits provided hereunder are intended to be structured in a manner to avoid the implication of any penalty taxes under Section 409A of the Code, in no event whatsoever shall the Parent or any of its affiliates (including, without limitation, the Company) be liable for any additional tax, interest, or penalties that may be imposed on Executive as a result of Section 409A of the Code or any damages for failing to comply with Section 409A of the Code (other than for withholding obligations or other obligations applicable to employers, if any, under Section 409A of the Code).</w:t>
      </w:r>
    </w:p>
    <w:p>
      <w:pPr>
        <w:spacing w:after="0" w:line="182" w:lineRule="exact"/>
        <w:rPr>
          <w:sz w:val="20"/>
          <w:szCs w:val="20"/>
          <w:color w:val="auto"/>
        </w:rPr>
      </w:pPr>
    </w:p>
    <w:p>
      <w:pPr>
        <w:ind w:left="660"/>
        <w:spacing w:after="0"/>
        <w:tabs>
          <w:tab w:leader="none" w:pos="2920" w:val="left"/>
        </w:tabs>
        <w:rPr>
          <w:sz w:val="20"/>
          <w:szCs w:val="20"/>
          <w:color w:val="auto"/>
        </w:rPr>
      </w:pPr>
      <w:r>
        <w:rPr>
          <w:rFonts w:ascii="Arial" w:cs="Arial" w:eastAsia="Arial" w:hAnsi="Arial"/>
          <w:sz w:val="22"/>
          <w:szCs w:val="22"/>
          <w:b w:val="1"/>
          <w:bCs w:val="1"/>
          <w:color w:val="auto"/>
        </w:rPr>
        <w:t>Section 14.</w:t>
      </w:r>
      <w:r>
        <w:rPr>
          <w:sz w:val="20"/>
          <w:szCs w:val="20"/>
          <w:color w:val="auto"/>
        </w:rPr>
        <w:tab/>
      </w:r>
      <w:r>
        <w:rPr>
          <w:rFonts w:ascii="Arial" w:cs="Arial" w:eastAsia="Arial" w:hAnsi="Arial"/>
          <w:sz w:val="19"/>
          <w:szCs w:val="19"/>
          <w:b w:val="1"/>
          <w:bCs w:val="1"/>
          <w:color w:val="auto"/>
        </w:rPr>
        <w:t>Golden Parachute Tax Provisions</w:t>
      </w:r>
    </w:p>
    <w:p>
      <w:pPr>
        <w:spacing w:after="0" w:line="266"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If there is a change in ownership or control of the Company that would cause any payment or distribution by the Company or any other Person or entity to Executive or for Executive’s benefit (whether paid or payable or distributed or distributable pursuant to the terms of this Agreement or otherwise) (a “</w:t>
      </w:r>
      <w:r>
        <w:rPr>
          <w:rFonts w:ascii="Arial" w:cs="Arial" w:eastAsia="Arial" w:hAnsi="Arial"/>
          <w:sz w:val="19"/>
          <w:szCs w:val="19"/>
          <w:u w:val="single" w:color="auto"/>
          <w:color w:val="auto"/>
        </w:rPr>
        <w:t>Payment</w:t>
      </w:r>
      <w:r>
        <w:rPr>
          <w:rFonts w:ascii="Arial" w:cs="Arial" w:eastAsia="Arial" w:hAnsi="Arial"/>
          <w:sz w:val="19"/>
          <w:szCs w:val="19"/>
          <w:color w:val="auto"/>
        </w:rPr>
        <w:t>”) to be subject to the excise tax imposed by Section 4999 of the Code (such excise tax, together with any interest or penalties incurred by Executive with respect to such excise tax, the “</w:t>
      </w:r>
      <w:r>
        <w:rPr>
          <w:rFonts w:ascii="Arial" w:cs="Arial" w:eastAsia="Arial" w:hAnsi="Arial"/>
          <w:sz w:val="19"/>
          <w:szCs w:val="19"/>
          <w:u w:val="single" w:color="auto"/>
          <w:color w:val="auto"/>
        </w:rPr>
        <w:t>Excise</w:t>
      </w:r>
      <w:r>
        <w:rPr>
          <w:rFonts w:ascii="Arial" w:cs="Arial" w:eastAsia="Arial" w:hAnsi="Arial"/>
          <w:sz w:val="19"/>
          <w:szCs w:val="19"/>
          <w:color w:val="auto"/>
        </w:rPr>
        <w:t xml:space="preserve"> </w:t>
      </w:r>
      <w:r>
        <w:rPr>
          <w:rFonts w:ascii="Arial" w:cs="Arial" w:eastAsia="Arial" w:hAnsi="Arial"/>
          <w:sz w:val="19"/>
          <w:szCs w:val="19"/>
          <w:u w:val="single" w:color="auto"/>
          <w:color w:val="auto"/>
        </w:rPr>
        <w:t>Tax</w:t>
      </w:r>
      <w:r>
        <w:rPr>
          <w:rFonts w:ascii="Arial" w:cs="Arial" w:eastAsia="Arial" w:hAnsi="Arial"/>
          <w:sz w:val="19"/>
          <w:szCs w:val="19"/>
          <w:color w:val="auto"/>
        </w:rPr>
        <w:t>”), then Executive will receive the greatest of the following, whichever gives Executive the highest net after-tax amount (after taking into account federal, state, local and social security taxes): (a) the Payments or (b) one dollar ($1) less than the amount of the Payments that would subject Executive to the Excise Tax (the “</w:t>
      </w:r>
      <w:r>
        <w:rPr>
          <w:rFonts w:ascii="Arial" w:cs="Arial" w:eastAsia="Arial" w:hAnsi="Arial"/>
          <w:sz w:val="19"/>
          <w:szCs w:val="19"/>
          <w:u w:val="single" w:color="auto"/>
          <w:color w:val="auto"/>
        </w:rPr>
        <w:t>Safe Harbor Amount</w:t>
      </w:r>
      <w:r>
        <w:rPr>
          <w:rFonts w:ascii="Arial" w:cs="Arial" w:eastAsia="Arial" w:hAnsi="Arial"/>
          <w:sz w:val="19"/>
          <w:szCs w:val="19"/>
          <w:color w:val="auto"/>
        </w:rPr>
        <w:t>”). If a reduction in the Payments is necessary so that the Payments equal the Safe Harbor Amount and none of the Payments constitutes nonqualified deferred compensation (within the meaning of Section 409A of the Code), then the reduction shall occur in the manner Executive elects in writing prior to the date of payment. If any Payment constitutes nonqualified deferred compensation or if Executive fails to elect an order, then the Payments to be reduced will be determined in a manner which has the least economic cost to Executive and, to the extent the economic cost is equivalent, will be reduced in the inverse order of when payment would have been made to Executive, until the reduction is achieved. All determinations required to be made under this Section 14, including whether and when the Safe Harbor Amount is required and the amount of the reduction of the Payments and the assumptions to be utilized in arriving at such determination, shall be made by an independent certified public accounting firm selected by or acceptable to the Company and Executive (the “</w:t>
      </w:r>
      <w:r>
        <w:rPr>
          <w:rFonts w:ascii="Arial" w:cs="Arial" w:eastAsia="Arial" w:hAnsi="Arial"/>
          <w:sz w:val="19"/>
          <w:szCs w:val="19"/>
          <w:u w:val="single" w:color="auto"/>
          <w:color w:val="auto"/>
        </w:rPr>
        <w:t>Accounting Firm</w:t>
      </w:r>
      <w:r>
        <w:rPr>
          <w:rFonts w:ascii="Arial" w:cs="Arial" w:eastAsia="Arial" w:hAnsi="Arial"/>
          <w:sz w:val="19"/>
          <w:szCs w:val="19"/>
          <w:color w:val="auto"/>
        </w:rPr>
        <w:t>”). All fees and expenses of the Accounting Firm shall be borne solely by the Company.</w:t>
      </w:r>
    </w:p>
    <w:p>
      <w:pPr>
        <w:sectPr>
          <w:pgSz w:w="11900" w:h="16838" w:orient="portrait"/>
          <w:cols w:equalWidth="0" w:num="1">
            <w:col w:w="11400"/>
          </w:cols>
          <w:pgMar w:left="240" w:top="591" w:right="259" w:bottom="1440" w:gutter="0" w:footer="0" w:header="0"/>
        </w:sectPr>
      </w:pPr>
    </w:p>
    <w:bookmarkStart w:id="144" w:name="page145"/>
    <w:bookmarkEnd w:id="144"/>
    <w:p>
      <w:pPr>
        <w:ind w:left="660"/>
        <w:spacing w:after="0"/>
        <w:tabs>
          <w:tab w:leader="none" w:pos="2920" w:val="left"/>
        </w:tabs>
        <w:rPr>
          <w:sz w:val="20"/>
          <w:szCs w:val="20"/>
          <w:color w:val="auto"/>
        </w:rPr>
      </w:pPr>
      <w:r>
        <w:rPr>
          <w:rFonts w:ascii="Arial" w:cs="Arial" w:eastAsia="Arial" w:hAnsi="Arial"/>
          <w:sz w:val="22"/>
          <w:szCs w:val="22"/>
          <w:b w:val="1"/>
          <w:bCs w:val="1"/>
          <w:color w:val="auto"/>
        </w:rPr>
        <w:t>Section 15.</w:t>
      </w:r>
      <w:r>
        <w:rPr>
          <w:sz w:val="20"/>
          <w:szCs w:val="20"/>
          <w:color w:val="auto"/>
        </w:rPr>
        <w:tab/>
      </w:r>
      <w:r>
        <w:rPr>
          <w:rFonts w:ascii="Arial" w:cs="Arial" w:eastAsia="Arial" w:hAnsi="Arial"/>
          <w:sz w:val="19"/>
          <w:szCs w:val="19"/>
          <w:b w:val="1"/>
          <w:bCs w:val="1"/>
          <w:color w:val="auto"/>
        </w:rPr>
        <w:t>Successors and Assigns; No Third-Party Beneficiaries.</w:t>
      </w:r>
    </w:p>
    <w:p>
      <w:pPr>
        <w:spacing w:after="0" w:line="266" w:lineRule="exact"/>
        <w:rPr>
          <w:sz w:val="20"/>
          <w:szCs w:val="20"/>
          <w:color w:val="auto"/>
        </w:rPr>
      </w:pPr>
    </w:p>
    <w:p>
      <w:pPr>
        <w:ind w:firstLine="1305"/>
        <w:spacing w:after="0" w:line="292" w:lineRule="auto"/>
        <w:tabs>
          <w:tab w:leader="none" w:pos="2185"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The Company</w:t>
      </w:r>
      <w:r>
        <w:rPr>
          <w:rFonts w:ascii="Arial" w:cs="Arial" w:eastAsia="Arial" w:hAnsi="Arial"/>
          <w:sz w:val="19"/>
          <w:szCs w:val="19"/>
          <w:color w:val="auto"/>
        </w:rPr>
        <w:t xml:space="preserve">. This Agreement shall inure to the benefit of the Company and its respective successors and assigns. Neither this Agreement nor any of the rights, obligations, or interests arising hereunder may be assigned by the Company to a Person (other than another member of the Company Group, or its or their respective successors) without Executive’s prior written consent (which shall not be unreasonably withheld, delayed, or conditioned);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the event of a sale of all or substantially all of the assets of the Company or any direct or indirect division or subsidiary thereof to which Executive’s employment primarily relates, the Company may provide that this Agreement will be assigned to, and assumed by, the acquiror of such assets, it being agreed that in such circumstances, Executive’s consent will not be required in connection therewith.</w:t>
      </w:r>
    </w:p>
    <w:p>
      <w:pPr>
        <w:spacing w:after="0" w:line="192" w:lineRule="exact"/>
        <w:rPr>
          <w:rFonts w:ascii="Arial" w:cs="Arial" w:eastAsia="Arial" w:hAnsi="Arial"/>
          <w:sz w:val="19"/>
          <w:szCs w:val="19"/>
          <w:color w:val="auto"/>
        </w:rPr>
      </w:pPr>
    </w:p>
    <w:p>
      <w:pPr>
        <w:ind w:right="60" w:firstLine="1305"/>
        <w:spacing w:after="0" w:line="265" w:lineRule="auto"/>
        <w:tabs>
          <w:tab w:leader="none" w:pos="2197"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Executive</w:t>
      </w:r>
      <w:r>
        <w:rPr>
          <w:rFonts w:ascii="Arial" w:cs="Arial" w:eastAsia="Arial" w:hAnsi="Arial"/>
          <w:sz w:val="21"/>
          <w:szCs w:val="21"/>
          <w:color w:val="auto"/>
        </w:rPr>
        <w:t xml:space="preserve">. Executive’s rights and obligations under this Agreement shall not be transferable by Executive by assignment or otherwise, without the prior written consent of the Company;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if Executive shall die, all amounts then payable to Executive hereunder shall be paid in accordance with the terms of this Agreement to Executive’s devisee, legatee, or other designee, or if there be no such designee, to Executive’s estate.</w:t>
      </w:r>
    </w:p>
    <w:p>
      <w:pPr>
        <w:spacing w:after="0" w:line="216" w:lineRule="exact"/>
        <w:rPr>
          <w:rFonts w:ascii="Arial" w:cs="Arial" w:eastAsia="Arial" w:hAnsi="Arial"/>
          <w:sz w:val="21"/>
          <w:szCs w:val="21"/>
          <w:color w:val="auto"/>
        </w:rPr>
      </w:pPr>
    </w:p>
    <w:p>
      <w:pPr>
        <w:ind w:right="20" w:firstLine="1305"/>
        <w:spacing w:after="0" w:line="250" w:lineRule="auto"/>
        <w:tabs>
          <w:tab w:leader="none" w:pos="2185"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No Third-Party Beneficiaries</w:t>
      </w:r>
      <w:r>
        <w:rPr>
          <w:rFonts w:ascii="Arial" w:cs="Arial" w:eastAsia="Arial" w:hAnsi="Arial"/>
          <w:sz w:val="22"/>
          <w:szCs w:val="22"/>
          <w:color w:val="auto"/>
        </w:rPr>
        <w:t>. Except as otherwise set forth in Section 8(b) or Section 15(b) hereof, nothing expressed or referred to in this Agreement will be construed to give any Person other than the Company, the other members of the Company Group, and Executive any legal or equitable right, remedy, or claim under or with respect to this Agreement or any provision of this Agreement.</w:t>
      </w:r>
    </w:p>
    <w:p>
      <w:pPr>
        <w:spacing w:after="0" w:line="223" w:lineRule="exact"/>
        <w:rPr>
          <w:sz w:val="20"/>
          <w:szCs w:val="20"/>
          <w:color w:val="auto"/>
        </w:rPr>
      </w:pPr>
    </w:p>
    <w:p>
      <w:pPr>
        <w:ind w:left="660"/>
        <w:spacing w:after="0"/>
        <w:tabs>
          <w:tab w:leader="none" w:pos="2920" w:val="left"/>
        </w:tabs>
        <w:rPr>
          <w:sz w:val="20"/>
          <w:szCs w:val="20"/>
          <w:color w:val="auto"/>
        </w:rPr>
      </w:pPr>
      <w:r>
        <w:rPr>
          <w:rFonts w:ascii="Arial" w:cs="Arial" w:eastAsia="Arial" w:hAnsi="Arial"/>
          <w:sz w:val="22"/>
          <w:szCs w:val="22"/>
          <w:b w:val="1"/>
          <w:bCs w:val="1"/>
          <w:color w:val="auto"/>
        </w:rPr>
        <w:t>Section 16.</w:t>
      </w:r>
      <w:r>
        <w:rPr>
          <w:sz w:val="20"/>
          <w:szCs w:val="20"/>
          <w:color w:val="auto"/>
        </w:rPr>
        <w:tab/>
      </w:r>
      <w:r>
        <w:rPr>
          <w:rFonts w:ascii="Arial" w:cs="Arial" w:eastAsia="Arial" w:hAnsi="Arial"/>
          <w:sz w:val="19"/>
          <w:szCs w:val="19"/>
          <w:b w:val="1"/>
          <w:bCs w:val="1"/>
          <w:color w:val="auto"/>
        </w:rPr>
        <w:t>Waiver and Amendments.</w:t>
      </w:r>
    </w:p>
    <w:p>
      <w:pPr>
        <w:spacing w:after="0" w:line="266" w:lineRule="exact"/>
        <w:rPr>
          <w:sz w:val="20"/>
          <w:szCs w:val="20"/>
          <w:color w:val="auto"/>
        </w:rPr>
      </w:pPr>
    </w:p>
    <w:p>
      <w:pPr>
        <w:ind w:right="220" w:firstLine="648"/>
        <w:spacing w:after="0" w:line="297" w:lineRule="auto"/>
        <w:rPr>
          <w:sz w:val="20"/>
          <w:szCs w:val="20"/>
          <w:color w:val="auto"/>
        </w:rPr>
      </w:pPr>
      <w:r>
        <w:rPr>
          <w:rFonts w:ascii="Arial" w:cs="Arial" w:eastAsia="Arial" w:hAnsi="Arial"/>
          <w:sz w:val="19"/>
          <w:szCs w:val="19"/>
          <w:color w:val="auto"/>
        </w:rPr>
        <w:t xml:space="preserve">Any waiver, alteration, amendment, or modification of any of the terms of this Agreement shall be valid only if made in writing and signed by each of the parties 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any such waiver, alteration, amendment, or modification must be consented to on the Company’s behalf by the Board.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41" w:lineRule="exact"/>
        <w:rPr>
          <w:sz w:val="20"/>
          <w:szCs w:val="20"/>
          <w:color w:val="auto"/>
        </w:rPr>
      </w:pPr>
    </w:p>
    <w:p>
      <w:pPr>
        <w:ind w:left="660"/>
        <w:spacing w:after="0"/>
        <w:tabs>
          <w:tab w:leader="none" w:pos="2920" w:val="left"/>
        </w:tabs>
        <w:rPr>
          <w:sz w:val="20"/>
          <w:szCs w:val="20"/>
          <w:color w:val="auto"/>
        </w:rPr>
      </w:pPr>
      <w:r>
        <w:rPr>
          <w:rFonts w:ascii="Arial" w:cs="Arial" w:eastAsia="Arial" w:hAnsi="Arial"/>
          <w:sz w:val="22"/>
          <w:szCs w:val="22"/>
          <w:b w:val="1"/>
          <w:bCs w:val="1"/>
          <w:color w:val="auto"/>
        </w:rPr>
        <w:t>Section 17.</w:t>
      </w:r>
      <w:r>
        <w:rPr>
          <w:sz w:val="20"/>
          <w:szCs w:val="20"/>
          <w:color w:val="auto"/>
        </w:rPr>
        <w:tab/>
      </w:r>
      <w:r>
        <w:rPr>
          <w:rFonts w:ascii="Arial" w:cs="Arial" w:eastAsia="Arial" w:hAnsi="Arial"/>
          <w:sz w:val="19"/>
          <w:szCs w:val="19"/>
          <w:b w:val="1"/>
          <w:bCs w:val="1"/>
          <w:color w:val="auto"/>
        </w:rPr>
        <w:t>Severability.</w:t>
      </w:r>
    </w:p>
    <w:p>
      <w:pPr>
        <w:spacing w:after="0" w:line="266" w:lineRule="exact"/>
        <w:rPr>
          <w:sz w:val="20"/>
          <w:szCs w:val="20"/>
          <w:color w:val="auto"/>
        </w:rPr>
      </w:pPr>
    </w:p>
    <w:p>
      <w:pPr>
        <w:ind w:right="80" w:firstLine="648"/>
        <w:spacing w:after="0" w:line="265" w:lineRule="auto"/>
        <w:rPr>
          <w:sz w:val="20"/>
          <w:szCs w:val="20"/>
          <w:color w:val="auto"/>
        </w:rPr>
      </w:pPr>
      <w:r>
        <w:rPr>
          <w:rFonts w:ascii="Arial" w:cs="Arial" w:eastAsia="Arial" w:hAnsi="Arial"/>
          <w:sz w:val="21"/>
          <w:szCs w:val="21"/>
          <w:color w:val="auto"/>
        </w:rPr>
        <w:t>If any covenants or such other provisions of this Agreement are found to be invalid or unenforceable by a final determination of a court of competent jurisdiction, (a) the remaining terms and provisions hereof shall be unimpaired, and (b) the invalid or unenforceable term or provision hereof shall be deemed replaced by a term or provision that is valid and enforceable and that comes closest to expressing the intention of the invalid or unenforceable term or provision hereof.</w:t>
      </w:r>
    </w:p>
    <w:p>
      <w:pPr>
        <w:spacing w:after="0" w:line="170" w:lineRule="exact"/>
        <w:rPr>
          <w:sz w:val="20"/>
          <w:szCs w:val="20"/>
          <w:color w:val="auto"/>
        </w:rPr>
      </w:pPr>
    </w:p>
    <w:p>
      <w:pPr>
        <w:ind w:left="660"/>
        <w:spacing w:after="0"/>
        <w:tabs>
          <w:tab w:leader="none" w:pos="2920" w:val="left"/>
        </w:tabs>
        <w:rPr>
          <w:sz w:val="20"/>
          <w:szCs w:val="20"/>
          <w:color w:val="auto"/>
        </w:rPr>
      </w:pPr>
      <w:r>
        <w:rPr>
          <w:rFonts w:ascii="Arial" w:cs="Arial" w:eastAsia="Arial" w:hAnsi="Arial"/>
          <w:sz w:val="22"/>
          <w:szCs w:val="22"/>
          <w:b w:val="1"/>
          <w:bCs w:val="1"/>
          <w:color w:val="auto"/>
        </w:rPr>
        <w:t>Section 18.</w:t>
      </w:r>
      <w:r>
        <w:rPr>
          <w:sz w:val="20"/>
          <w:szCs w:val="20"/>
          <w:color w:val="auto"/>
        </w:rPr>
        <w:tab/>
      </w:r>
      <w:r>
        <w:rPr>
          <w:rFonts w:ascii="Arial" w:cs="Arial" w:eastAsia="Arial" w:hAnsi="Arial"/>
          <w:sz w:val="19"/>
          <w:szCs w:val="19"/>
          <w:b w:val="1"/>
          <w:bCs w:val="1"/>
          <w:color w:val="auto"/>
        </w:rPr>
        <w:t>Governing Law and Jurisdiction.</w:t>
      </w:r>
    </w:p>
    <w:p>
      <w:pPr>
        <w:spacing w:after="0" w:line="266" w:lineRule="exact"/>
        <w:rPr>
          <w:sz w:val="20"/>
          <w:szCs w:val="20"/>
          <w:color w:val="auto"/>
        </w:rPr>
      </w:pPr>
    </w:p>
    <w:p>
      <w:pPr>
        <w:ind w:right="100" w:firstLine="648"/>
        <w:spacing w:after="0" w:line="263" w:lineRule="auto"/>
        <w:rPr>
          <w:sz w:val="20"/>
          <w:szCs w:val="20"/>
          <w:color w:val="auto"/>
        </w:rPr>
      </w:pPr>
      <w:r>
        <w:rPr>
          <w:rFonts w:ascii="Arial" w:cs="Arial" w:eastAsia="Arial" w:hAnsi="Arial"/>
          <w:sz w:val="21"/>
          <w:szCs w:val="21"/>
          <w:color w:val="auto"/>
        </w:rPr>
        <w:t>EXCEPT WHERE PREEMPTED BY FEDERAL LAW, THE VALIDITY, INTERPRETATION, CONSTRUCTION, AND PERFORMANCE OF THIS AGREEMENT IS GOVERNED BY AND IS TO BE CONSTRUED UNDER THE LAWS OF THE STATE OF DELAWARE APPLICABLE TO AGREEMENTS MADE AND TO BE PERFORMED IN THAT STATE, WITHOUT REGARD TO CONFLICT OF LAWS RULES. ANY DISPUTE OR CLAIM ARISING OUT OF OR RELATING TO THIS AGREEMENT OR CLAIM OF BREACH HEREOF SHALL BE BROUGHT EXCLUSIVELY IN</w:t>
      </w:r>
    </w:p>
    <w:p>
      <w:pPr>
        <w:sectPr>
          <w:pgSz w:w="11900" w:h="16838" w:orient="portrait"/>
          <w:cols w:equalWidth="0" w:num="1">
            <w:col w:w="11420"/>
          </w:cols>
          <w:pgMar w:left="240" w:top="585" w:right="239" w:bottom="1440" w:gutter="0" w:footer="0" w:header="0"/>
        </w:sectPr>
      </w:pPr>
    </w:p>
    <w:bookmarkStart w:id="145" w:name="page146"/>
    <w:bookmarkEnd w:id="145"/>
    <w:p>
      <w:pPr>
        <w:ind w:right="100"/>
        <w:spacing w:after="0" w:line="290" w:lineRule="auto"/>
        <w:rPr>
          <w:sz w:val="20"/>
          <w:szCs w:val="20"/>
          <w:color w:val="auto"/>
        </w:rPr>
      </w:pPr>
      <w:r>
        <w:rPr>
          <w:rFonts w:ascii="Arial" w:cs="Arial" w:eastAsia="Arial" w:hAnsi="Arial"/>
          <w:sz w:val="19"/>
          <w:szCs w:val="19"/>
          <w:color w:val="auto"/>
        </w:rPr>
        <w:t>THE UNITED STATES DISTRICT COURT FOR THE DISTRICT OF DELAWARE, TO THE EXTENT FEDERAL JURISDICTION EXISTS, AND IN ANY COURT SITTING IN DELAWARE, BUT ONLY IN THE EVENT FEDERAL JURISDICTION DOES NOT EXIST, AND ANY APPLICABLE APPELLATE COURTS. BY EXECUTION OF THIS AGREEMENT, THE PARTIES HERETO, AND THEIR RESPECTIVE AFFILIATES, CONSENT TO THE EXCLUSIVE JURISDICTION OF SUCH COURTS, AND WAIVE ANY RIGHT TO CHALLENGE JURISDICTION OR VENUE IN SUCH COURT WITH REGARD TO ANY SUIT, ACTION, OR PROCEEDING UNDER OR IN CONNECTION WITH THIS AGREEMENT. EACH PARTY TO THIS AGREEMENT ALSO HEREBY WAIVES ANY RIGHT TO TRIAL BY JURY IN CONNECTION WITH ANY SUIT, ACTION, OR PROCEEDING UNDER OR IN CONNECTION WITH THIS AGREEMENT.</w:t>
      </w:r>
    </w:p>
    <w:p>
      <w:pPr>
        <w:spacing w:after="0" w:line="151" w:lineRule="exact"/>
        <w:rPr>
          <w:sz w:val="20"/>
          <w:szCs w:val="20"/>
          <w:color w:val="auto"/>
        </w:rPr>
      </w:pPr>
    </w:p>
    <w:p>
      <w:pPr>
        <w:ind w:left="660"/>
        <w:spacing w:after="0"/>
        <w:tabs>
          <w:tab w:leader="none" w:pos="2920" w:val="left"/>
        </w:tabs>
        <w:rPr>
          <w:sz w:val="20"/>
          <w:szCs w:val="20"/>
          <w:color w:val="auto"/>
        </w:rPr>
      </w:pPr>
      <w:r>
        <w:rPr>
          <w:rFonts w:ascii="Arial" w:cs="Arial" w:eastAsia="Arial" w:hAnsi="Arial"/>
          <w:sz w:val="22"/>
          <w:szCs w:val="22"/>
          <w:b w:val="1"/>
          <w:bCs w:val="1"/>
          <w:color w:val="auto"/>
        </w:rPr>
        <w:t>Section 19.</w:t>
      </w:r>
      <w:r>
        <w:rPr>
          <w:sz w:val="20"/>
          <w:szCs w:val="20"/>
          <w:color w:val="auto"/>
        </w:rPr>
        <w:tab/>
      </w:r>
      <w:r>
        <w:rPr>
          <w:rFonts w:ascii="Arial" w:cs="Arial" w:eastAsia="Arial" w:hAnsi="Arial"/>
          <w:sz w:val="19"/>
          <w:szCs w:val="19"/>
          <w:b w:val="1"/>
          <w:bCs w:val="1"/>
          <w:color w:val="auto"/>
        </w:rPr>
        <w:t>Notices.</w:t>
      </w:r>
    </w:p>
    <w:p>
      <w:pPr>
        <w:spacing w:after="0" w:line="266" w:lineRule="exact"/>
        <w:rPr>
          <w:sz w:val="20"/>
          <w:szCs w:val="20"/>
          <w:color w:val="auto"/>
        </w:rPr>
      </w:pPr>
    </w:p>
    <w:p>
      <w:pPr>
        <w:ind w:firstLine="1305"/>
        <w:spacing w:after="0" w:line="294" w:lineRule="auto"/>
        <w:tabs>
          <w:tab w:leader="none" w:pos="2185"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Place of Delivery</w:t>
      </w:r>
      <w:r>
        <w:rPr>
          <w:rFonts w:ascii="Arial" w:cs="Arial" w:eastAsia="Arial" w:hAnsi="Arial"/>
          <w:sz w:val="19"/>
          <w:szCs w:val="19"/>
          <w:color w:val="auto"/>
        </w:rPr>
        <w:t xml:space="preserve">. Every notice or other communication relating to this Agreement shall be in writing, and shall be mailed to or delivered to the party for whom or which it is intended at such address as may from time to time be designated by it in a notice mailed or delivered to the other party as herein provided; </w:t>
      </w:r>
      <w:r>
        <w:rPr>
          <w:rFonts w:ascii="Arial" w:cs="Arial" w:eastAsia="Arial" w:hAnsi="Arial"/>
          <w:sz w:val="19"/>
          <w:szCs w:val="19"/>
          <w:i w:val="1"/>
          <w:iCs w:val="1"/>
          <w:color w:val="auto"/>
        </w:rPr>
        <w:t>provided</w:t>
      </w:r>
      <w:r>
        <w:rPr>
          <w:rFonts w:ascii="Arial" w:cs="Arial" w:eastAsia="Arial" w:hAnsi="Arial"/>
          <w:sz w:val="19"/>
          <w:szCs w:val="19"/>
          <w:color w:val="auto"/>
        </w:rPr>
        <w:t>, that unless and until some other address be so designated, all notices and communications by Executive to the Company shall be mailed or delivered to the Company at its principal executive office, and all notices and communications by the Company to Executive may be given to Executive personally or may be mailed to Executive at Executive’s last known address, as reflected in the Company’s records.</w:t>
      </w:r>
    </w:p>
    <w:p>
      <w:pPr>
        <w:spacing w:after="0" w:line="190" w:lineRule="exact"/>
        <w:rPr>
          <w:rFonts w:ascii="Arial" w:cs="Arial" w:eastAsia="Arial" w:hAnsi="Arial"/>
          <w:sz w:val="19"/>
          <w:szCs w:val="19"/>
          <w:color w:val="auto"/>
        </w:rPr>
      </w:pPr>
    </w:p>
    <w:p>
      <w:pPr>
        <w:ind w:right="20" w:firstLine="1305"/>
        <w:spacing w:after="0" w:line="312" w:lineRule="auto"/>
        <w:tabs>
          <w:tab w:leader="none" w:pos="2197"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Date of Delivery</w:t>
      </w:r>
      <w:r>
        <w:rPr>
          <w:rFonts w:ascii="Arial" w:cs="Arial" w:eastAsia="Arial" w:hAnsi="Arial"/>
          <w:sz w:val="19"/>
          <w:szCs w:val="19"/>
          <w:color w:val="auto"/>
        </w:rPr>
        <w:t>. Any notice so addressed shall be deemed to be given or received (i) if delivered by hand, on the date of such delivery, (ii) if mailed by courier or by overnight mail, on the first business day following the date of such mailing, and (iii) if mailed by registered or certified mail, on the third business day after the date of such mailing.</w:t>
      </w:r>
    </w:p>
    <w:p>
      <w:pPr>
        <w:spacing w:after="0" w:line="168" w:lineRule="exact"/>
        <w:rPr>
          <w:sz w:val="20"/>
          <w:szCs w:val="20"/>
          <w:color w:val="auto"/>
        </w:rPr>
      </w:pPr>
    </w:p>
    <w:p>
      <w:pPr>
        <w:ind w:left="660"/>
        <w:spacing w:after="0"/>
        <w:tabs>
          <w:tab w:leader="none" w:pos="2920" w:val="left"/>
        </w:tabs>
        <w:rPr>
          <w:sz w:val="20"/>
          <w:szCs w:val="20"/>
          <w:color w:val="auto"/>
        </w:rPr>
      </w:pPr>
      <w:r>
        <w:rPr>
          <w:rFonts w:ascii="Arial" w:cs="Arial" w:eastAsia="Arial" w:hAnsi="Arial"/>
          <w:sz w:val="22"/>
          <w:szCs w:val="22"/>
          <w:b w:val="1"/>
          <w:bCs w:val="1"/>
          <w:color w:val="auto"/>
        </w:rPr>
        <w:t>Section 20.</w:t>
      </w:r>
      <w:r>
        <w:rPr>
          <w:sz w:val="20"/>
          <w:szCs w:val="20"/>
          <w:color w:val="auto"/>
        </w:rPr>
        <w:tab/>
      </w:r>
      <w:r>
        <w:rPr>
          <w:rFonts w:ascii="Arial" w:cs="Arial" w:eastAsia="Arial" w:hAnsi="Arial"/>
          <w:sz w:val="19"/>
          <w:szCs w:val="19"/>
          <w:b w:val="1"/>
          <w:bCs w:val="1"/>
          <w:color w:val="auto"/>
        </w:rPr>
        <w:t>Section Headings.</w:t>
      </w:r>
    </w:p>
    <w:p>
      <w:pPr>
        <w:spacing w:after="0" w:line="266" w:lineRule="exact"/>
        <w:rPr>
          <w:sz w:val="20"/>
          <w:szCs w:val="20"/>
          <w:color w:val="auto"/>
        </w:rPr>
      </w:pPr>
    </w:p>
    <w:p>
      <w:pPr>
        <w:ind w:right="180" w:firstLine="648"/>
        <w:spacing w:after="0" w:line="343" w:lineRule="auto"/>
        <w:rPr>
          <w:sz w:val="20"/>
          <w:szCs w:val="20"/>
          <w:color w:val="auto"/>
        </w:rPr>
      </w:pPr>
      <w:r>
        <w:rPr>
          <w:rFonts w:ascii="Arial" w:cs="Arial" w:eastAsia="Arial" w:hAnsi="Arial"/>
          <w:sz w:val="19"/>
          <w:szCs w:val="19"/>
          <w:color w:val="auto"/>
        </w:rPr>
        <w:t>The headings of the sections and subsections of this Agreement are inserted for convenience only and shall not be deemed to constitute a part thereof or affect the meaning or interpretation of this Agreement or of any term or provision hereof.</w:t>
      </w:r>
    </w:p>
    <w:p>
      <w:pPr>
        <w:spacing w:after="0" w:line="99" w:lineRule="exact"/>
        <w:rPr>
          <w:sz w:val="20"/>
          <w:szCs w:val="20"/>
          <w:color w:val="auto"/>
        </w:rPr>
      </w:pPr>
    </w:p>
    <w:p>
      <w:pPr>
        <w:ind w:left="660"/>
        <w:spacing w:after="0"/>
        <w:tabs>
          <w:tab w:leader="none" w:pos="2920" w:val="left"/>
        </w:tabs>
        <w:rPr>
          <w:sz w:val="20"/>
          <w:szCs w:val="20"/>
          <w:color w:val="auto"/>
        </w:rPr>
      </w:pPr>
      <w:r>
        <w:rPr>
          <w:rFonts w:ascii="Arial" w:cs="Arial" w:eastAsia="Arial" w:hAnsi="Arial"/>
          <w:sz w:val="22"/>
          <w:szCs w:val="22"/>
          <w:b w:val="1"/>
          <w:bCs w:val="1"/>
          <w:color w:val="auto"/>
        </w:rPr>
        <w:t>Section 21.</w:t>
      </w:r>
      <w:r>
        <w:rPr>
          <w:sz w:val="20"/>
          <w:szCs w:val="20"/>
          <w:color w:val="auto"/>
        </w:rPr>
        <w:tab/>
      </w:r>
      <w:r>
        <w:rPr>
          <w:rFonts w:ascii="Arial" w:cs="Arial" w:eastAsia="Arial" w:hAnsi="Arial"/>
          <w:sz w:val="19"/>
          <w:szCs w:val="19"/>
          <w:b w:val="1"/>
          <w:bCs w:val="1"/>
          <w:color w:val="auto"/>
        </w:rPr>
        <w:t>Entire Agreement.</w:t>
      </w:r>
    </w:p>
    <w:p>
      <w:pPr>
        <w:spacing w:after="0" w:line="266" w:lineRule="exact"/>
        <w:rPr>
          <w:sz w:val="20"/>
          <w:szCs w:val="20"/>
          <w:color w:val="auto"/>
        </w:rPr>
      </w:pPr>
    </w:p>
    <w:p>
      <w:pPr>
        <w:ind w:right="580" w:firstLine="648"/>
        <w:spacing w:after="0" w:line="250" w:lineRule="auto"/>
        <w:rPr>
          <w:sz w:val="20"/>
          <w:szCs w:val="20"/>
          <w:color w:val="auto"/>
        </w:rPr>
      </w:pPr>
      <w:r>
        <w:rPr>
          <w:rFonts w:ascii="Arial" w:cs="Arial" w:eastAsia="Arial" w:hAnsi="Arial"/>
          <w:sz w:val="22"/>
          <w:szCs w:val="22"/>
          <w:color w:val="auto"/>
        </w:rPr>
        <w:t>This Agreement, together with any exhibits attached hereto, constitutes the entire understanding and agreement of the parties hereto regarding the employment of Executive. This Agreement supersedes all prior negotiations, discussions, correspondence, communications, understandings, and agreements between the parties relating to the subject matter of this Agreement, including, without limitation, the Prior Agreement.</w:t>
      </w:r>
    </w:p>
    <w:p>
      <w:pPr>
        <w:spacing w:after="0" w:line="182" w:lineRule="exact"/>
        <w:rPr>
          <w:sz w:val="20"/>
          <w:szCs w:val="20"/>
          <w:color w:val="auto"/>
        </w:rPr>
      </w:pPr>
    </w:p>
    <w:p>
      <w:pPr>
        <w:ind w:left="660"/>
        <w:spacing w:after="0"/>
        <w:tabs>
          <w:tab w:leader="none" w:pos="2920" w:val="left"/>
        </w:tabs>
        <w:rPr>
          <w:sz w:val="20"/>
          <w:szCs w:val="20"/>
          <w:color w:val="auto"/>
        </w:rPr>
      </w:pPr>
      <w:r>
        <w:rPr>
          <w:rFonts w:ascii="Arial" w:cs="Arial" w:eastAsia="Arial" w:hAnsi="Arial"/>
          <w:sz w:val="22"/>
          <w:szCs w:val="22"/>
          <w:b w:val="1"/>
          <w:bCs w:val="1"/>
          <w:color w:val="auto"/>
        </w:rPr>
        <w:t>Section 22.</w:t>
      </w:r>
      <w:r>
        <w:rPr>
          <w:sz w:val="20"/>
          <w:szCs w:val="20"/>
          <w:color w:val="auto"/>
        </w:rPr>
        <w:tab/>
      </w:r>
      <w:r>
        <w:rPr>
          <w:rFonts w:ascii="Arial" w:cs="Arial" w:eastAsia="Arial" w:hAnsi="Arial"/>
          <w:sz w:val="19"/>
          <w:szCs w:val="19"/>
          <w:b w:val="1"/>
          <w:bCs w:val="1"/>
          <w:color w:val="auto"/>
        </w:rPr>
        <w:t>Indemnification.</w:t>
      </w:r>
    </w:p>
    <w:p>
      <w:pPr>
        <w:spacing w:after="0" w:line="266"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The Company shall extend to Executive (i) the same indemnification arrangements that are generally provided to other similarly situated executive officers of the Company, including after termination of employment, and (ii) the maximum indemnification rights that are allowable under applicable law as well as under the Company’s memorandum of association or bye-laws.</w:t>
      </w:r>
    </w:p>
    <w:p>
      <w:pPr>
        <w:sectPr>
          <w:pgSz w:w="11900" w:h="16838" w:orient="portrait"/>
          <w:cols w:equalWidth="0" w:num="1">
            <w:col w:w="11400"/>
          </w:cols>
          <w:pgMar w:left="240" w:top="591" w:right="259" w:bottom="1440" w:gutter="0" w:footer="0" w:header="0"/>
        </w:sectPr>
      </w:pPr>
    </w:p>
    <w:bookmarkStart w:id="146" w:name="page147"/>
    <w:bookmarkEnd w:id="146"/>
    <w:p>
      <w:pPr>
        <w:ind w:left="660"/>
        <w:spacing w:after="0"/>
        <w:tabs>
          <w:tab w:leader="none" w:pos="2920" w:val="left"/>
        </w:tabs>
        <w:rPr>
          <w:sz w:val="20"/>
          <w:szCs w:val="20"/>
          <w:color w:val="auto"/>
        </w:rPr>
      </w:pPr>
      <w:r>
        <w:rPr>
          <w:rFonts w:ascii="Arial" w:cs="Arial" w:eastAsia="Arial" w:hAnsi="Arial"/>
          <w:sz w:val="22"/>
          <w:szCs w:val="22"/>
          <w:b w:val="1"/>
          <w:bCs w:val="1"/>
          <w:color w:val="auto"/>
        </w:rPr>
        <w:t>Section 23.</w:t>
      </w:r>
      <w:r>
        <w:rPr>
          <w:sz w:val="20"/>
          <w:szCs w:val="20"/>
          <w:color w:val="auto"/>
        </w:rPr>
        <w:tab/>
      </w:r>
      <w:r>
        <w:rPr>
          <w:rFonts w:ascii="Arial" w:cs="Arial" w:eastAsia="Arial" w:hAnsi="Arial"/>
          <w:sz w:val="19"/>
          <w:szCs w:val="19"/>
          <w:b w:val="1"/>
          <w:bCs w:val="1"/>
          <w:color w:val="auto"/>
        </w:rPr>
        <w:t>Clawback.</w:t>
      </w:r>
    </w:p>
    <w:p>
      <w:pPr>
        <w:spacing w:after="0" w:line="266"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All payments made pursuant to this Agreement are subject to the “clawback” obligations of Section 954 of the Dodd-Frank Wall Street Reform and Consumer Act, as may be amended from time to time, and any other “clawback” obligations pursuant to applicable law, rules, and regulations.</w:t>
      </w:r>
    </w:p>
    <w:p>
      <w:pPr>
        <w:spacing w:after="0" w:line="180" w:lineRule="exact"/>
        <w:rPr>
          <w:sz w:val="20"/>
          <w:szCs w:val="20"/>
          <w:color w:val="auto"/>
        </w:rPr>
      </w:pPr>
    </w:p>
    <w:p>
      <w:pPr>
        <w:ind w:left="660"/>
        <w:spacing w:after="0"/>
        <w:tabs>
          <w:tab w:leader="none" w:pos="2920" w:val="left"/>
        </w:tabs>
        <w:rPr>
          <w:sz w:val="20"/>
          <w:szCs w:val="20"/>
          <w:color w:val="auto"/>
        </w:rPr>
      </w:pPr>
      <w:r>
        <w:rPr>
          <w:rFonts w:ascii="Arial" w:cs="Arial" w:eastAsia="Arial" w:hAnsi="Arial"/>
          <w:sz w:val="22"/>
          <w:szCs w:val="22"/>
          <w:b w:val="1"/>
          <w:bCs w:val="1"/>
          <w:color w:val="auto"/>
        </w:rPr>
        <w:t>Section 24.</w:t>
      </w:r>
      <w:r>
        <w:rPr>
          <w:sz w:val="20"/>
          <w:szCs w:val="20"/>
          <w:color w:val="auto"/>
        </w:rPr>
        <w:tab/>
      </w:r>
      <w:r>
        <w:rPr>
          <w:rFonts w:ascii="Arial" w:cs="Arial" w:eastAsia="Arial" w:hAnsi="Arial"/>
          <w:sz w:val="18"/>
          <w:szCs w:val="18"/>
          <w:b w:val="1"/>
          <w:bCs w:val="1"/>
          <w:color w:val="auto"/>
        </w:rPr>
        <w:t>Legal Fees</w:t>
      </w:r>
    </w:p>
    <w:p>
      <w:pPr>
        <w:spacing w:after="0" w:line="266" w:lineRule="exact"/>
        <w:rPr>
          <w:sz w:val="20"/>
          <w:szCs w:val="20"/>
          <w:color w:val="auto"/>
        </w:rPr>
      </w:pPr>
    </w:p>
    <w:p>
      <w:pPr>
        <w:ind w:right="720" w:firstLine="648"/>
        <w:spacing w:after="0" w:line="263" w:lineRule="auto"/>
        <w:rPr>
          <w:sz w:val="20"/>
          <w:szCs w:val="20"/>
          <w:color w:val="auto"/>
        </w:rPr>
      </w:pPr>
      <w:r>
        <w:rPr>
          <w:rFonts w:ascii="Arial" w:cs="Arial" w:eastAsia="Arial" w:hAnsi="Arial"/>
          <w:sz w:val="22"/>
          <w:szCs w:val="22"/>
          <w:color w:val="auto"/>
        </w:rPr>
        <w:t>The Company shall pay or reimburse Executive for reasonable and documented legal fees incurred by Executive in connection with the preparation and negotiation of this Agreement.</w:t>
      </w:r>
    </w:p>
    <w:p>
      <w:pPr>
        <w:spacing w:after="0" w:line="169" w:lineRule="exact"/>
        <w:rPr>
          <w:sz w:val="20"/>
          <w:szCs w:val="20"/>
          <w:color w:val="auto"/>
        </w:rPr>
      </w:pPr>
    </w:p>
    <w:p>
      <w:pPr>
        <w:ind w:left="660"/>
        <w:spacing w:after="0"/>
        <w:tabs>
          <w:tab w:leader="none" w:pos="2920" w:val="left"/>
        </w:tabs>
        <w:rPr>
          <w:sz w:val="20"/>
          <w:szCs w:val="20"/>
          <w:color w:val="auto"/>
        </w:rPr>
      </w:pPr>
      <w:r>
        <w:rPr>
          <w:rFonts w:ascii="Arial" w:cs="Arial" w:eastAsia="Arial" w:hAnsi="Arial"/>
          <w:sz w:val="22"/>
          <w:szCs w:val="22"/>
          <w:b w:val="1"/>
          <w:bCs w:val="1"/>
          <w:color w:val="auto"/>
        </w:rPr>
        <w:t>Section 25.</w:t>
      </w:r>
      <w:r>
        <w:rPr>
          <w:sz w:val="20"/>
          <w:szCs w:val="20"/>
          <w:color w:val="auto"/>
        </w:rPr>
        <w:tab/>
      </w:r>
      <w:r>
        <w:rPr>
          <w:rFonts w:ascii="Arial" w:cs="Arial" w:eastAsia="Arial" w:hAnsi="Arial"/>
          <w:sz w:val="19"/>
          <w:szCs w:val="19"/>
          <w:b w:val="1"/>
          <w:bCs w:val="1"/>
          <w:color w:val="auto"/>
        </w:rPr>
        <w:t>Survival of Operative Sections.</w:t>
      </w:r>
    </w:p>
    <w:p>
      <w:pPr>
        <w:spacing w:after="0" w:line="266" w:lineRule="exact"/>
        <w:rPr>
          <w:sz w:val="20"/>
          <w:szCs w:val="20"/>
          <w:color w:val="auto"/>
        </w:rPr>
      </w:pPr>
    </w:p>
    <w:p>
      <w:pPr>
        <w:jc w:val="both"/>
        <w:ind w:right="600" w:firstLine="648"/>
        <w:spacing w:after="0" w:line="253" w:lineRule="auto"/>
        <w:rPr>
          <w:sz w:val="20"/>
          <w:szCs w:val="20"/>
          <w:color w:val="auto"/>
        </w:rPr>
      </w:pPr>
      <w:r>
        <w:rPr>
          <w:rFonts w:ascii="Arial" w:cs="Arial" w:eastAsia="Arial" w:hAnsi="Arial"/>
          <w:sz w:val="22"/>
          <w:szCs w:val="22"/>
          <w:color w:val="auto"/>
        </w:rPr>
        <w:t>Upon any termination of Executive’s employment, the provisions of Section 8 through Section 24 of this Agreement (together with any related definitions set forth in Section 1 hereof) shall survive to the extent necessary to give effect to the provisions thereof.</w:t>
      </w:r>
    </w:p>
    <w:p>
      <w:pPr>
        <w:spacing w:after="0" w:line="180" w:lineRule="exact"/>
        <w:rPr>
          <w:sz w:val="20"/>
          <w:szCs w:val="20"/>
          <w:color w:val="auto"/>
        </w:rPr>
      </w:pPr>
    </w:p>
    <w:p>
      <w:pPr>
        <w:ind w:left="660"/>
        <w:spacing w:after="0"/>
        <w:tabs>
          <w:tab w:leader="none" w:pos="2920" w:val="left"/>
        </w:tabs>
        <w:rPr>
          <w:sz w:val="20"/>
          <w:szCs w:val="20"/>
          <w:color w:val="auto"/>
        </w:rPr>
      </w:pPr>
      <w:r>
        <w:rPr>
          <w:rFonts w:ascii="Arial" w:cs="Arial" w:eastAsia="Arial" w:hAnsi="Arial"/>
          <w:sz w:val="22"/>
          <w:szCs w:val="22"/>
          <w:b w:val="1"/>
          <w:bCs w:val="1"/>
          <w:color w:val="auto"/>
        </w:rPr>
        <w:t>Section 26.</w:t>
      </w:r>
      <w:r>
        <w:rPr>
          <w:sz w:val="20"/>
          <w:szCs w:val="20"/>
          <w:color w:val="auto"/>
        </w:rPr>
        <w:tab/>
      </w:r>
      <w:r>
        <w:rPr>
          <w:rFonts w:ascii="Arial" w:cs="Arial" w:eastAsia="Arial" w:hAnsi="Arial"/>
          <w:sz w:val="19"/>
          <w:szCs w:val="19"/>
          <w:b w:val="1"/>
          <w:bCs w:val="1"/>
          <w:color w:val="auto"/>
        </w:rPr>
        <w:t>Counterparts.</w:t>
      </w:r>
    </w:p>
    <w:p>
      <w:pPr>
        <w:spacing w:after="0" w:line="266" w:lineRule="exact"/>
        <w:rPr>
          <w:sz w:val="20"/>
          <w:szCs w:val="20"/>
          <w:color w:val="auto"/>
        </w:rPr>
      </w:pPr>
    </w:p>
    <w:p>
      <w:pPr>
        <w:jc w:val="both"/>
        <w:ind w:right="240" w:firstLine="648"/>
        <w:spacing w:after="0" w:line="312" w:lineRule="auto"/>
        <w:rPr>
          <w:sz w:val="20"/>
          <w:szCs w:val="20"/>
          <w:color w:val="auto"/>
        </w:rPr>
      </w:pPr>
      <w:r>
        <w:rPr>
          <w:rFonts w:ascii="Arial" w:cs="Arial" w:eastAsia="Arial" w:hAnsi="Arial"/>
          <w:sz w:val="19"/>
          <w:szCs w:val="19"/>
          <w:color w:val="auto"/>
        </w:rPr>
        <w:t>This Agreement may be executed in two or more counterparts, each of which shall be deemed to be an original but all of which together shall constitute one and the same instrument. The execution of this Agreement may be by actual signature or by signature delivered by facsimile or by e-mail as a portable data format (.pdf) file or image file attachment.</w:t>
      </w:r>
    </w:p>
    <w:p>
      <w:pPr>
        <w:spacing w:after="0" w:line="134" w:lineRule="exact"/>
        <w:rPr>
          <w:sz w:val="20"/>
          <w:szCs w:val="20"/>
          <w:color w:val="auto"/>
        </w:rPr>
      </w:pPr>
    </w:p>
    <w:p>
      <w:pPr>
        <w:ind w:left="7320"/>
        <w:spacing w:after="0"/>
        <w:tabs>
          <w:tab w:leader="none" w:pos="7580" w:val="left"/>
          <w:tab w:leader="none" w:pos="7880" w:val="left"/>
        </w:tabs>
        <w:rPr>
          <w:sz w:val="20"/>
          <w:szCs w:val="20"/>
          <w:color w:val="auto"/>
        </w:rPr>
      </w:pPr>
      <w:r>
        <w:rPr>
          <w:rFonts w:ascii="Arial" w:cs="Arial" w:eastAsia="Arial" w:hAnsi="Arial"/>
          <w:sz w:val="22"/>
          <w:szCs w:val="22"/>
          <w:color w:val="auto"/>
        </w:rPr>
        <w:t>*</w:t>
        <w:tab/>
        <w:t>*</w:t>
        <w:tab/>
        <w:t>*</w:t>
      </w:r>
    </w:p>
    <w:p>
      <w:pPr>
        <w:spacing w:after="0" w:line="233" w:lineRule="exact"/>
        <w:rPr>
          <w:sz w:val="20"/>
          <w:szCs w:val="20"/>
          <w:color w:val="auto"/>
        </w:rPr>
      </w:pPr>
    </w:p>
    <w:p>
      <w:pPr>
        <w:jc w:val="center"/>
        <w:ind w:right="-119"/>
        <w:spacing w:after="0"/>
        <w:rPr>
          <w:sz w:val="20"/>
          <w:szCs w:val="20"/>
          <w:color w:val="auto"/>
        </w:rPr>
      </w:pPr>
      <w:r>
        <w:rPr>
          <w:rFonts w:ascii="Arial" w:cs="Arial" w:eastAsia="Arial" w:hAnsi="Arial"/>
          <w:sz w:val="22"/>
          <w:szCs w:val="22"/>
          <w:i w:val="1"/>
          <w:iCs w:val="1"/>
          <w:color w:val="auto"/>
        </w:rPr>
        <w:t>[Signatures to appear on the following page.]</w:t>
      </w:r>
    </w:p>
    <w:p>
      <w:pPr>
        <w:sectPr>
          <w:pgSz w:w="11900" w:h="16838" w:orient="portrait"/>
          <w:cols w:equalWidth="0" w:num="1">
            <w:col w:w="11320"/>
          </w:cols>
          <w:pgMar w:left="240" w:top="585"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22"/>
          <w:szCs w:val="22"/>
          <w:color w:val="auto"/>
        </w:rPr>
        <w:t>IN WITNESS WHEREOF, the undersigned have executed this Agreement as of the date first above written.</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ESSENT US HOLDINGS, INC.</w:t>
      </w:r>
    </w:p>
    <w:p>
      <w:pPr>
        <w:spacing w:after="0" w:line="200" w:lineRule="exact"/>
        <w:rPr>
          <w:sz w:val="20"/>
          <w:szCs w:val="20"/>
          <w:color w:val="auto"/>
        </w:rPr>
      </w:pPr>
    </w:p>
    <w:p>
      <w:pPr>
        <w:spacing w:after="0" w:line="344"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/s/ Mark A. Casale</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Mark A. Casale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President and CEO</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326"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/s/ Jeff Cashmer</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Jeff Cashmer</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Section 3(a) and 4(c) (and any related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provisions of this Agreement relating to LTIP Awards):</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ESSENT GROUP LTD.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Mark A. Casale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By: Mark A. Casale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President and CEO</w:t>
      </w:r>
    </w:p>
    <w:p>
      <w:pPr>
        <w:sectPr>
          <w:pgSz w:w="11900" w:h="16838" w:orient="portrait"/>
          <w:cols w:equalWidth="0" w:num="1">
            <w:col w:w="10640"/>
          </w:cols>
          <w:pgMar w:left="240" w:top="591" w:right="101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28" w:lineRule="exact"/>
        <w:rPr>
          <w:sz w:val="20"/>
          <w:szCs w:val="20"/>
          <w:color w:val="auto"/>
        </w:rPr>
      </w:pPr>
    </w:p>
    <w:tbl>
      <w:tblPr>
        <w:tblLayout w:type="fixed"/>
        <w:tblInd w:w="26"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560" w:type="dxa"/>
            <w:vAlign w:val="bottom"/>
            <w:gridSpan w:val="3"/>
          </w:tcPr>
          <w:p>
            <w:pPr>
              <w:spacing w:after="0"/>
              <w:rPr>
                <w:sz w:val="20"/>
                <w:szCs w:val="20"/>
                <w:color w:val="auto"/>
              </w:rPr>
            </w:pPr>
            <w:r>
              <w:rPr>
                <w:rFonts w:ascii="Arial" w:cs="Arial" w:eastAsia="Arial" w:hAnsi="Arial"/>
                <w:sz w:val="18"/>
                <w:szCs w:val="18"/>
                <w:b w:val="1"/>
                <w:bCs w:val="1"/>
                <w:color w:val="auto"/>
              </w:rPr>
              <w:t>Essent Group Ltd.</w:t>
            </w:r>
          </w:p>
        </w:tc>
      </w:tr>
      <w:tr>
        <w:trPr>
          <w:trHeight w:val="453"/>
        </w:trPr>
        <w:tc>
          <w:tcPr>
            <w:tcW w:w="8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List of Subsidiaries</w:t>
            </w:r>
          </w:p>
        </w:tc>
        <w:tc>
          <w:tcPr>
            <w:tcW w:w="3140" w:type="dxa"/>
            <w:vAlign w:val="bottom"/>
            <w:gridSpan w:val="2"/>
          </w:tcPr>
          <w:p>
            <w:pPr>
              <w:spacing w:after="0"/>
              <w:rPr>
                <w:sz w:val="24"/>
                <w:szCs w:val="24"/>
                <w:color w:val="auto"/>
              </w:rPr>
            </w:pPr>
          </w:p>
        </w:tc>
      </w:tr>
      <w:tr>
        <w:trPr>
          <w:trHeight w:val="554"/>
        </w:trPr>
        <w:tc>
          <w:tcPr>
            <w:tcW w:w="840" w:type="dxa"/>
            <w:vAlign w:val="bottom"/>
          </w:tcPr>
          <w:p>
            <w:pPr>
              <w:spacing w:after="0"/>
              <w:rPr>
                <w:sz w:val="20"/>
                <w:szCs w:val="20"/>
                <w:color w:val="auto"/>
              </w:rPr>
            </w:pPr>
            <w:r>
              <w:rPr>
                <w:rFonts w:ascii="Arial" w:cs="Arial" w:eastAsia="Arial" w:hAnsi="Arial"/>
                <w:sz w:val="18"/>
                <w:szCs w:val="18"/>
                <w:b w:val="1"/>
                <w:bCs w:val="1"/>
                <w:color w:val="auto"/>
                <w:w w:val="89"/>
              </w:rPr>
              <w:t>Subsidiary</w:t>
            </w:r>
          </w:p>
        </w:tc>
        <w:tc>
          <w:tcPr>
            <w:tcW w:w="2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Jurisdiction of Incorporation/Formation</w:t>
            </w:r>
          </w:p>
        </w:tc>
      </w:tr>
      <w:tr>
        <w:trPr>
          <w:trHeight w:val="20"/>
        </w:trPr>
        <w:tc>
          <w:tcPr>
            <w:tcW w:w="84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r>
      <w:tr>
        <w:trPr>
          <w:trHeight w:val="291"/>
        </w:trPr>
        <w:tc>
          <w:tcPr>
            <w:tcW w:w="3800" w:type="dxa"/>
            <w:vAlign w:val="bottom"/>
            <w:gridSpan w:val="2"/>
          </w:tcPr>
          <w:p>
            <w:pPr>
              <w:spacing w:after="0"/>
              <w:rPr>
                <w:sz w:val="20"/>
                <w:szCs w:val="20"/>
                <w:color w:val="auto"/>
              </w:rPr>
            </w:pPr>
            <w:r>
              <w:rPr>
                <w:rFonts w:ascii="Arial" w:cs="Arial" w:eastAsia="Arial" w:hAnsi="Arial"/>
                <w:sz w:val="18"/>
                <w:szCs w:val="18"/>
                <w:color w:val="auto"/>
              </w:rPr>
              <w:t>Essent Reinsurance Ltd. (1)</w:t>
            </w: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0"/>
              </w:rPr>
              <w:t>Bermuda</w:t>
            </w:r>
          </w:p>
        </w:tc>
      </w:tr>
      <w:tr>
        <w:trPr>
          <w:trHeight w:val="270"/>
        </w:trPr>
        <w:tc>
          <w:tcPr>
            <w:tcW w:w="3800" w:type="dxa"/>
            <w:vAlign w:val="bottom"/>
            <w:gridSpan w:val="2"/>
          </w:tcPr>
          <w:p>
            <w:pPr>
              <w:ind w:left="140"/>
              <w:spacing w:after="0"/>
              <w:rPr>
                <w:sz w:val="20"/>
                <w:szCs w:val="20"/>
                <w:color w:val="auto"/>
              </w:rPr>
            </w:pPr>
            <w:r>
              <w:rPr>
                <w:rFonts w:ascii="Arial" w:cs="Arial" w:eastAsia="Arial" w:hAnsi="Arial"/>
                <w:sz w:val="18"/>
                <w:szCs w:val="18"/>
                <w:color w:val="auto"/>
              </w:rPr>
              <w:t>Essent Agency (Bermuda) Ltd. (2)</w:t>
            </w:r>
          </w:p>
        </w:tc>
        <w:tc>
          <w:tcPr>
            <w:tcW w:w="6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0"/>
              </w:rPr>
              <w:t>Bermuda</w:t>
            </w:r>
          </w:p>
        </w:tc>
      </w:tr>
      <w:tr>
        <w:trPr>
          <w:trHeight w:val="270"/>
        </w:trPr>
        <w:tc>
          <w:tcPr>
            <w:tcW w:w="3800" w:type="dxa"/>
            <w:vAlign w:val="bottom"/>
            <w:gridSpan w:val="2"/>
          </w:tcPr>
          <w:p>
            <w:pPr>
              <w:spacing w:after="0"/>
              <w:rPr>
                <w:sz w:val="20"/>
                <w:szCs w:val="20"/>
                <w:color w:val="auto"/>
              </w:rPr>
            </w:pPr>
            <w:r>
              <w:rPr>
                <w:rFonts w:ascii="Arial" w:cs="Arial" w:eastAsia="Arial" w:hAnsi="Arial"/>
                <w:sz w:val="18"/>
                <w:szCs w:val="18"/>
                <w:color w:val="auto"/>
              </w:rPr>
              <w:t>Essent Irish Intermediate Holdings Ltd. (1)</w:t>
            </w:r>
          </w:p>
        </w:tc>
        <w:tc>
          <w:tcPr>
            <w:tcW w:w="6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1"/>
              </w:rPr>
              <w:t>Republic of Ireland</w:t>
            </w:r>
          </w:p>
        </w:tc>
      </w:tr>
      <w:tr>
        <w:trPr>
          <w:trHeight w:val="270"/>
        </w:trPr>
        <w:tc>
          <w:tcPr>
            <w:tcW w:w="3800" w:type="dxa"/>
            <w:vAlign w:val="bottom"/>
            <w:gridSpan w:val="2"/>
          </w:tcPr>
          <w:p>
            <w:pPr>
              <w:spacing w:after="0"/>
              <w:rPr>
                <w:sz w:val="20"/>
                <w:szCs w:val="20"/>
                <w:color w:val="auto"/>
              </w:rPr>
            </w:pPr>
            <w:r>
              <w:rPr>
                <w:rFonts w:ascii="Arial" w:cs="Arial" w:eastAsia="Arial" w:hAnsi="Arial"/>
                <w:sz w:val="18"/>
                <w:szCs w:val="18"/>
                <w:color w:val="auto"/>
              </w:rPr>
              <w:t>Essent US Holdings, Inc. (3)</w:t>
            </w:r>
          </w:p>
        </w:tc>
        <w:tc>
          <w:tcPr>
            <w:tcW w:w="6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3800" w:type="dxa"/>
            <w:vAlign w:val="bottom"/>
            <w:gridSpan w:val="2"/>
          </w:tcPr>
          <w:p>
            <w:pPr>
              <w:ind w:left="140"/>
              <w:spacing w:after="0"/>
              <w:rPr>
                <w:sz w:val="20"/>
                <w:szCs w:val="20"/>
                <w:color w:val="auto"/>
              </w:rPr>
            </w:pPr>
            <w:r>
              <w:rPr>
                <w:rFonts w:ascii="Arial" w:cs="Arial" w:eastAsia="Arial" w:hAnsi="Arial"/>
                <w:sz w:val="18"/>
                <w:szCs w:val="18"/>
                <w:color w:val="auto"/>
              </w:rPr>
              <w:t>Essent Guaranty of PA, Inc. (4)</w:t>
            </w:r>
          </w:p>
        </w:tc>
        <w:tc>
          <w:tcPr>
            <w:tcW w:w="6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Pennsylvania</w:t>
            </w:r>
          </w:p>
        </w:tc>
      </w:tr>
      <w:tr>
        <w:trPr>
          <w:trHeight w:val="270"/>
        </w:trPr>
        <w:tc>
          <w:tcPr>
            <w:tcW w:w="3800" w:type="dxa"/>
            <w:vAlign w:val="bottom"/>
            <w:gridSpan w:val="2"/>
          </w:tcPr>
          <w:p>
            <w:pPr>
              <w:ind w:left="140"/>
              <w:spacing w:after="0"/>
              <w:rPr>
                <w:sz w:val="20"/>
                <w:szCs w:val="20"/>
                <w:color w:val="auto"/>
              </w:rPr>
            </w:pPr>
            <w:r>
              <w:rPr>
                <w:rFonts w:ascii="Arial" w:cs="Arial" w:eastAsia="Arial" w:hAnsi="Arial"/>
                <w:sz w:val="18"/>
                <w:szCs w:val="18"/>
                <w:color w:val="auto"/>
              </w:rPr>
              <w:t>CUW Solutions, LLC (4)</w:t>
            </w:r>
          </w:p>
        </w:tc>
        <w:tc>
          <w:tcPr>
            <w:tcW w:w="6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3800" w:type="dxa"/>
            <w:vAlign w:val="bottom"/>
            <w:gridSpan w:val="2"/>
          </w:tcPr>
          <w:p>
            <w:pPr>
              <w:ind w:left="140"/>
              <w:spacing w:after="0"/>
              <w:rPr>
                <w:sz w:val="20"/>
                <w:szCs w:val="20"/>
                <w:color w:val="auto"/>
              </w:rPr>
            </w:pPr>
            <w:r>
              <w:rPr>
                <w:rFonts w:ascii="Arial" w:cs="Arial" w:eastAsia="Arial" w:hAnsi="Arial"/>
                <w:sz w:val="18"/>
                <w:szCs w:val="18"/>
                <w:color w:val="auto"/>
              </w:rPr>
              <w:t>Essent Guaranty, Inc. (4)</w:t>
            </w:r>
          </w:p>
        </w:tc>
        <w:tc>
          <w:tcPr>
            <w:tcW w:w="6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Pennsylvania</w:t>
            </w:r>
          </w:p>
        </w:tc>
      </w:tr>
      <w:tr>
        <w:trPr>
          <w:trHeight w:val="270"/>
        </w:trPr>
        <w:tc>
          <w:tcPr>
            <w:tcW w:w="3800" w:type="dxa"/>
            <w:vAlign w:val="bottom"/>
            <w:gridSpan w:val="2"/>
          </w:tcPr>
          <w:p>
            <w:pPr>
              <w:ind w:left="260"/>
              <w:spacing w:after="0"/>
              <w:rPr>
                <w:sz w:val="20"/>
                <w:szCs w:val="20"/>
                <w:color w:val="auto"/>
              </w:rPr>
            </w:pPr>
            <w:r>
              <w:rPr>
                <w:rFonts w:ascii="Arial" w:cs="Arial" w:eastAsia="Arial" w:hAnsi="Arial"/>
                <w:sz w:val="18"/>
                <w:szCs w:val="18"/>
                <w:color w:val="auto"/>
              </w:rPr>
              <w:t>Essent Solutions, LLC (5)</w:t>
            </w:r>
          </w:p>
        </w:tc>
        <w:tc>
          <w:tcPr>
            <w:tcW w:w="6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2006600</wp:posOffset>
            </wp:positionH>
            <wp:positionV relativeFrom="paragraph">
              <wp:posOffset>128905</wp:posOffset>
            </wp:positionV>
            <wp:extent cx="571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9" w:lineRule="exact"/>
        <w:rPr>
          <w:sz w:val="20"/>
          <w:szCs w:val="20"/>
          <w:color w:val="auto"/>
        </w:rPr>
      </w:pPr>
    </w:p>
    <w:p>
      <w:pPr>
        <w:ind w:left="246" w:hanging="246"/>
        <w:spacing w:after="0"/>
        <w:tabs>
          <w:tab w:leader="none" w:pos="246" w:val="left"/>
        </w:tabs>
        <w:numPr>
          <w:ilvl w:val="0"/>
          <w:numId w:val="83"/>
        </w:numPr>
        <w:rPr>
          <w:rFonts w:ascii="Arial" w:cs="Arial" w:eastAsia="Arial" w:hAnsi="Arial"/>
          <w:sz w:val="18"/>
          <w:szCs w:val="18"/>
          <w:color w:val="auto"/>
        </w:rPr>
      </w:pPr>
      <w:r>
        <w:rPr>
          <w:rFonts w:ascii="Arial" w:cs="Arial" w:eastAsia="Arial" w:hAnsi="Arial"/>
          <w:sz w:val="18"/>
          <w:szCs w:val="18"/>
          <w:color w:val="auto"/>
        </w:rPr>
        <w:t>100% of common shares held by Essent Group Ltd.</w:t>
      </w:r>
    </w:p>
    <w:p>
      <w:pPr>
        <w:spacing w:after="0" w:line="23" w:lineRule="exact"/>
        <w:rPr>
          <w:rFonts w:ascii="Arial" w:cs="Arial" w:eastAsia="Arial" w:hAnsi="Arial"/>
          <w:sz w:val="18"/>
          <w:szCs w:val="18"/>
          <w:color w:val="auto"/>
        </w:rPr>
      </w:pPr>
    </w:p>
    <w:p>
      <w:pPr>
        <w:ind w:left="246" w:hanging="246"/>
        <w:spacing w:after="0"/>
        <w:tabs>
          <w:tab w:leader="none" w:pos="246" w:val="left"/>
        </w:tabs>
        <w:numPr>
          <w:ilvl w:val="0"/>
          <w:numId w:val="83"/>
        </w:numPr>
        <w:rPr>
          <w:rFonts w:ascii="Arial" w:cs="Arial" w:eastAsia="Arial" w:hAnsi="Arial"/>
          <w:sz w:val="18"/>
          <w:szCs w:val="18"/>
          <w:color w:val="auto"/>
        </w:rPr>
      </w:pPr>
      <w:r>
        <w:rPr>
          <w:rFonts w:ascii="Arial" w:cs="Arial" w:eastAsia="Arial" w:hAnsi="Arial"/>
          <w:sz w:val="18"/>
          <w:szCs w:val="18"/>
          <w:color w:val="auto"/>
        </w:rPr>
        <w:t>100% of common shares held by Essent Reinsurance Ltd.</w:t>
      </w:r>
    </w:p>
    <w:p>
      <w:pPr>
        <w:spacing w:after="0" w:line="9" w:lineRule="exact"/>
        <w:rPr>
          <w:rFonts w:ascii="Arial" w:cs="Arial" w:eastAsia="Arial" w:hAnsi="Arial"/>
          <w:sz w:val="18"/>
          <w:szCs w:val="18"/>
          <w:color w:val="auto"/>
        </w:rPr>
      </w:pPr>
    </w:p>
    <w:p>
      <w:pPr>
        <w:ind w:left="246" w:hanging="246"/>
        <w:spacing w:after="0"/>
        <w:tabs>
          <w:tab w:leader="none" w:pos="246" w:val="left"/>
        </w:tabs>
        <w:numPr>
          <w:ilvl w:val="0"/>
          <w:numId w:val="83"/>
        </w:numPr>
        <w:rPr>
          <w:rFonts w:ascii="Arial" w:cs="Arial" w:eastAsia="Arial" w:hAnsi="Arial"/>
          <w:sz w:val="18"/>
          <w:szCs w:val="18"/>
          <w:color w:val="auto"/>
        </w:rPr>
      </w:pPr>
      <w:r>
        <w:rPr>
          <w:rFonts w:ascii="Arial" w:cs="Arial" w:eastAsia="Arial" w:hAnsi="Arial"/>
          <w:sz w:val="18"/>
          <w:szCs w:val="18"/>
          <w:color w:val="auto"/>
        </w:rPr>
        <w:t>100% of common shares held by Essent Irish Intermediate Holdings Ltd.</w:t>
      </w:r>
    </w:p>
    <w:p>
      <w:pPr>
        <w:spacing w:after="0" w:line="9" w:lineRule="exact"/>
        <w:rPr>
          <w:rFonts w:ascii="Arial" w:cs="Arial" w:eastAsia="Arial" w:hAnsi="Arial"/>
          <w:sz w:val="18"/>
          <w:szCs w:val="18"/>
          <w:color w:val="auto"/>
        </w:rPr>
      </w:pPr>
    </w:p>
    <w:p>
      <w:pPr>
        <w:ind w:left="246" w:hanging="246"/>
        <w:spacing w:after="0"/>
        <w:tabs>
          <w:tab w:leader="none" w:pos="246" w:val="left"/>
        </w:tabs>
        <w:numPr>
          <w:ilvl w:val="0"/>
          <w:numId w:val="83"/>
        </w:numPr>
        <w:rPr>
          <w:rFonts w:ascii="Arial" w:cs="Arial" w:eastAsia="Arial" w:hAnsi="Arial"/>
          <w:sz w:val="18"/>
          <w:szCs w:val="18"/>
          <w:color w:val="auto"/>
        </w:rPr>
      </w:pPr>
      <w:r>
        <w:rPr>
          <w:rFonts w:ascii="Arial" w:cs="Arial" w:eastAsia="Arial" w:hAnsi="Arial"/>
          <w:sz w:val="18"/>
          <w:szCs w:val="18"/>
          <w:color w:val="auto"/>
        </w:rPr>
        <w:t>100% of common shares held by Essent US Holdings Inc.</w:t>
      </w:r>
    </w:p>
    <w:p>
      <w:pPr>
        <w:spacing w:after="0" w:line="9" w:lineRule="exact"/>
        <w:rPr>
          <w:rFonts w:ascii="Arial" w:cs="Arial" w:eastAsia="Arial" w:hAnsi="Arial"/>
          <w:sz w:val="18"/>
          <w:szCs w:val="18"/>
          <w:color w:val="auto"/>
        </w:rPr>
      </w:pPr>
    </w:p>
    <w:p>
      <w:pPr>
        <w:ind w:left="246" w:hanging="246"/>
        <w:spacing w:after="0"/>
        <w:tabs>
          <w:tab w:leader="none" w:pos="246" w:val="left"/>
        </w:tabs>
        <w:numPr>
          <w:ilvl w:val="0"/>
          <w:numId w:val="83"/>
        </w:numPr>
        <w:rPr>
          <w:rFonts w:ascii="Arial" w:cs="Arial" w:eastAsia="Arial" w:hAnsi="Arial"/>
          <w:sz w:val="18"/>
          <w:szCs w:val="18"/>
          <w:color w:val="auto"/>
        </w:rPr>
      </w:pPr>
      <w:r>
        <w:rPr>
          <w:rFonts w:ascii="Arial" w:cs="Arial" w:eastAsia="Arial" w:hAnsi="Arial"/>
          <w:sz w:val="18"/>
          <w:szCs w:val="18"/>
          <w:color w:val="auto"/>
        </w:rPr>
        <w:t>100% of common shares held by Essent Guaranty, Inc.</w:t>
      </w:r>
    </w:p>
    <w:p>
      <w:pPr>
        <w:sectPr>
          <w:pgSz w:w="11900" w:h="16838" w:orient="portrait"/>
          <w:cols w:equalWidth="0" w:num="1">
            <w:col w:w="10926"/>
          </w:cols>
          <w:pgMar w:left="734" w:top="580"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7" w:lineRule="exact"/>
        <w:rPr>
          <w:sz w:val="20"/>
          <w:szCs w:val="20"/>
          <w:color w:val="auto"/>
        </w:rPr>
      </w:pPr>
    </w:p>
    <w:p>
      <w:pPr>
        <w:ind w:right="120" w:firstLine="357"/>
        <w:spacing w:after="0" w:line="255" w:lineRule="auto"/>
        <w:rPr>
          <w:sz w:val="20"/>
          <w:szCs w:val="20"/>
          <w:color w:val="auto"/>
        </w:rPr>
      </w:pPr>
      <w:r>
        <w:rPr>
          <w:rFonts w:ascii="Arial" w:cs="Arial" w:eastAsia="Arial" w:hAnsi="Arial"/>
          <w:sz w:val="18"/>
          <w:szCs w:val="18"/>
          <w:color w:val="auto"/>
        </w:rPr>
        <w:t>We hereby consent to the incorporation by reference in the Registration Statements on Form S-3 (Registration No. 333-202386) and Form S-8 (Registration No. 333-192092) of Essent Group Ltd. of our report dated February 15, 2017 relating to the financial statements, financial statement schedules and the effectiveness of internal control over financial reporting, which appears in this Form 10-K.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2017</w:t>
      </w:r>
    </w:p>
    <w:p>
      <w:pPr>
        <w:sectPr>
          <w:pgSz w:w="11900" w:h="16838" w:orient="portrait"/>
          <w:cols w:equalWidth="0" w:num="1">
            <w:col w:w="11380"/>
          </w:cols>
          <w:pgMar w:left="240" w:top="580" w:right="27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Casale, certify that:</w:t>
      </w:r>
    </w:p>
    <w:p>
      <w:pPr>
        <w:spacing w:after="0" w:line="225" w:lineRule="exact"/>
        <w:rPr>
          <w:sz w:val="20"/>
          <w:szCs w:val="20"/>
          <w:color w:val="auto"/>
        </w:rPr>
      </w:pPr>
    </w:p>
    <w:p>
      <w:pPr>
        <w:ind w:left="560" w:hanging="552"/>
        <w:spacing w:after="0"/>
        <w:tabs>
          <w:tab w:leader="none" w:pos="5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Essent Group Ltd.;</w:t>
      </w:r>
    </w:p>
    <w:p>
      <w:pPr>
        <w:spacing w:after="0" w:line="265" w:lineRule="exact"/>
        <w:rPr>
          <w:rFonts w:ascii="Arial" w:cs="Arial" w:eastAsia="Arial" w:hAnsi="Arial"/>
          <w:sz w:val="18"/>
          <w:szCs w:val="18"/>
          <w:color w:val="auto"/>
        </w:rPr>
      </w:pPr>
    </w:p>
    <w:p>
      <w:pPr>
        <w:ind w:left="520" w:hanging="512"/>
        <w:spacing w:after="0"/>
        <w:tabs>
          <w:tab w:leader="none" w:pos="5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statements made, in light of the circumstances under which such statements were made, not misleading with respect to the period covered by this annual report;</w:t>
      </w:r>
    </w:p>
    <w:p>
      <w:pPr>
        <w:spacing w:after="0" w:line="170" w:lineRule="exact"/>
        <w:rPr>
          <w:sz w:val="20"/>
          <w:szCs w:val="20"/>
          <w:color w:val="auto"/>
        </w:rPr>
      </w:pPr>
    </w:p>
    <w:p>
      <w:pPr>
        <w:ind w:right="120" w:firstLine="8"/>
        <w:spacing w:after="0" w:line="357" w:lineRule="auto"/>
        <w:tabs>
          <w:tab w:leader="none" w:pos="518" w:val="left"/>
        </w:tabs>
        <w:numPr>
          <w:ilvl w:val="0"/>
          <w:numId w:val="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07" w:lineRule="exact"/>
        <w:rPr>
          <w:rFonts w:ascii="Arial" w:cs="Arial" w:eastAsia="Arial" w:hAnsi="Arial"/>
          <w:sz w:val="17"/>
          <w:szCs w:val="17"/>
          <w:color w:val="auto"/>
        </w:rPr>
      </w:pPr>
    </w:p>
    <w:p>
      <w:pPr>
        <w:ind w:left="680" w:hanging="672"/>
        <w:spacing w:after="0"/>
        <w:tabs>
          <w:tab w:leader="none" w:pos="6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000" w:hanging="506"/>
        <w:spacing w:after="0"/>
        <w:tabs>
          <w:tab w:leader="none" w:pos="10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020" w:hanging="526"/>
        <w:spacing w:after="0"/>
        <w:tabs>
          <w:tab w:leader="none" w:pos="10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700" w:firstLine="494"/>
        <w:spacing w:after="0" w:line="395" w:lineRule="auto"/>
        <w:tabs>
          <w:tab w:leader="none" w:pos="1014" w:val="left"/>
        </w:tabs>
        <w:numPr>
          <w:ilvl w:val="0"/>
          <w:numId w:val="8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020" w:hanging="526"/>
        <w:spacing w:after="0"/>
        <w:tabs>
          <w:tab w:leader="none" w:pos="10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00" w:firstLine="8"/>
        <w:spacing w:after="0" w:line="357" w:lineRule="auto"/>
        <w:tabs>
          <w:tab w:leader="none" w:pos="545"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140" w:firstLine="494"/>
        <w:spacing w:after="0" w:line="324" w:lineRule="auto"/>
        <w:tabs>
          <w:tab w:leader="none" w:pos="1014" w:val="left"/>
        </w:tabs>
        <w:numPr>
          <w:ilvl w:val="1"/>
          <w:numId w:val="8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80" w:firstLine="494"/>
        <w:spacing w:after="0" w:line="324" w:lineRule="auto"/>
        <w:tabs>
          <w:tab w:leader="none" w:pos="1025"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February 15, 2017</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106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Lawrence E. McAlee, certify that:</w:t>
      </w:r>
    </w:p>
    <w:p>
      <w:pPr>
        <w:spacing w:after="0" w:line="225" w:lineRule="exact"/>
        <w:rPr>
          <w:sz w:val="20"/>
          <w:szCs w:val="20"/>
          <w:color w:val="auto"/>
        </w:rPr>
      </w:pPr>
    </w:p>
    <w:p>
      <w:pPr>
        <w:ind w:left="560" w:hanging="552"/>
        <w:spacing w:after="0"/>
        <w:tabs>
          <w:tab w:leader="none" w:pos="5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Essent Group Ltd.;</w:t>
      </w:r>
    </w:p>
    <w:p>
      <w:pPr>
        <w:spacing w:after="0" w:line="265" w:lineRule="exact"/>
        <w:rPr>
          <w:rFonts w:ascii="Arial" w:cs="Arial" w:eastAsia="Arial" w:hAnsi="Arial"/>
          <w:sz w:val="18"/>
          <w:szCs w:val="18"/>
          <w:color w:val="auto"/>
        </w:rPr>
      </w:pPr>
    </w:p>
    <w:p>
      <w:pPr>
        <w:ind w:left="520" w:hanging="512"/>
        <w:spacing w:after="0"/>
        <w:tabs>
          <w:tab w:leader="none" w:pos="5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statements made, in light of the circumstances under which such statements were made, not misleading with respect to the period covered by this annual report;</w:t>
      </w:r>
    </w:p>
    <w:p>
      <w:pPr>
        <w:spacing w:after="0" w:line="170" w:lineRule="exact"/>
        <w:rPr>
          <w:sz w:val="20"/>
          <w:szCs w:val="20"/>
          <w:color w:val="auto"/>
        </w:rPr>
      </w:pPr>
    </w:p>
    <w:p>
      <w:pPr>
        <w:ind w:right="120" w:firstLine="8"/>
        <w:spacing w:after="0" w:line="357" w:lineRule="auto"/>
        <w:tabs>
          <w:tab w:leader="none" w:pos="518" w:val="left"/>
        </w:tabs>
        <w:numPr>
          <w:ilvl w:val="0"/>
          <w:numId w:val="9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07" w:lineRule="exact"/>
        <w:rPr>
          <w:rFonts w:ascii="Arial" w:cs="Arial" w:eastAsia="Arial" w:hAnsi="Arial"/>
          <w:sz w:val="17"/>
          <w:szCs w:val="17"/>
          <w:color w:val="auto"/>
        </w:rPr>
      </w:pPr>
    </w:p>
    <w:p>
      <w:pPr>
        <w:ind w:left="680" w:hanging="672"/>
        <w:spacing w:after="0"/>
        <w:tabs>
          <w:tab w:leader="none" w:pos="6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000" w:hanging="506"/>
        <w:spacing w:after="0"/>
        <w:tabs>
          <w:tab w:leader="none" w:pos="10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020" w:hanging="526"/>
        <w:spacing w:after="0"/>
        <w:tabs>
          <w:tab w:leader="none" w:pos="10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700" w:firstLine="494"/>
        <w:spacing w:after="0" w:line="395" w:lineRule="auto"/>
        <w:tabs>
          <w:tab w:leader="none" w:pos="1014" w:val="left"/>
        </w:tabs>
        <w:numPr>
          <w:ilvl w:val="0"/>
          <w:numId w:val="9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020" w:hanging="526"/>
        <w:spacing w:after="0"/>
        <w:tabs>
          <w:tab w:leader="none" w:pos="10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00" w:firstLine="8"/>
        <w:spacing w:after="0" w:line="357" w:lineRule="auto"/>
        <w:tabs>
          <w:tab w:leader="none" w:pos="545"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140" w:firstLine="494"/>
        <w:spacing w:after="0" w:line="324" w:lineRule="auto"/>
        <w:tabs>
          <w:tab w:leader="none" w:pos="1014" w:val="left"/>
        </w:tabs>
        <w:numPr>
          <w:ilvl w:val="1"/>
          <w:numId w:val="9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80" w:firstLine="494"/>
        <w:spacing w:after="0" w:line="324" w:lineRule="auto"/>
        <w:tabs>
          <w:tab w:leader="none" w:pos="1025"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15, 2017</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106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152" w:name="page153"/>
    <w:bookmarkEnd w:id="152"/>
    <w:p>
      <w:pPr>
        <w:ind w:left="104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PURSUANT TO SECTION 906 OF THE SARBANES-OXLEY ACT OF 2002</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undersigned, Mark A. Casale, President, Chief Executive Officer and Chairman of Essent Group Ltd. (the “Company”), and Lawrence E. McAlee, Senior Vice President and Chief Financial Officer of the Company, each hereby certify, pursuant to 18 U.S.C. Section 1350 as adopted pursuant to Section 906 of the Sarbanes-Oxley Act of 2002, that to the best of his knowledge:</w:t>
      </w:r>
    </w:p>
    <w:p>
      <w:pPr>
        <w:spacing w:after="0" w:line="181" w:lineRule="exact"/>
        <w:rPr>
          <w:sz w:val="20"/>
          <w:szCs w:val="20"/>
          <w:color w:val="auto"/>
        </w:rPr>
      </w:pPr>
    </w:p>
    <w:p>
      <w:pPr>
        <w:ind w:right="340" w:firstLine="8"/>
        <w:spacing w:after="0" w:line="324" w:lineRule="auto"/>
        <w:tabs>
          <w:tab w:leader="none" w:pos="687"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2016 (the “Report”)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right="340" w:firstLine="8"/>
        <w:spacing w:after="0" w:line="575" w:lineRule="auto"/>
        <w:tabs>
          <w:tab w:leader="none" w:pos="687"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15, 2017</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A. Casale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Lawrence E. McAlee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o"/>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
      <w:numFmt w:val="bullet"/>
      <w:start w:val="1"/>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1)"/>
      <w:numFmt w:val="lowerRoman"/>
      <w:start w:val="2"/>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1)"/>
      <w:numFmt w:val="lowerRoman"/>
      <w:start w:val="1"/>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
      <w:numFmt w:val="bullet"/>
      <w:start w:val="1"/>
    </w:lvl>
  </w:abstractNum>
  <w:abstractNum w:abstractNumId="28">
    <w:nsid w:val="7E0C57B1"/>
    <w:multiLevelType w:val="hybridMultilevel"/>
    <w:lvl w:ilvl="0">
      <w:lvlJc w:val="left"/>
      <w:lvlText w:val="•"/>
      <w:numFmt w:val="bullet"/>
      <w:start w:val="1"/>
    </w:lvl>
  </w:abstractNum>
  <w:abstractNum w:abstractNumId="29">
    <w:nsid w:val="77AE35EB"/>
    <w:multiLevelType w:val="hybridMultilevel"/>
    <w:lvl w:ilvl="0">
      <w:lvlJc w:val="left"/>
      <w:lvlText w:val="•"/>
      <w:numFmt w:val="bullet"/>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1)"/>
      <w:numFmt w:val="decimal"/>
      <w:start w:val="1"/>
    </w:lvl>
  </w:abstractNum>
  <w:abstractNum w:abstractNumId="32">
    <w:nsid w:val="5FF87E05"/>
    <w:multiLevelType w:val="hybridMultilevel"/>
    <w:lvl w:ilvl="0">
      <w:lvlJc w:val="left"/>
      <w:lvlText w:val="(%1)"/>
      <w:numFmt w:val="lowerRoman"/>
      <w:start w:val="2"/>
    </w:lvl>
  </w:abstractNum>
  <w:abstractNum w:abstractNumId="33">
    <w:nsid w:val="2F305DEF"/>
    <w:multiLevelType w:val="hybridMultilevel"/>
    <w:lvl w:ilvl="0">
      <w:lvlJc w:val="left"/>
      <w:lvlText w:val="(%1)"/>
      <w:numFmt w:val="decimal"/>
      <w:start w:val="1"/>
    </w:lvl>
  </w:abstractNum>
  <w:abstractNum w:abstractNumId="34">
    <w:nsid w:val="25A70BF7"/>
    <w:multiLevelType w:val="hybridMultilevel"/>
    <w:lvl w:ilvl="0">
      <w:lvlJc w:val="left"/>
      <w:lvlText w:val="(%1)"/>
      <w:numFmt w:val="decimal"/>
      <w:start w:val="2"/>
    </w:lvl>
  </w:abstractNum>
  <w:abstractNum w:abstractNumId="35">
    <w:nsid w:val="1DBABF00"/>
    <w:multiLevelType w:val="hybridMultilevel"/>
    <w:lvl w:ilvl="0">
      <w:lvlJc w:val="left"/>
      <w:lvlText w:val="•"/>
      <w:numFmt w:val="bullet"/>
      <w:start w:val="1"/>
    </w:lvl>
  </w:abstractNum>
  <w:abstractNum w:abstractNumId="36">
    <w:nsid w:val="4AD084E9"/>
    <w:multiLevelType w:val="hybridMultilevel"/>
    <w:lvl w:ilvl="0">
      <w:lvlJc w:val="left"/>
      <w:lvlText w:val="•"/>
      <w:numFmt w:val="bullet"/>
      <w:start w:val="1"/>
    </w:lvl>
  </w:abstractNum>
  <w:abstractNum w:abstractNumId="37">
    <w:nsid w:val="1F48EAA1"/>
    <w:multiLevelType w:val="hybridMultilevel"/>
    <w:lvl w:ilvl="0">
      <w:lvlJc w:val="left"/>
      <w:lvlText w:val="(%1)"/>
      <w:numFmt w:val="decimal"/>
      <w:start w:val="2"/>
    </w:lvl>
  </w:abstractNum>
  <w:abstractNum w:abstractNumId="38">
    <w:nsid w:val="1381823A"/>
    <w:multiLevelType w:val="hybridMultilevel"/>
    <w:lvl w:ilvl="0">
      <w:lvlJc w:val="left"/>
      <w:lvlText w:val="(%1)"/>
      <w:numFmt w:val="decimal"/>
      <w:start w:val="4"/>
    </w:lvl>
  </w:abstractNum>
  <w:abstractNum w:abstractNumId="39">
    <w:nsid w:val="5DB70AE5"/>
    <w:multiLevelType w:val="hybridMultilevel"/>
    <w:lvl w:ilvl="0">
      <w:lvlJc w:val="left"/>
      <w:lvlText w:val="•"/>
      <w:numFmt w:val="bullet"/>
      <w:start w:val="1"/>
    </w:lvl>
  </w:abstractNum>
  <w:abstractNum w:abstractNumId="40">
    <w:nsid w:val="100F8FCA"/>
    <w:multiLevelType w:val="hybridMultilevel"/>
    <w:lvl w:ilvl="0">
      <w:lvlJc w:val="left"/>
      <w:lvlText w:val="•"/>
      <w:numFmt w:val="bullet"/>
      <w:start w:val="1"/>
    </w:lvl>
  </w:abstractNum>
  <w:abstractNum w:abstractNumId="41">
    <w:nsid w:val="6590700B"/>
    <w:multiLevelType w:val="hybridMultilevel"/>
    <w:lvl w:ilvl="0">
      <w:lvlJc w:val="left"/>
      <w:lvlText w:val="•"/>
      <w:numFmt w:val="bullet"/>
      <w:start w:val="1"/>
    </w:lvl>
  </w:abstractNum>
  <w:abstractNum w:abstractNumId="42">
    <w:nsid w:val="15014ACB"/>
    <w:multiLevelType w:val="hybridMultilevel"/>
    <w:lvl w:ilvl="0">
      <w:lvlJc w:val="left"/>
      <w:lvlText w:val="•"/>
      <w:numFmt w:val="bullet"/>
      <w:start w:val="1"/>
    </w:lvl>
  </w:abstractNum>
  <w:abstractNum w:abstractNumId="43">
    <w:nsid w:val="5F5E7FD0"/>
    <w:multiLevelType w:val="hybridMultilevel"/>
    <w:lvl w:ilvl="0">
      <w:lvlJc w:val="left"/>
      <w:lvlText w:val="•"/>
      <w:numFmt w:val="bullet"/>
      <w:start w:val="1"/>
    </w:lvl>
  </w:abstractNum>
  <w:abstractNum w:abstractNumId="44">
    <w:nsid w:val="98A3148"/>
    <w:multiLevelType w:val="hybridMultilevel"/>
    <w:lvl w:ilvl="0">
      <w:lvlJc w:val="left"/>
      <w:lvlText w:val="(%1)"/>
      <w:numFmt w:val="decimal"/>
      <w:start w:val="1"/>
    </w:lvl>
  </w:abstractNum>
  <w:abstractNum w:abstractNumId="45">
    <w:nsid w:val="799D0247"/>
    <w:multiLevelType w:val="hybridMultilevel"/>
    <w:lvl w:ilvl="0">
      <w:lvlJc w:val="left"/>
      <w:lvlText w:val="(%1)"/>
      <w:numFmt w:val="decimal"/>
      <w:start w:val="1"/>
    </w:lvl>
  </w:abstractNum>
  <w:abstractNum w:abstractNumId="46">
    <w:nsid w:val="6B94764"/>
    <w:multiLevelType w:val="hybridMultilevel"/>
    <w:lvl w:ilvl="0">
      <w:lvlJc w:val="left"/>
      <w:lvlText w:val="(%1)"/>
      <w:numFmt w:val="decimal"/>
      <w:start w:val="1"/>
    </w:lvl>
  </w:abstractNum>
  <w:abstractNum w:abstractNumId="47">
    <w:nsid w:val="42C296BD"/>
    <w:multiLevelType w:val="hybridMultilevel"/>
    <w:lvl w:ilvl="0">
      <w:lvlJc w:val="left"/>
      <w:lvlText w:val="(%1)"/>
      <w:numFmt w:val="decimal"/>
      <w:start w:val="1"/>
    </w:lvl>
  </w:abstractNum>
  <w:abstractNum w:abstractNumId="48">
    <w:nsid w:val="168E121F"/>
    <w:multiLevelType w:val="hybridMultilevel"/>
    <w:lvl w:ilvl="0">
      <w:lvlJc w:val="left"/>
      <w:lvlText w:val="•"/>
      <w:numFmt w:val="bullet"/>
      <w:start w:val="1"/>
    </w:lvl>
  </w:abstractNum>
  <w:abstractNum w:abstractNumId="49">
    <w:nsid w:val="1EBA5D23"/>
    <w:multiLevelType w:val="hybridMultilevel"/>
    <w:lvl w:ilvl="0">
      <w:lvlJc w:val="left"/>
      <w:lvlText w:val="•"/>
      <w:numFmt w:val="bullet"/>
      <w:start w:val="1"/>
    </w:lvl>
  </w:abstractNum>
  <w:abstractNum w:abstractNumId="50">
    <w:nsid w:val="661E3F1E"/>
    <w:multiLevelType w:val="hybridMultilevel"/>
    <w:lvl w:ilvl="0">
      <w:lvlJc w:val="left"/>
      <w:lvlText w:val="•"/>
      <w:numFmt w:val="bullet"/>
      <w:start w:val="1"/>
    </w:lvl>
  </w:abstractNum>
  <w:abstractNum w:abstractNumId="51">
    <w:nsid w:val="5DC79EA8"/>
    <w:multiLevelType w:val="hybridMultilevel"/>
    <w:lvl w:ilvl="0">
      <w:lvlJc w:val="left"/>
      <w:lvlText w:val="(%1)"/>
      <w:numFmt w:val="decimal"/>
      <w:start w:val="1"/>
    </w:lvl>
  </w:abstractNum>
  <w:abstractNum w:abstractNumId="52">
    <w:nsid w:val="540A471C"/>
    <w:multiLevelType w:val="hybridMultilevel"/>
    <w:lvl w:ilvl="0">
      <w:lvlJc w:val="left"/>
      <w:lvlText w:val="(%1)"/>
      <w:numFmt w:val="lowerRoman"/>
      <w:start w:val="3"/>
    </w:lvl>
  </w:abstractNum>
  <w:abstractNum w:abstractNumId="53">
    <w:nsid w:val="7BD3EE7B"/>
    <w:multiLevelType w:val="hybridMultilevel"/>
    <w:lvl w:ilvl="0">
      <w:lvlJc w:val="left"/>
      <w:lvlText w:val="•"/>
      <w:numFmt w:val="bullet"/>
      <w:start w:val="1"/>
    </w:lvl>
  </w:abstractNum>
  <w:abstractNum w:abstractNumId="54">
    <w:nsid w:val="51D9C564"/>
    <w:multiLevelType w:val="hybridMultilevel"/>
    <w:lvl w:ilvl="0">
      <w:lvlJc w:val="left"/>
      <w:lvlText w:val="•"/>
      <w:numFmt w:val="bullet"/>
      <w:start w:val="1"/>
    </w:lvl>
  </w:abstractNum>
  <w:abstractNum w:abstractNumId="55">
    <w:nsid w:val="613EFDC5"/>
    <w:multiLevelType w:val="hybridMultilevel"/>
    <w:lvl w:ilvl="0">
      <w:lvlJc w:val="left"/>
      <w:lvlText w:val="•"/>
      <w:numFmt w:val="bullet"/>
      <w:start w:val="1"/>
    </w:lvl>
  </w:abstractNum>
  <w:abstractNum w:abstractNumId="56">
    <w:nsid w:val="BF72B14"/>
    <w:multiLevelType w:val="hybridMultilevel"/>
    <w:lvl w:ilvl="0">
      <w:lvlJc w:val="left"/>
      <w:lvlText w:val="(%1)"/>
      <w:numFmt w:val="lowerLetter"/>
      <w:start w:val="1"/>
    </w:lvl>
  </w:abstractNum>
  <w:abstractNum w:abstractNumId="57">
    <w:nsid w:val="11447B73"/>
    <w:multiLevelType w:val="hybridMultilevel"/>
    <w:lvl w:ilvl="0">
      <w:lvlJc w:val="left"/>
      <w:lvlText w:val="%1"/>
      <w:numFmt w:val="decimal"/>
      <w:start w:val="101"/>
    </w:lvl>
  </w:abstractNum>
  <w:abstractNum w:abstractNumId="58">
    <w:nsid w:val="42963E5A"/>
    <w:multiLevelType w:val="hybridMultilevel"/>
    <w:lvl w:ilvl="0">
      <w:lvlJc w:val="left"/>
      <w:lvlText w:val="†"/>
      <w:numFmt w:val="bullet"/>
      <w:start w:val="1"/>
    </w:lvl>
  </w:abstractNum>
  <w:abstractNum w:abstractNumId="59">
    <w:nsid w:val="A0382C5"/>
    <w:multiLevelType w:val="hybridMultilevel"/>
    <w:lvl w:ilvl="0">
      <w:lvlJc w:val="left"/>
      <w:lvlText w:val="*"/>
      <w:numFmt w:val="bullet"/>
      <w:start w:val="1"/>
    </w:lvl>
  </w:abstractNum>
  <w:abstractNum w:abstractNumId="60">
    <w:nsid w:val="8F2B15E"/>
    <w:multiLevelType w:val="hybridMultilevel"/>
    <w:lvl w:ilvl="0">
      <w:lvlJc w:val="left"/>
      <w:lvlText w:val="(%1)"/>
      <w:numFmt w:val="lowerLetter"/>
      <w:start w:val="1"/>
    </w:lvl>
  </w:abstractNum>
  <w:abstractNum w:abstractNumId="61">
    <w:nsid w:val="1A32234B"/>
    <w:multiLevelType w:val="hybridMultilevel"/>
    <w:lvl w:ilvl="0">
      <w:lvlJc w:val="left"/>
      <w:lvlText w:val="(%1)"/>
      <w:numFmt w:val="lowerLetter"/>
      <w:start w:val="7"/>
    </w:lvl>
    <w:lvl w:ilvl="1">
      <w:lvlJc w:val="left"/>
      <w:lvlText w:val="(%2)"/>
      <w:numFmt w:val="lowerRoman"/>
      <w:start w:val="1"/>
    </w:lvl>
  </w:abstractNum>
  <w:abstractNum w:abstractNumId="62">
    <w:nsid w:val="3B0FD379"/>
    <w:multiLevelType w:val="hybridMultilevel"/>
    <w:lvl w:ilvl="0">
      <w:lvlJc w:val="left"/>
      <w:lvlText w:val="(%1)"/>
      <w:numFmt w:val="lowerRoman"/>
      <w:start w:val="4"/>
    </w:lvl>
  </w:abstractNum>
  <w:abstractNum w:abstractNumId="63">
    <w:nsid w:val="68EB2F63"/>
    <w:multiLevelType w:val="hybridMultilevel"/>
    <w:lvl w:ilvl="0">
      <w:lvlJc w:val="left"/>
      <w:lvlText w:val="(%1)"/>
      <w:numFmt w:val="lowerLetter"/>
      <w:start w:val="8"/>
    </w:lvl>
  </w:abstractNum>
  <w:abstractNum w:abstractNumId="64">
    <w:nsid w:val="4962813B"/>
    <w:multiLevelType w:val="hybridMultilevel"/>
    <w:lvl w:ilvl="0">
      <w:lvlJc w:val="left"/>
      <w:lvlText w:val="%1"/>
      <w:numFmt w:val="lowerLetter"/>
      <w:start w:val="1"/>
    </w:lvl>
    <w:lvl w:ilvl="1">
      <w:lvlJc w:val="left"/>
      <w:lvlText w:val="(%2)"/>
      <w:numFmt w:val="lowerLetter"/>
      <w:start w:val="16"/>
    </w:lvl>
  </w:abstractNum>
  <w:abstractNum w:abstractNumId="65">
    <w:nsid w:val="60B6DF70"/>
    <w:multiLevelType w:val="hybridMultilevel"/>
    <w:lvl w:ilvl="0">
      <w:lvlJc w:val="left"/>
      <w:lvlText w:val="(%1)"/>
      <w:numFmt w:val="lowerLetter"/>
      <w:start w:val="9"/>
    </w:lvl>
    <w:lvl w:ilvl="1">
      <w:lvlJc w:val="left"/>
      <w:lvlText w:val="(%2)"/>
      <w:numFmt w:val="lowerLetter"/>
      <w:start w:val="24"/>
    </w:lvl>
  </w:abstractNum>
  <w:abstractNum w:abstractNumId="66">
    <w:nsid w:val="6A5EE64"/>
    <w:multiLevelType w:val="hybridMultilevel"/>
    <w:lvl w:ilvl="0">
      <w:lvlJc w:val="left"/>
      <w:lvlText w:val="(%1)"/>
      <w:numFmt w:val="lowerLetter"/>
      <w:start w:val="27"/>
    </w:lvl>
  </w:abstractNum>
  <w:abstractNum w:abstractNumId="67">
    <w:nsid w:val="14330624"/>
    <w:multiLevelType w:val="hybridMultilevel"/>
    <w:lvl w:ilvl="0">
      <w:lvlJc w:val="left"/>
      <w:lvlText w:val="(%1)"/>
      <w:numFmt w:val="lowerLetter"/>
      <w:start w:val="1"/>
    </w:lvl>
  </w:abstractNum>
  <w:abstractNum w:abstractNumId="68">
    <w:nsid w:val="7FFFCA11"/>
    <w:multiLevelType w:val="hybridMultilevel"/>
    <w:lvl w:ilvl="0">
      <w:lvlJc w:val="left"/>
      <w:lvlText w:val="(%1)"/>
      <w:numFmt w:val="lowerLetter"/>
      <w:start w:val="1"/>
    </w:lvl>
  </w:abstractNum>
  <w:abstractNum w:abstractNumId="69">
    <w:nsid w:val="1A27709E"/>
    <w:multiLevelType w:val="hybridMultilevel"/>
    <w:lvl w:ilvl="0">
      <w:lvlJc w:val="left"/>
      <w:lvlText w:val="(%1)"/>
      <w:numFmt w:val="lowerLetter"/>
      <w:start w:val="3"/>
    </w:lvl>
  </w:abstractNum>
  <w:abstractNum w:abstractNumId="70">
    <w:nsid w:val="71EA110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71">
    <w:nsid w:val="100F59D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72">
    <w:nsid w:val="7FB7E0AA"/>
    <w:multiLevelType w:val="hybridMultilevel"/>
    <w:lvl w:ilvl="0">
      <w:lvlJc w:val="left"/>
      <w:lvlText w:val="(%1)"/>
      <w:numFmt w:val="lowerRoman"/>
      <w:start w:val="4"/>
    </w:lvl>
    <w:lvl w:ilvl="1">
      <w:lvlJc w:val="left"/>
      <w:lvlText w:val="(%2)"/>
      <w:numFmt w:val="lowerLetter"/>
      <w:start w:val="2"/>
    </w:lvl>
    <w:lvl w:ilvl="2">
      <w:lvlJc w:val="left"/>
      <w:lvlText w:val="(%3)"/>
      <w:numFmt w:val="lowerRoman"/>
      <w:start w:val="1"/>
    </w:lvl>
  </w:abstractNum>
  <w:abstractNum w:abstractNumId="73">
    <w:nsid w:val="6EB5BD4"/>
    <w:multiLevelType w:val="hybridMultilevel"/>
    <w:lvl w:ilvl="0">
      <w:lvlJc w:val="left"/>
      <w:lvlText w:val="(%1)"/>
      <w:numFmt w:val="lowerLetter"/>
      <w:start w:val="3"/>
    </w:lvl>
    <w:lvl w:ilvl="1">
      <w:lvlJc w:val="left"/>
      <w:lvlText w:val="(%2)"/>
      <w:numFmt w:val="lowerRoman"/>
      <w:start w:val="1"/>
    </w:lvl>
  </w:abstractNum>
  <w:abstractNum w:abstractNumId="74">
    <w:nsid w:val="6F6DD9AC"/>
    <w:multiLevelType w:val="hybridMultilevel"/>
    <w:lvl w:ilvl="0">
      <w:lvlJc w:val="left"/>
      <w:lvlText w:val="(%1)"/>
      <w:numFmt w:val="lowerRoman"/>
      <w:start w:val="4"/>
    </w:lvl>
    <w:lvl w:ilvl="1">
      <w:lvlJc w:val="left"/>
      <w:lvlText w:val="(%2)"/>
      <w:numFmt w:val="lowerRoman"/>
      <w:start w:val="6"/>
    </w:lvl>
  </w:abstractNum>
  <w:abstractNum w:abstractNumId="75">
    <w:nsid w:val="94211F2"/>
    <w:multiLevelType w:val="hybridMultilevel"/>
    <w:lvl w:ilvl="0">
      <w:lvlJc w:val="left"/>
      <w:lvlText w:val="(%1)"/>
      <w:numFmt w:val="lowerLetter"/>
      <w:start w:val="5"/>
    </w:lvl>
  </w:abstractNum>
  <w:abstractNum w:abstractNumId="76">
    <w:nsid w:val="885E1B"/>
    <w:multiLevelType w:val="hybridMultilevel"/>
    <w:lvl w:ilvl="0">
      <w:lvlJc w:val="left"/>
      <w:lvlText w:val="(%1)"/>
      <w:numFmt w:val="lowerLetter"/>
      <w:start w:val="6"/>
    </w:lvl>
  </w:abstractNum>
  <w:abstractNum w:abstractNumId="77">
    <w:nsid w:val="76272110"/>
    <w:multiLevelType w:val="hybridMultilevel"/>
    <w:lvl w:ilvl="0">
      <w:lvlJc w:val="left"/>
      <w:lvlText w:val="(%1)"/>
      <w:numFmt w:val="lowerLetter"/>
      <w:start w:val="1"/>
    </w:lvl>
  </w:abstractNum>
  <w:abstractNum w:abstractNumId="78">
    <w:nsid w:val="4C04A8AF"/>
    <w:multiLevelType w:val="hybridMultilevel"/>
    <w:lvl w:ilvl="0">
      <w:lvlJc w:val="left"/>
      <w:lvlText w:val="(%1)"/>
      <w:numFmt w:val="lowerLetter"/>
      <w:start w:val="1"/>
    </w:lvl>
  </w:abstractNum>
  <w:abstractNum w:abstractNumId="79">
    <w:nsid w:val="1716703B"/>
    <w:multiLevelType w:val="hybridMultilevel"/>
    <w:lvl w:ilvl="0">
      <w:lvlJc w:val="left"/>
      <w:lvlText w:val="(%1)"/>
      <w:numFmt w:val="lowerLetter"/>
      <w:start w:val="2"/>
    </w:lvl>
  </w:abstractNum>
  <w:abstractNum w:abstractNumId="80">
    <w:nsid w:val="14E17E33"/>
    <w:multiLevelType w:val="hybridMultilevel"/>
    <w:lvl w:ilvl="0">
      <w:lvlJc w:val="left"/>
      <w:lvlText w:val="(%1)"/>
      <w:numFmt w:val="lowerLetter"/>
      <w:start w:val="1"/>
    </w:lvl>
  </w:abstractNum>
  <w:abstractNum w:abstractNumId="81">
    <w:nsid w:val="3222E7CD"/>
    <w:multiLevelType w:val="hybridMultilevel"/>
    <w:lvl w:ilvl="0">
      <w:lvlJc w:val="left"/>
      <w:lvlText w:val="(%1)"/>
      <w:numFmt w:val="lowerLetter"/>
      <w:start w:val="1"/>
    </w:lvl>
  </w:abstractNum>
  <w:abstractNum w:abstractNumId="82">
    <w:nsid w:val="74DE0EE3"/>
    <w:multiLevelType w:val="hybridMultilevel"/>
    <w:lvl w:ilvl="0">
      <w:lvlJc w:val="left"/>
      <w:lvlText w:val="(%1)"/>
      <w:numFmt w:val="decimal"/>
      <w:start w:val="1"/>
    </w:lvl>
  </w:abstractNum>
  <w:abstractNum w:abstractNumId="83">
    <w:nsid w:val="68EBC550"/>
    <w:multiLevelType w:val="hybridMultilevel"/>
    <w:lvl w:ilvl="0">
      <w:lvlJc w:val="left"/>
      <w:lvlText w:val="%1."/>
      <w:numFmt w:val="decimal"/>
      <w:start w:val="1"/>
    </w:lvl>
  </w:abstractNum>
  <w:abstractNum w:abstractNumId="84">
    <w:nsid w:val="2DF6D648"/>
    <w:multiLevelType w:val="hybridMultilevel"/>
    <w:lvl w:ilvl="0">
      <w:lvlJc w:val="left"/>
      <w:lvlText w:val="%1."/>
      <w:numFmt w:val="decimal"/>
      <w:start w:val="3"/>
    </w:lvl>
  </w:abstractNum>
  <w:abstractNum w:abstractNumId="85">
    <w:nsid w:val="46B7D447"/>
    <w:multiLevelType w:val="hybridMultilevel"/>
    <w:lvl w:ilvl="0">
      <w:lvlJc w:val="left"/>
      <w:lvlText w:val="(%1)"/>
      <w:numFmt w:val="lowerLetter"/>
      <w:start w:val="1"/>
    </w:lvl>
  </w:abstractNum>
  <w:abstractNum w:abstractNumId="86">
    <w:nsid w:val="4A2AC315"/>
    <w:multiLevelType w:val="hybridMultilevel"/>
    <w:lvl w:ilvl="0">
      <w:lvlJc w:val="left"/>
      <w:lvlText w:val="(%1)"/>
      <w:numFmt w:val="lowerLetter"/>
      <w:start w:val="2"/>
    </w:lvl>
  </w:abstractNum>
  <w:abstractNum w:abstractNumId="87">
    <w:nsid w:val="39EE015C"/>
    <w:multiLevelType w:val="hybridMultilevel"/>
    <w:lvl w:ilvl="0">
      <w:lvlJc w:val="left"/>
      <w:lvlText w:val="(%1)"/>
      <w:numFmt w:val="lowerLetter"/>
      <w:start w:val="3"/>
    </w:lvl>
  </w:abstractNum>
  <w:abstractNum w:abstractNumId="88">
    <w:nsid w:val="57FC4FBB"/>
    <w:multiLevelType w:val="hybridMultilevel"/>
    <w:lvl w:ilvl="0">
      <w:lvlJc w:val="left"/>
      <w:lvlText w:val="%1."/>
      <w:numFmt w:val="decimal"/>
      <w:start w:val="5"/>
    </w:lvl>
    <w:lvl w:ilvl="1">
      <w:lvlJc w:val="left"/>
      <w:lvlText w:val="(%2)"/>
      <w:numFmt w:val="lowerLetter"/>
      <w:start w:val="1"/>
    </w:lvl>
  </w:abstractNum>
  <w:abstractNum w:abstractNumId="89">
    <w:nsid w:val="CC1016F"/>
    <w:multiLevelType w:val="hybridMultilevel"/>
    <w:lvl w:ilvl="0">
      <w:lvlJc w:val="left"/>
      <w:lvlText w:val="%1."/>
      <w:numFmt w:val="decimal"/>
      <w:start w:val="1"/>
    </w:lvl>
  </w:abstractNum>
  <w:abstractNum w:abstractNumId="90">
    <w:nsid w:val="43F18422"/>
    <w:multiLevelType w:val="hybridMultilevel"/>
    <w:lvl w:ilvl="0">
      <w:lvlJc w:val="left"/>
      <w:lvlText w:val="%1."/>
      <w:numFmt w:val="decimal"/>
      <w:start w:val="3"/>
    </w:lvl>
  </w:abstractNum>
  <w:abstractNum w:abstractNumId="91">
    <w:nsid w:val="60EF0119"/>
    <w:multiLevelType w:val="hybridMultilevel"/>
    <w:lvl w:ilvl="0">
      <w:lvlJc w:val="left"/>
      <w:lvlText w:val="(%1)"/>
      <w:numFmt w:val="lowerLetter"/>
      <w:start w:val="1"/>
    </w:lvl>
  </w:abstractNum>
  <w:abstractNum w:abstractNumId="92">
    <w:nsid w:val="26F324BA"/>
    <w:multiLevelType w:val="hybridMultilevel"/>
    <w:lvl w:ilvl="0">
      <w:lvlJc w:val="left"/>
      <w:lvlText w:val="(%1)"/>
      <w:numFmt w:val="lowerLetter"/>
      <w:start w:val="2"/>
    </w:lvl>
  </w:abstractNum>
  <w:abstractNum w:abstractNumId="93">
    <w:nsid w:val="7F01579B"/>
    <w:multiLevelType w:val="hybridMultilevel"/>
    <w:lvl w:ilvl="0">
      <w:lvlJc w:val="left"/>
      <w:lvlText w:val="(%1)"/>
      <w:numFmt w:val="lowerLetter"/>
      <w:start w:val="3"/>
    </w:lvl>
  </w:abstractNum>
  <w:abstractNum w:abstractNumId="94">
    <w:nsid w:val="49DA307D"/>
    <w:multiLevelType w:val="hybridMultilevel"/>
    <w:lvl w:ilvl="0">
      <w:lvlJc w:val="left"/>
      <w:lvlText w:val="%1."/>
      <w:numFmt w:val="decimal"/>
      <w:start w:val="5"/>
    </w:lvl>
    <w:lvl w:ilvl="1">
      <w:lvlJc w:val="left"/>
      <w:lvlText w:val="(%2)"/>
      <w:numFmt w:val="lowerLetter"/>
      <w:start w:val="1"/>
    </w:lvl>
  </w:abstractNum>
  <w:abstractNum w:abstractNumId="95">
    <w:nsid w:val="7055A5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2020-01-16T09:44:18Z</dcterms:created>
  <dcterms:modified xsi:type="dcterms:W3CDTF">2020-01-16T09:44:18Z</dcterms:modified>
</cp:coreProperties>
</file>