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420526.xml.htm"/>
      <w:bookmarkStart w:id="1" w:name="kswkform4_17894205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Benson David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ESSENT GROUP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CLARENDON HOUSE, 2 CHURCH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HAMILTON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HM11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BERMUDA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Essent Group Ltd.</w:t>
              </w:r>
            </w:hyperlink>
            <w:r>
              <w:rPr/>
              <w:t xml:space="preserve"> [ </w:t>
            </w:r>
            <w:r>
              <w:rPr>
                <w:rFonts w:ascii="Times;serif" w:hAnsi="Times;serif"/>
                <w:color w:val="0000FF"/>
                <w:sz w:val="24"/>
                <w:shd w:fill="FFFFFF" w:val="clear"/>
              </w:rPr>
              <w:t>ESNT</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88" w:type="dxa"/>
        <w:jc w:val="left"/>
        <w:tblInd w:w="-7" w:type="dxa"/>
        <w:tblLayout w:type="fixed"/>
        <w:tblCellMar>
          <w:top w:w="60" w:type="dxa"/>
          <w:left w:w="60" w:type="dxa"/>
          <w:bottom w:w="60" w:type="dxa"/>
          <w:right w:w="60" w:type="dxa"/>
        </w:tblCellMar>
      </w:tblPr>
      <w:tblGrid>
        <w:gridCol w:w="1025"/>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8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 par value $0.015</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unvested restricted stock award(s) and/or unvested restricted stock unit award(s) and become vested proportionately with the award(s) to which they relate. Each dividend equivalent unit is the economic equivalent of one common share of Essent Group Ltd.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B. Weinstock,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44618" TargetMode="External"/><Relationship Id="rId5" Type="http://schemas.openxmlformats.org/officeDocument/2006/relationships/hyperlink" Target="http://www.sec.gov/cgi-bin/browse-edgar?action=getcompany&amp;CIK=00014488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622</Words>
  <Characters>3392</Characters>
  <CharactersWithSpaces>3942</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