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167640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324485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69"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period ended June 30, 2016</w:t>
      </w:r>
    </w:p>
    <w:p>
      <w:pPr>
        <w:spacing w:after="0" w:line="230"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w:t>
      </w:r>
    </w:p>
    <w:p>
      <w:pPr>
        <w:spacing w:after="0" w:line="6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1934</w:t>
      </w:r>
    </w:p>
    <w:p>
      <w:pPr>
        <w:sectPr>
          <w:pgSz w:w="11900" w:h="16838" w:orient="portrait"/>
          <w:cols w:equalWidth="0" w:num="1">
            <w:col w:w="11240"/>
          </w:cols>
          <w:pgMar w:left="240" w:top="233" w:right="419" w:bottom="1440" w:gutter="0" w:footer="0" w:header="0"/>
        </w:sectPr>
      </w:pPr>
    </w:p>
    <w:p>
      <w:pPr>
        <w:spacing w:after="0" w:line="21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200" w:space="620"/>
            <w:col w:w="4420"/>
          </w:cols>
          <w:pgMar w:left="240" w:top="233" w:right="419" w:bottom="1440" w:gutter="0" w:footer="0" w:header="0"/>
          <w:type w:val="continuous"/>
        </w:sectPr>
      </w:pP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194945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240"/>
          </w:cols>
          <w:pgMar w:left="240" w:top="233" w:right="41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tbl>
      <w:tblPr>
        <w:tblLayout w:type="fixed"/>
        <w:tblInd w:w="1660" w:type="dxa"/>
        <w:tblCellMar>
          <w:top w:w="0" w:type="dxa"/>
          <w:left w:w="0" w:type="dxa"/>
          <w:bottom w:w="0" w:type="dxa"/>
          <w:right w:w="0" w:type="dxa"/>
        </w:tblCellMar>
      </w:tblPr>
      <w:tr>
        <w:trPr>
          <w:trHeight w:val="391"/>
        </w:trPr>
        <w:tc>
          <w:tcPr>
            <w:tcW w:w="1600" w:type="dxa"/>
            <w:vAlign w:val="bottom"/>
          </w:tcPr>
          <w:p>
            <w:pPr>
              <w:spacing w:after="0"/>
              <w:rPr>
                <w:sz w:val="24"/>
                <w:szCs w:val="24"/>
                <w:color w:val="auto"/>
              </w:rPr>
            </w:pPr>
          </w:p>
        </w:tc>
        <w:tc>
          <w:tcPr>
            <w:tcW w:w="4480" w:type="dxa"/>
            <w:vAlign w:val="bottom"/>
          </w:tcPr>
          <w:p>
            <w:pPr>
              <w:jc w:val="center"/>
              <w:ind w:left="320"/>
              <w:spacing w:after="0"/>
              <w:rPr>
                <w:sz w:val="20"/>
                <w:szCs w:val="20"/>
                <w:color w:val="auto"/>
              </w:rPr>
            </w:pPr>
            <w:r>
              <w:rPr>
                <w:rFonts w:ascii="Arial" w:cs="Arial" w:eastAsia="Arial" w:hAnsi="Arial"/>
                <w:sz w:val="32"/>
                <w:szCs w:val="32"/>
                <w:b w:val="1"/>
                <w:bCs w:val="1"/>
                <w:color w:val="auto"/>
                <w:w w:val="98"/>
              </w:rPr>
              <w:t>ESSENT GROUP LTD.</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600" w:type="dxa"/>
            <w:vAlign w:val="bottom"/>
          </w:tcPr>
          <w:p>
            <w:pPr>
              <w:spacing w:after="0"/>
              <w:rPr>
                <w:sz w:val="22"/>
                <w:szCs w:val="22"/>
                <w:color w:val="auto"/>
              </w:rPr>
            </w:pPr>
          </w:p>
        </w:tc>
        <w:tc>
          <w:tcPr>
            <w:tcW w:w="44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r>
      <w:tr>
        <w:trPr>
          <w:trHeight w:val="588"/>
        </w:trPr>
        <w:tc>
          <w:tcPr>
            <w:tcW w:w="6080" w:type="dxa"/>
            <w:vAlign w:val="bottom"/>
            <w:gridSpan w:val="2"/>
          </w:tcPr>
          <w:p>
            <w:pPr>
              <w:jc w:val="center"/>
              <w:ind w:right="3820"/>
              <w:spacing w:after="0"/>
              <w:rPr>
                <w:sz w:val="20"/>
                <w:szCs w:val="20"/>
                <w:color w:val="auto"/>
              </w:rPr>
            </w:pPr>
            <w:r>
              <w:rPr>
                <w:rFonts w:ascii="Arial" w:cs="Arial" w:eastAsia="Arial" w:hAnsi="Arial"/>
                <w:sz w:val="18"/>
                <w:szCs w:val="18"/>
                <w:b w:val="1"/>
                <w:bCs w:val="1"/>
                <w:color w:val="auto"/>
                <w:w w:val="92"/>
              </w:rPr>
              <w:t>Bermuda</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Not Applicable</w:t>
            </w:r>
          </w:p>
        </w:tc>
      </w:tr>
      <w:tr>
        <w:trPr>
          <w:trHeight w:val="256"/>
        </w:trPr>
        <w:tc>
          <w:tcPr>
            <w:tcW w:w="6080" w:type="dxa"/>
            <w:vAlign w:val="bottom"/>
            <w:gridSpan w:val="2"/>
          </w:tcPr>
          <w:p>
            <w:pPr>
              <w:jc w:val="center"/>
              <w:ind w:right="3800"/>
              <w:spacing w:after="0"/>
              <w:rPr>
                <w:sz w:val="20"/>
                <w:szCs w:val="20"/>
                <w:color w:val="auto"/>
              </w:rPr>
            </w:pPr>
            <w:r>
              <w:rPr>
                <w:rFonts w:ascii="Arial" w:cs="Arial" w:eastAsia="Arial" w:hAnsi="Arial"/>
                <w:sz w:val="18"/>
                <w:szCs w:val="18"/>
                <w:color w:val="auto"/>
                <w:w w:val="93"/>
              </w:rPr>
              <w:t>(State or other jurisdiction of</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(I.R.S. Employer</w:t>
            </w:r>
          </w:p>
        </w:tc>
      </w:tr>
      <w:tr>
        <w:trPr>
          <w:trHeight w:val="230"/>
        </w:trPr>
        <w:tc>
          <w:tcPr>
            <w:tcW w:w="6080" w:type="dxa"/>
            <w:vAlign w:val="bottom"/>
            <w:gridSpan w:val="2"/>
          </w:tcPr>
          <w:p>
            <w:pPr>
              <w:jc w:val="center"/>
              <w:ind w:right="3800"/>
              <w:spacing w:after="0"/>
              <w:rPr>
                <w:sz w:val="20"/>
                <w:szCs w:val="20"/>
                <w:color w:val="auto"/>
              </w:rPr>
            </w:pPr>
            <w:r>
              <w:rPr>
                <w:rFonts w:ascii="Arial" w:cs="Arial" w:eastAsia="Arial" w:hAnsi="Arial"/>
                <w:sz w:val="18"/>
                <w:szCs w:val="18"/>
                <w:color w:val="auto"/>
                <w:w w:val="93"/>
              </w:rPr>
              <w:t>incorporation or organization)</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Identification Number)</w:t>
            </w:r>
          </w:p>
        </w:tc>
      </w:tr>
      <w:tr>
        <w:trPr>
          <w:trHeight w:val="252"/>
        </w:trPr>
        <w:tc>
          <w:tcPr>
            <w:tcW w:w="1600" w:type="dxa"/>
            <w:vAlign w:val="bottom"/>
          </w:tcPr>
          <w:p>
            <w:pPr>
              <w:spacing w:after="0"/>
              <w:rPr>
                <w:sz w:val="21"/>
                <w:szCs w:val="21"/>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89"/>
              </w:rPr>
              <w:t>Clarendon House</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6"/>
        </w:trPr>
        <w:tc>
          <w:tcPr>
            <w:tcW w:w="1600" w:type="dxa"/>
            <w:vAlign w:val="bottom"/>
          </w:tcPr>
          <w:p>
            <w:pPr>
              <w:spacing w:after="0"/>
              <w:rPr>
                <w:sz w:val="18"/>
                <w:szCs w:val="18"/>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90"/>
              </w:rPr>
              <w:t>2 Church Street</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600" w:type="dxa"/>
            <w:vAlign w:val="bottom"/>
          </w:tcPr>
          <w:p>
            <w:pPr>
              <w:spacing w:after="0"/>
              <w:rPr>
                <w:sz w:val="19"/>
                <w:szCs w:val="19"/>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94"/>
              </w:rPr>
              <w:t>Hamilton HM11, Bermuda</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color w:val="auto"/>
                <w:w w:val="91"/>
              </w:rPr>
              <w:t>(Address of principal executive offices and zip code)</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6080" w:type="dxa"/>
            <w:vAlign w:val="bottom"/>
            <w:gridSpan w:val="2"/>
          </w:tcPr>
          <w:p>
            <w:pPr>
              <w:jc w:val="center"/>
              <w:ind w:left="1950"/>
              <w:spacing w:after="0"/>
              <w:rPr>
                <w:sz w:val="20"/>
                <w:szCs w:val="20"/>
                <w:color w:val="auto"/>
              </w:rPr>
            </w:pPr>
            <w:r>
              <w:rPr>
                <w:rFonts w:ascii="Arial" w:cs="Arial" w:eastAsia="Arial" w:hAnsi="Arial"/>
                <w:sz w:val="18"/>
                <w:szCs w:val="18"/>
                <w:b w:val="1"/>
                <w:bCs w:val="1"/>
                <w:color w:val="auto"/>
                <w:w w:val="90"/>
              </w:rPr>
              <w:t>(441) 297-9901</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color w:val="auto"/>
                <w:w w:val="90"/>
              </w:rPr>
              <w:t>(Registrant’s telephone number, including area code)</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29" w:lineRule="exact"/>
        <w:rPr>
          <w:sz w:val="24"/>
          <w:szCs w:val="24"/>
          <w:color w:val="auto"/>
        </w:rPr>
      </w:pPr>
    </w:p>
    <w:p>
      <w:pPr>
        <w:jc w:val="both"/>
        <w:ind w:right="6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6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240" w:top="233" w:right="419" w:bottom="1440" w:gutter="0" w:footer="0" w:header="0"/>
          <w:type w:val="continuous"/>
        </w:sectPr>
      </w:pPr>
    </w:p>
    <w:p>
      <w:pPr>
        <w:spacing w:after="0" w:line="157"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7300" w:space="720"/>
            <w:col w:w="3220"/>
          </w:cols>
          <w:pgMar w:left="240" w:top="233" w:right="419" w:bottom="1440" w:gutter="0" w:footer="0" w:header="0"/>
          <w:type w:val="continuous"/>
        </w:sect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920" w:space="720"/>
            <w:col w:w="3600"/>
          </w:cols>
          <w:pgMar w:left="240" w:top="233" w:right="419" w:bottom="1440" w:gutter="0" w:footer="0" w:header="0"/>
          <w:type w:val="continuous"/>
        </w:sectPr>
      </w:pPr>
    </w:p>
    <w:p>
      <w:pPr>
        <w:spacing w:after="0" w:line="43" w:lineRule="exact"/>
        <w:rPr>
          <w:sz w:val="24"/>
          <w:szCs w:val="24"/>
          <w:color w:val="auto"/>
        </w:rPr>
      </w:pPr>
    </w:p>
    <w:p>
      <w:pPr>
        <w:ind w:left="600" w:right="1500" w:hanging="41"/>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August 1, 2016 was 93,104,004.</w:t>
      </w:r>
    </w:p>
    <w:p>
      <w:pPr>
        <w:sectPr>
          <w:pgSz w:w="11900" w:h="16838" w:orient="portrait"/>
          <w:cols w:equalWidth="0" w:num="1">
            <w:col w:w="11240"/>
          </w:cols>
          <w:pgMar w:left="240" w:top="233"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6"/>
          </w:tcPr>
          <w:p>
            <w:pPr>
              <w:spacing w:after="0"/>
              <w:rPr>
                <w:sz w:val="24"/>
                <w:szCs w:val="24"/>
                <w:color w:val="auto"/>
              </w:rPr>
            </w:pPr>
          </w:p>
        </w:tc>
        <w:tc>
          <w:tcPr>
            <w:tcW w:w="260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5">
              <w:r>
                <w:rPr>
                  <w:rFonts w:ascii="Arial" w:cs="Arial" w:eastAsia="Arial" w:hAnsi="Arial"/>
                  <w:sz w:val="18"/>
                  <w:szCs w:val="18"/>
                  <w:b w:val="1"/>
                  <w:bCs w:val="1"/>
                  <w:color w:val="0000EE"/>
                  <w:w w:val="91"/>
                </w:rPr>
                <w:t>Item 2.</w:t>
              </w:r>
            </w:hyperlink>
          </w:p>
        </w:tc>
        <w:tc>
          <w:tcPr>
            <w:tcW w:w="1060" w:type="dxa"/>
            <w:vAlign w:val="bottom"/>
            <w:gridSpan w:val="7"/>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25">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2">
              <w:r>
                <w:rPr>
                  <w:rFonts w:ascii="Arial" w:cs="Arial" w:eastAsia="Arial" w:hAnsi="Arial"/>
                  <w:sz w:val="18"/>
                  <w:szCs w:val="18"/>
                  <w:b w:val="1"/>
                  <w:bCs w:val="1"/>
                  <w:color w:val="0000EE"/>
                  <w:w w:val="91"/>
                </w:rPr>
                <w:t>Item 3.</w:t>
              </w:r>
            </w:hyperlink>
          </w:p>
        </w:tc>
        <w:tc>
          <w:tcPr>
            <w:tcW w:w="1060" w:type="dxa"/>
            <w:vAlign w:val="bottom"/>
            <w:gridSpan w:val="7"/>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2">
              <w:r>
                <w:rPr>
                  <w:rFonts w:ascii="Arial" w:cs="Arial" w:eastAsia="Arial" w:hAnsi="Arial"/>
                  <w:sz w:val="18"/>
                  <w:szCs w:val="18"/>
                  <w:b w:val="1"/>
                  <w:bCs w:val="1"/>
                  <w:color w:val="0000EE"/>
                  <w:w w:val="91"/>
                </w:rPr>
                <w:t>Item 4.</w:t>
              </w:r>
            </w:hyperlink>
          </w:p>
        </w:tc>
        <w:tc>
          <w:tcPr>
            <w:tcW w:w="1060" w:type="dxa"/>
            <w:vAlign w:val="bottom"/>
            <w:gridSpan w:val="7"/>
          </w:tcPr>
          <w:p>
            <w:pPr>
              <w:spacing w:after="0"/>
              <w:rPr>
                <w:sz w:val="24"/>
                <w:szCs w:val="24"/>
                <w:color w:val="auto"/>
              </w:rPr>
            </w:pPr>
          </w:p>
        </w:tc>
        <w:tc>
          <w:tcPr>
            <w:tcW w:w="19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42">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3">
              <w:r>
                <w:rPr>
                  <w:rFonts w:ascii="Arial" w:cs="Arial" w:eastAsia="Arial" w:hAnsi="Arial"/>
                  <w:sz w:val="18"/>
                  <w:szCs w:val="18"/>
                  <w:b w:val="1"/>
                  <w:bCs w:val="1"/>
                  <w:color w:val="0000EE"/>
                  <w:w w:val="98"/>
                </w:rPr>
                <w:t>PART II.</w:t>
              </w:r>
            </w:hyperlink>
          </w:p>
        </w:tc>
        <w:tc>
          <w:tcPr>
            <w:tcW w:w="900" w:type="dxa"/>
            <w:vAlign w:val="bottom"/>
            <w:gridSpan w:val="4"/>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4"/>
          </w:tcPr>
          <w:p>
            <w:pPr>
              <w:spacing w:after="0"/>
              <w:rPr>
                <w:sz w:val="24"/>
                <w:szCs w:val="24"/>
                <w:color w:val="auto"/>
              </w:rPr>
            </w:pPr>
          </w:p>
        </w:tc>
        <w:tc>
          <w:tcPr>
            <w:tcW w:w="20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1A.</w:t>
              </w:r>
            </w:hyperlink>
          </w:p>
        </w:tc>
        <w:tc>
          <w:tcPr>
            <w:tcW w:w="9580" w:type="dxa"/>
            <w:vAlign w:val="bottom"/>
            <w:gridSpan w:val="1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5"/>
          </w:tcPr>
          <w:p>
            <w:pPr>
              <w:spacing w:after="0"/>
              <w:rPr>
                <w:sz w:val="24"/>
                <w:szCs w:val="24"/>
                <w:color w:val="auto"/>
              </w:rPr>
            </w:pP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43">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6.</w:t>
              </w:r>
            </w:hyperlink>
          </w:p>
        </w:tc>
        <w:tc>
          <w:tcPr>
            <w:tcW w:w="1060" w:type="dxa"/>
            <w:vAlign w:val="bottom"/>
            <w:gridSpan w:val="7"/>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5">
              <w:r>
                <w:rPr>
                  <w:rFonts w:ascii="Arial" w:cs="Arial" w:eastAsia="Arial" w:hAnsi="Arial"/>
                  <w:sz w:val="18"/>
                  <w:szCs w:val="18"/>
                  <w:b w:val="1"/>
                  <w:bCs w:val="1"/>
                  <w:color w:val="0000EE"/>
                  <w:w w:val="96"/>
                </w:rPr>
                <w:t>SIGNATURES</w:t>
              </w:r>
            </w:hyperlink>
          </w:p>
        </w:tc>
        <w:tc>
          <w:tcPr>
            <w:tcW w:w="4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EXHIBIT INDEX</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i w:val="1"/>
          <w:iCs w:val="1"/>
          <w:color w:val="auto"/>
        </w:rPr>
        <w:t>Form 10-Q, refer to Essent Group Ltd. and its directly and indirectly owned subsidiaries, including our primary operating subsidiary, Essent Guaranty, Inc., as a combined entity, except where otherwise stated or where it is clear that the terms mean only Essent Group Ltd. exclusive of its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factors described in Part I, Item 2 “Management’s Discussion and Analysis of Financial Condition and Results of Operations” of this Quarterly Report, and factors described in Part I, Item 1A “Risk Factors” of our Annual Report on Form 10-K for the year ended December 31, 2015 filed with the Securities and Exchange Commission. These factors include, without limitation, the following:</w:t>
      </w:r>
    </w:p>
    <w:p>
      <w:pPr>
        <w:spacing w:after="0" w:line="179"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2016 — $1,270,454; 2015 — $1,189,978)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1,305,939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1,190,638</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2016 — $129,235; 2015 — $85,994)</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129,235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85,996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1,435,174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1,276,634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24,606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16,637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$44,519 in 2016 and $42,479 in 2015)</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119,412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3,492</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1,658,207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1,469,099</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214,910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201,045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payroll and bonuses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15,955</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liability</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126,991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87,964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12,138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409,600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349,858</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- 93,106 shares in 2016 and 92,650 shares in 2015</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909,310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904,221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313,938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213,729</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1,248,607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1,119,241</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1,658,207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1,469,099</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06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108,513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92,399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208,979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174,656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(21,257)</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100,711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78,361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195,114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153,399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1,217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r>
      <w:tr>
        <w:trPr>
          <w:trHeight w:val="237"/>
        </w:trPr>
        <w:tc>
          <w:tcPr>
            <w:tcW w:w="64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108,165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84,067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210,631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164,078</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91"/>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4,313</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62,797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54,646</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58,959</w:t>
            </w:r>
          </w:p>
        </w:tc>
      </w:tr>
      <w:tr>
        <w:trPr>
          <w:trHeight w:val="291"/>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105,119</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21,534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17,412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40,930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33,088</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52,258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37,193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100,209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72,031</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6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0.80</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0.79</w:t>
            </w:r>
          </w:p>
        </w:tc>
      </w:tr>
      <w:tr>
        <w:trPr>
          <w:trHeight w:val="284"/>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90,912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90,344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90,848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90,265</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91,594</w:t>
            </w:r>
          </w:p>
        </w:tc>
      </w:tr>
      <w:tr>
        <w:trPr>
          <w:trHeight w:val="297"/>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72,031</w:t>
            </w:r>
          </w:p>
        </w:tc>
      </w:tr>
      <w:tr>
        <w:trPr>
          <w:trHeight w:val="284"/>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Change in unrealized appreciation (depreciation) of investments, net of tax</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6400" w:type="dxa"/>
            <w:vAlign w:val="bottom"/>
            <w:gridSpan w:val="2"/>
          </w:tcPr>
          <w:p>
            <w:pPr>
              <w:ind w:left="520"/>
              <w:spacing w:after="0"/>
              <w:rPr>
                <w:sz w:val="20"/>
                <w:szCs w:val="20"/>
                <w:color w:val="auto"/>
              </w:rPr>
            </w:pPr>
            <w:r>
              <w:rPr>
                <w:rFonts w:ascii="Arial" w:cs="Arial" w:eastAsia="Arial" w:hAnsi="Arial"/>
                <w:sz w:val="18"/>
                <w:szCs w:val="18"/>
                <w:color w:val="auto"/>
                <w:w w:val="95"/>
              </w:rPr>
              <w:t>expense (benefit) of $5,049 and ($4,002) in the three months ended June 30,</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400" w:type="dxa"/>
            <w:vAlign w:val="bottom"/>
            <w:gridSpan w:val="2"/>
          </w:tcPr>
          <w:p>
            <w:pPr>
              <w:ind w:left="520"/>
              <w:spacing w:after="0"/>
              <w:rPr>
                <w:sz w:val="20"/>
                <w:szCs w:val="20"/>
                <w:color w:val="auto"/>
              </w:rPr>
            </w:pPr>
            <w:r>
              <w:rPr>
                <w:rFonts w:ascii="Arial" w:cs="Arial" w:eastAsia="Arial" w:hAnsi="Arial"/>
                <w:sz w:val="18"/>
                <w:szCs w:val="18"/>
                <w:color w:val="auto"/>
                <w:w w:val="97"/>
              </w:rPr>
              <w:t>2016 and 2015 and $10,763 and ($1,892) in the six months ended June 30,</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400" w:type="dxa"/>
            <w:vAlign w:val="bottom"/>
            <w:gridSpan w:val="2"/>
          </w:tcPr>
          <w:p>
            <w:pPr>
              <w:ind w:left="520"/>
              <w:spacing w:after="0"/>
              <w:rPr>
                <w:sz w:val="20"/>
                <w:szCs w:val="20"/>
                <w:color w:val="auto"/>
              </w:rPr>
            </w:pPr>
            <w:r>
              <w:rPr>
                <w:rFonts w:ascii="Arial" w:cs="Arial" w:eastAsia="Arial" w:hAnsi="Arial"/>
                <w:sz w:val="18"/>
                <w:szCs w:val="18"/>
                <w:color w:val="auto"/>
              </w:rPr>
              <w:t>2016 and 2015</w:t>
            </w:r>
          </w:p>
        </w:tc>
        <w:tc>
          <w:tcPr>
            <w:tcW w:w="2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10,702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24,061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(3,880)</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r>
      <w:tr>
        <w:trPr>
          <w:trHeight w:val="257"/>
        </w:trPr>
        <w:tc>
          <w:tcPr>
            <w:tcW w:w="64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62,960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28,424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124,270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68,151</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January 1, 2015</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1,388</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893,285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7"/>
              <w:spacing w:after="0"/>
              <w:rPr>
                <w:sz w:val="20"/>
                <w:szCs w:val="20"/>
                <w:color w:val="auto"/>
              </w:rPr>
            </w:pPr>
            <w:r>
              <w:rPr>
                <w:rFonts w:ascii="Arial" w:cs="Arial" w:eastAsia="Arial" w:hAnsi="Arial"/>
                <w:sz w:val="16"/>
                <w:szCs w:val="16"/>
                <w:b w:val="1"/>
                <w:bCs w:val="1"/>
                <w:color w:val="auto"/>
              </w:rPr>
              <w:t>4,667</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56,398</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955,738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157,331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157,331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13,633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(5,168)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equity transactions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904,221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213,729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1,119,241</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100,209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100,209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7"/>
              <w:spacing w:after="0"/>
              <w:rPr>
                <w:sz w:val="20"/>
                <w:szCs w:val="20"/>
                <w:color w:val="auto"/>
              </w:rPr>
            </w:pPr>
            <w:r>
              <w:rPr>
                <w:rFonts w:ascii="Arial" w:cs="Arial" w:eastAsia="Arial" w:hAnsi="Arial"/>
                <w:sz w:val="16"/>
                <w:szCs w:val="16"/>
                <w:color w:val="auto"/>
              </w:rPr>
              <w:t>24,061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24,061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7,949</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3,876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30, 2016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909,310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6"/>
                <w:szCs w:val="16"/>
                <w:b w:val="1"/>
                <w:bCs w:val="1"/>
                <w:color w:val="auto"/>
              </w:rPr>
              <w:t>23,962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313,938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1,248,607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100,209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72,031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Gain on the sale of investments,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7,949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6,596</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premium on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4,835</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Deferred income tax provision</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28,264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28,961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Prepaid federal income tax</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(35,500)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Reserve for losses and LAE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3,504</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Unearned premium reserve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21,257</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(3,078)</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122,067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89,846</w:t>
            </w:r>
          </w:p>
        </w:tc>
      </w:tr>
      <w:tr>
        <w:trPr>
          <w:trHeight w:val="277"/>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Net change in short-term investments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115,322</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(417,541)</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Proceeds from maturity of investments available for sale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7,525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sales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212,208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Purchase of property and equipment,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(2,932)</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(85,418)</w:t>
            </w:r>
          </w:p>
        </w:tc>
      </w:tr>
      <w:tr>
        <w:trPr>
          <w:trHeight w:val="277"/>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Payment of issuance costs for revolving line of credit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acquired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2,332</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 of offering costs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Other financing activities</w:t>
            </w:r>
          </w:p>
        </w:tc>
        <w:tc>
          <w:tcPr>
            <w:tcW w:w="3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77"/>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increase in cash</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24,606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24,411</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25,590</w:t>
            </w: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1"/>
        </w:trPr>
        <w:tc>
          <w:tcPr>
            <w:tcW w:w="7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Income tax payments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60"/>
          </w:cols>
          <w:pgMar w:left="240" w:top="125"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125"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w:t>
      </w:r>
    </w:p>
    <w:p>
      <w:pPr>
        <w:spacing w:after="0" w:line="17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2015,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2016 prior to the issuance of these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This update is intended to provide a consistent approach in recognizing revenue. In accordance with the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July 2015, the FASB delayed the effective date for this update to interim and annual periods beginning after December 15, 2017. The Company is currently evaluating the impact the adoption of this ASU will have on the consolidated financial statements.</w:t>
      </w:r>
    </w:p>
    <w:p>
      <w:pPr>
        <w:spacing w:after="0" w:line="189"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 xml:space="preserve">In May 2015, the FASB issued ASU 2015-09, </w:t>
      </w:r>
      <w:r>
        <w:rPr>
          <w:rFonts w:ascii="Arial" w:cs="Arial" w:eastAsia="Arial" w:hAnsi="Arial"/>
          <w:sz w:val="17"/>
          <w:szCs w:val="17"/>
          <w:i w:val="1"/>
          <w:iCs w:val="1"/>
          <w:color w:val="auto"/>
        </w:rPr>
        <w:t>Disclosures about Short-Duration Contracts (Topic 944)</w:t>
      </w:r>
      <w:r>
        <w:rPr>
          <w:rFonts w:ascii="Arial" w:cs="Arial" w:eastAsia="Arial" w:hAnsi="Arial"/>
          <w:sz w:val="17"/>
          <w:szCs w:val="17"/>
          <w:color w:val="auto"/>
        </w:rPr>
        <w:t>. The amendments in this update require insurance entities to disclose certain information about the liability for unpaid claims and claim adjustment expenses. The additional information required is focused on improvements in disclosures regarding insurance liabilities, including the nature, amount, timing, and uncertainty of cash flows related to those liabilities and the effect of those cash flows on the statement of comprehensive income. The disclosures required by this update are effective for annual periods beginning after December 15, 2015, and interim periods within annual periods beginning after December 15, 2016, and is to be applied retrospectively. The Company is currently evaluating the impact, if any, of the new disclosures required by this ASU.</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is evaluating the impact the adoption of this ASU will have on the consolidated financial statements.</w:t>
      </w:r>
    </w:p>
    <w:p>
      <w:pPr>
        <w:spacing w:after="0" w:line="15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This update is intended to simplify several aspects of the accounting for share-based payment award transactions, including the income tax consequences, classification of awards as either equity or liabilities, and classification on the statement of cash flows. The new guidance requires all excess tax benefits and tax deficiencies to be recognized as income tax expense or benefit in the income statement and treated as discrete items in the reporting period. In addition, excess tax benefits are required to be classified along with other income tax cash flows as an operating activity. Further, the new guidance allows for a policy election to account for forfeitures as they occur rather than on an estimated basis. The provisions of this update are effective for annual and interim periods beginning after December 15, 2016. The Company is evaluating the impact the adoption of this ASU will have on the consolidated financial statements.</w:t>
      </w:r>
    </w:p>
    <w:p>
      <w:pPr>
        <w:spacing w:after="0" w:line="16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provisions of this update are effective for annual and interim periods beginning after December 15, 2019. The Company is evaluating the impact the adoption of this ASU will have on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2016 (In thousands)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4"/>
                <w:szCs w:val="14"/>
                <w:color w:val="auto"/>
              </w:rPr>
            </w:pPr>
          </w:p>
        </w:tc>
        <w:tc>
          <w:tcPr>
            <w:tcW w:w="1140" w:type="dxa"/>
            <w:vAlign w:val="bottom"/>
          </w:tcPr>
          <w:p>
            <w:pPr>
              <w:jc w:val="center"/>
              <w:ind w:right="2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201,802</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14,140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14,339</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204,254</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313,847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330,203</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380,882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390,425</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50,005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50,604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129,995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129,312</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114,235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114,235</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1,399,689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1,435,174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24"/>
                <w:szCs w:val="24"/>
                <w:color w:val="auto"/>
              </w:rPr>
            </w:pPr>
          </w:p>
        </w:tc>
        <w:tc>
          <w:tcPr>
            <w:tcW w:w="1140" w:type="dxa"/>
            <w:vAlign w:val="bottom"/>
          </w:tcPr>
          <w:p>
            <w:pPr>
              <w:jc w:val="center"/>
              <w:ind w:right="2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13,955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272,733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56,380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1,275,972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2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4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General obligation bonds</w:t>
            </w:r>
          </w:p>
        </w:tc>
        <w:tc>
          <w:tcPr>
            <w:tcW w:w="4800" w:type="dxa"/>
            <w:vAlign w:val="bottom"/>
            <w:gridSpan w:val="3"/>
          </w:tcPr>
          <w:p>
            <w:pPr>
              <w:jc w:val="right"/>
              <w:ind w:right="102"/>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480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Tax allocation bonds</w:t>
            </w:r>
          </w:p>
        </w:tc>
        <w:tc>
          <w:tcPr>
            <w:tcW w:w="4800" w:type="dxa"/>
            <w:vAlign w:val="bottom"/>
            <w:gridSpan w:val="3"/>
          </w:tcPr>
          <w:p>
            <w:pPr>
              <w:jc w:val="right"/>
              <w:ind w:right="10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4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4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Consumer, non-cyclical</w:t>
            </w:r>
          </w:p>
        </w:tc>
        <w:tc>
          <w:tcPr>
            <w:tcW w:w="4800" w:type="dxa"/>
            <w:vAlign w:val="bottom"/>
            <w:gridSpan w:val="3"/>
          </w:tcPr>
          <w:p>
            <w:pPr>
              <w:jc w:val="right"/>
              <w:ind w:right="10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480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Utilities</w:t>
            </w:r>
          </w:p>
        </w:tc>
        <w:tc>
          <w:tcPr>
            <w:tcW w:w="4800" w:type="dxa"/>
            <w:vAlign w:val="bottom"/>
            <w:gridSpan w:val="3"/>
          </w:tcPr>
          <w:p>
            <w:pPr>
              <w:jc w:val="right"/>
              <w:ind w:right="10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480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Consumer, cyclical</w:t>
            </w:r>
          </w:p>
        </w:tc>
        <w:tc>
          <w:tcPr>
            <w:tcW w:w="4800" w:type="dxa"/>
            <w:vAlign w:val="bottom"/>
            <w:gridSpan w:val="3"/>
          </w:tcPr>
          <w:p>
            <w:pPr>
              <w:jc w:val="right"/>
              <w:ind w:right="10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480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4800" w:type="dxa"/>
            <w:vAlign w:val="bottom"/>
            <w:gridSpan w:val="3"/>
          </w:tcPr>
          <w:p>
            <w:pPr>
              <w:jc w:val="right"/>
              <w:ind w:right="10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52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4800" w:type="dxa"/>
            <w:vAlign w:val="bottom"/>
          </w:tcPr>
          <w:p>
            <w:pPr>
              <w:ind w:left="160"/>
              <w:spacing w:after="0"/>
              <w:rPr>
                <w:sz w:val="20"/>
                <w:szCs w:val="20"/>
                <w:color w:val="auto"/>
              </w:rPr>
            </w:pPr>
            <w:r>
              <w:rPr>
                <w:rFonts w:ascii="Arial" w:cs="Arial" w:eastAsia="Arial" w:hAnsi="Arial"/>
                <w:sz w:val="18"/>
                <w:szCs w:val="18"/>
                <w:color w:val="auto"/>
              </w:rPr>
              <w:t>Total</w:t>
            </w:r>
          </w:p>
        </w:tc>
        <w:tc>
          <w:tcPr>
            <w:tcW w:w="35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20" w:type="dxa"/>
            <w:vAlign w:val="bottom"/>
            <w:vMerge w:val="restart"/>
          </w:tcPr>
          <w:p>
            <w:pPr>
              <w:jc w:val="right"/>
              <w:ind w:right="25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125" w:right="4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June 30, 2016,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60" w:type="dxa"/>
            <w:vAlign w:val="bottom"/>
          </w:tcPr>
          <w:p>
            <w:pPr>
              <w:spacing w:after="0"/>
              <w:rPr>
                <w:sz w:val="14"/>
                <w:szCs w:val="14"/>
                <w:color w:val="auto"/>
              </w:rPr>
            </w:pPr>
          </w:p>
        </w:tc>
        <w:tc>
          <w:tcPr>
            <w:tcW w:w="148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36,949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36,972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53,937</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90,728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95,127</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15,766</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195,757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201,802</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14,140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14,339</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98,424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99,833</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122,002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129,935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98,176</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313,847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330,203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22,643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22,692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220,016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222,916</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135,044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141,568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380,882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390,425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200,828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204,254</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Mortgage-backed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50,005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50,604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129,995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129,312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114,235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114,235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1,399,689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1,435,174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68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2,127</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4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910</w:t>
            </w:r>
          </w:p>
        </w:tc>
      </w:tr>
      <w:tr>
        <w:trPr>
          <w:trHeight w:val="702"/>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ind w:left="3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2016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16,708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21,960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50,049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38,612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88,661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82,067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93,203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175,270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47,850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252,792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23,360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26,075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86,431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633,959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66,780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700,739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We recorded an other-than-temporary impairment of $7 thousand in the six months ended June 30, 2016 for one security in an unrealized loss position that we sold in the three months ended June 30, 2016. There were no other-than-temporary impairments of investments in the six months ended June 30, 2015.</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$8.6 million as of June 30, 2016 and $8.5 million as of December 31, 2015. In connection with its insurance and reinsurance activities, Essent Re is required to maintain assets in trusts for the benefit of its contractual counterparties. The fair value of the investments required to be on deposit in these trusts was $272.9 million at June 30, 2016 and $171.5 million at December 31,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4,720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consists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16,034</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603</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16,637</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16,637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six months ended June 30: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6,079</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(1,766)</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4,313</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669</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11,931</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22,474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11,931</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605</w:t>
            </w:r>
          </w:p>
        </w:tc>
      </w:tr>
    </w:tbl>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six months ended June 30, 2016, $1.9 million was paid for incurred claims and claim adjustment expenses attributable to insured events of prior years. There has been a $2.9 million favorable prior year development during the six months ended June 30, 2016. Reserves remaining as of June 30, 2016 for prior years are $13.0 million as a result of re-estimation of unpaid losses and loss adjustment expenses. For the six months ended June 30, 2015, $0.7 million was paid for incurred claims and claim adjustment expenses attributable to insured events of prior years. There had been a $1.8 million favorable prior year development during the six months ended June 30, 2015. Reserves remaining as of June 30, 2015 for prior years were $6.0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19, 2016, Essent Group and its subsidiaries, Essent Irish Intermediate Holdings Limited and Essent US Holdings, Inc., entered into a three-year, secured revolving credit facility with a committed capacity of $200 million (the “Facility”). Borrowings under the Facility may be used for working capital and general corporate purposes, including, without limitation, capital contributions to Essent’s insurance and reinsurance subsidiaries. Borrowings will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Facility are secured by certain assets of Essent Group, excluding the stock and assets of its insurance and reinsurance subsidiaries. The Facility contains several covenants, including financial covenants relating to minimum net worth, capital and liquidity levels, maximum debt to capitalization level and PMIERS compliance. This description is not intended to be complete in all respects and is qualified in its entirety by the terms of the Facility, including its covenants. As of the date of this Quarterly Report, the Company was in compliance with the covenants and no amounts had been borrowed under the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$42,173 and $13,403 related to remedies for the six months ended June 30, 2016 and 2015. As of June 30, 2016, management believes any potential claims for indemnification related to contract underwriting services through June 30, 2016 are not material to our financial position or results of operations.</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2016,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nonvested common share and nonvested common share unit activity for the six months ended June 30, 2016:</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580"/>
              <w:spacing w:after="0"/>
              <w:rPr>
                <w:sz w:val="20"/>
                <w:szCs w:val="20"/>
                <w:color w:val="auto"/>
              </w:rPr>
            </w:pPr>
            <w:r>
              <w:rPr>
                <w:rFonts w:ascii="Arial" w:cs="Arial" w:eastAsia="Arial" w:hAnsi="Arial"/>
                <w:sz w:val="14"/>
                <w:szCs w:val="14"/>
                <w:b w:val="1"/>
                <w:bCs w:val="1"/>
                <w:color w:val="auto"/>
              </w:rPr>
              <w:t>Time-Based Share</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652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490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February 2016, certain members of senior management were granted nonvested common shares under the Essent Group Ltd. 2013 Long-Term Incentive Plan that were subject to time-based and performance-based vesting. The time-based share awards granted in February 2016 vest in three equal installments on March 1, 2017, 2018 and 2019. The performance-based share awards granted in February 2016 vest based upon our compounded annual book value per share growth percentage during a three-year performance period that commenced on January 1, 2016 and vest on March 1, 2019. The portion of the nonvested performance-based share awards that will be earned based upon the achievement of compounded annual book value per share growth is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5"/>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&lt;13%</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13%</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14%</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15%</w:t>
            </w:r>
          </w:p>
        </w:tc>
        <w:tc>
          <w:tcPr>
            <w:tcW w:w="1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2015, in February 2016, time-based share awards and share units were issued to certain employees that vest in three equal installments on March 1, 2017, 2018 and 2019. In May 2016, time-based share units were granted to non-employee directors that vest one year from the date of grant.</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total fair value on the vesting date of nonvested shares or share units that vested was $14.2 million and $20.6 million for the six months ended June 30, 2016 and 2015, respectively. As of June 30, 2016, there was $23.1 million of total unrecognized compensation expense related to nonvested shares or share units outstanding at June 30, 2016 and we expect to recognize the expense over a weighted average period of 1.8 years.</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178,739 in the six months ended June 30, 2016. The tendered shares were recorded at cost, included in treasury stock and have been cancelled as of June 30,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4,167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6,596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1,346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2,125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72,031</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52,258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100,209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72,031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90,912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90,344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90,848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90,265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92,138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91,674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91,999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91,594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were 37,918 and 50,372 antidilutive shares for the three months ended June 30, 2016 and 2015, respectively and 192,765 and 150,718 antidilutive shares for the six months ended June 30, 2016 and 2015, respectively.</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nonvested performance-based share awards are considered contingently issuable for purposes of the EPS calculation. Based on the compounded annual book value per share growth as of June 30, 2016, 100% of the performance-based share awards would be issuable under the terms of the arrangements if June 30, 2016 was the end of the performance period. Based on the compounded annual book value per share growth as of June 30, 2015, 100% of the performance-based share awards would have been issuable under the terms of the arrangements if June 30, 2015 was the end of the performance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six months ended June 30, 2016 and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Three Months Ended June 30, 2016</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Before Tax</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13,260</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11,149</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10,702</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10,702</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23,962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Six Months Ended June 30, 2016</w:t>
            </w:r>
          </w:p>
        </w:tc>
        <w:tc>
          <w:tcPr>
            <w:tcW w:w="14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Tax Effect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3"/>
                <w:szCs w:val="23"/>
                <w:color w:val="auto"/>
              </w:rPr>
            </w:pPr>
          </w:p>
        </w:tc>
      </w:tr>
      <w:tr>
        <w:trPr>
          <w:trHeight w:val="223"/>
        </w:trPr>
        <w:tc>
          <w:tcPr>
            <w:tcW w:w="4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24,855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w w:val="97"/>
              </w:rPr>
              <w:t>Less: Reclassification adjustment for gains included in net income (1)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24,061</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34,824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24,061</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35,485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23,962</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6"/>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Three Months Ended June 30, 2015</w:t>
            </w: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Tax Effect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Net of Tax</w:t>
            </w:r>
          </w:p>
        </w:tc>
        <w:tc>
          <w:tcPr>
            <w:tcW w:w="20" w:type="dxa"/>
            <w:vAlign w:val="bottom"/>
            <w:tcBorders>
              <w:bottom w:val="single" w:sz="8" w:color="auto"/>
            </w:tcBorders>
          </w:tcPr>
          <w:p>
            <w:pPr>
              <w:spacing w:after="0"/>
              <w:rPr>
                <w:sz w:val="22"/>
                <w:szCs w:val="2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13,711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2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Unrealized holding losses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unrealized losses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(8,769)</w:t>
            </w:r>
          </w:p>
        </w:tc>
        <w:tc>
          <w:tcPr>
            <w:tcW w:w="20" w:type="dxa"/>
            <w:vAlign w:val="bottom"/>
            <w:tcBorders>
              <w:top w:val="single" w:sz="8" w:color="auto"/>
            </w:tcBorders>
          </w:tcPr>
          <w:p>
            <w:pPr>
              <w:spacing w:after="0"/>
              <w:rPr>
                <w:sz w:val="20"/>
                <w:szCs w:val="20"/>
                <w:color w:val="auto"/>
              </w:rPr>
            </w:pPr>
          </w:p>
        </w:tc>
      </w:tr>
      <w:tr>
        <w:trPr>
          <w:trHeight w:val="27"/>
        </w:trPr>
        <w:tc>
          <w:tcPr>
            <w:tcW w:w="56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96"/>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Six Months Ended June 30, 2015</w:t>
            </w: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Tax Effect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6,712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4,667</w:t>
            </w:r>
          </w:p>
        </w:tc>
        <w:tc>
          <w:tcPr>
            <w:tcW w:w="20" w:type="dxa"/>
            <w:vAlign w:val="bottom"/>
          </w:tcPr>
          <w:p>
            <w:pPr>
              <w:spacing w:after="0"/>
              <w:rPr>
                <w:sz w:val="23"/>
                <w:szCs w:val="23"/>
                <w:color w:val="auto"/>
              </w:rPr>
            </w:pPr>
          </w:p>
        </w:tc>
      </w:tr>
      <w:tr>
        <w:trPr>
          <w:trHeight w:val="223"/>
        </w:trPr>
        <w:tc>
          <w:tcPr>
            <w:tcW w:w="4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losses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w w:val="97"/>
              </w:rPr>
              <w:t>Less: Reclassification adjustment for gains included in net income (1)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losses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620" w:right="2780" w:hanging="5288"/>
        <w:spacing w:after="0" w:line="810"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net realized investment gains on our condensed consolidated statements of comprehensive income.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and related carrying amounts of our financial instruments were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2016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4"/>
                <w:szCs w:val="14"/>
                <w:color w:val="auto"/>
              </w:rPr>
            </w:pPr>
          </w:p>
        </w:tc>
        <w:tc>
          <w:tcPr>
            <w:tcW w:w="1220" w:type="dxa"/>
            <w:vAlign w:val="bottom"/>
          </w:tcPr>
          <w:p>
            <w:pPr>
              <w:jc w:val="center"/>
              <w:ind w:right="31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201,802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201,802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agency mortgage-backed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204,254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204,254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330,203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330,203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390,425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390,425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50,604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129,312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129,312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114,235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1,435,174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1,435,174</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53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24"/>
                <w:szCs w:val="24"/>
                <w:color w:val="auto"/>
              </w:rPr>
            </w:pPr>
          </w:p>
        </w:tc>
        <w:tc>
          <w:tcPr>
            <w:tcW w:w="1220" w:type="dxa"/>
            <w:vAlign w:val="bottom"/>
          </w:tcPr>
          <w:p>
            <w:pPr>
              <w:jc w:val="center"/>
              <w:ind w:right="31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177,607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agency mortgage-backed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159,602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279,828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396,732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126,629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1,276,634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2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corporate debt securities, mortgage-backed securities and asset-backed securities are classified as Level 2 investments.</w:t>
      </w:r>
    </w:p>
    <w:p>
      <w:pPr>
        <w:spacing w:after="0" w:line="193" w:lineRule="exact"/>
        <w:rPr>
          <w:rFonts w:ascii="Arial" w:cs="Arial" w:eastAsia="Arial" w:hAnsi="Arial"/>
          <w:sz w:val="18"/>
          <w:szCs w:val="18"/>
          <w:color w:val="auto"/>
        </w:rPr>
      </w:pPr>
    </w:p>
    <w:p>
      <w:pPr>
        <w:ind w:left="660" w:right="80"/>
        <w:spacing w:after="0" w:line="269" w:lineRule="auto"/>
        <w:rPr>
          <w:rFonts w:ascii="Arial" w:cs="Arial" w:eastAsia="Arial" w:hAnsi="Arial"/>
          <w:sz w:val="18"/>
          <w:szCs w:val="18"/>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and corporate debt securities are valued by our primary vendor using recently executed transactions and proprietary models based on observable inputs, such as interest rate spreads, yield curves and credit risk. Mortgage-backed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79" w:lineRule="exact"/>
        <w:rPr>
          <w:rFonts w:ascii="Arial" w:cs="Arial" w:eastAsia="Arial" w:hAnsi="Arial"/>
          <w:sz w:val="18"/>
          <w:szCs w:val="18"/>
          <w:color w:val="auto"/>
        </w:rPr>
      </w:pPr>
    </w:p>
    <w:p>
      <w:pPr>
        <w:ind w:left="660" w:hanging="328"/>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Derivative liabilities — We define fair value as the current amount that would be exchanged to sell an asset or transfer a liability, other than in a forced liquidation. Certain of our Freddie Mac Agency Credit Insurance Structure ("ACIS") contracts are accounted for as derivatives. In determining an exit market, we consider the fact that there is not a principal market for these contracts. In the absence of a principal market, we value these ACIS contracts in a hypothetical market where market participants, and potential counterparties, include other mortgage guaranty insurers or reinsurers with similar credit quality to us. We believe that in the absence of a principal market, this hypothetical market provides the most relevant information with respect to fair value estimates. These ACIS contracts are classified as Level 3 of the fair value hierarchy.</w:t>
      </w:r>
    </w:p>
    <w:p>
      <w:pPr>
        <w:spacing w:after="0" w:line="164" w:lineRule="exact"/>
        <w:rPr>
          <w:rFonts w:ascii="Arial" w:cs="Arial" w:eastAsia="Arial" w:hAnsi="Arial"/>
          <w:sz w:val="16"/>
          <w:szCs w:val="16"/>
          <w:color w:val="auto"/>
        </w:rPr>
      </w:pPr>
    </w:p>
    <w:p>
      <w:pPr>
        <w:ind w:left="660" w:right="100"/>
        <w:spacing w:after="0" w:line="255" w:lineRule="auto"/>
        <w:rPr>
          <w:rFonts w:ascii="Arial" w:cs="Arial" w:eastAsia="Arial" w:hAnsi="Arial"/>
          <w:sz w:val="16"/>
          <w:szCs w:val="16"/>
          <w:color w:val="auto"/>
        </w:rPr>
      </w:pPr>
      <w:r>
        <w:rPr>
          <w:rFonts w:ascii="Arial" w:cs="Arial" w:eastAsia="Arial" w:hAnsi="Arial"/>
          <w:sz w:val="18"/>
          <w:szCs w:val="18"/>
          <w:color w:val="auto"/>
        </w:rPr>
        <w:t>We determine the fair value of our derivative instruments primarily using internally-generated models. We utilize market observable inputs, such as the performance of the underlying pool of mortgages, mortgage prepayment speeds and pricing spreads on the reference STACR notes issued by Freddie Mac, whenever they are available. There is a high degree of uncertainty about our fair value estimates since our contracts are not traded or exchanged, which makes external validation and corroboration of our estimates difficult. Considerable judgment is required to interpret market data to develop the estimates of fair value. Accordingly, the estimates may not be indicative of amounts we could realize in a current market exchange or negotiated termination. The use of different market assumptions or estimation methodologies may have a material effect on the estimated fair value amounts.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Quoted Prices</w:t>
            </w:r>
          </w:p>
        </w:tc>
        <w:tc>
          <w:tcPr>
            <w:tcW w:w="300" w:type="dxa"/>
            <w:vAlign w:val="bottom"/>
          </w:tcPr>
          <w:p>
            <w:pPr>
              <w:spacing w:after="0"/>
              <w:rPr>
                <w:sz w:val="14"/>
                <w:szCs w:val="1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2016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201,802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201,802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14,339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14,339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204,254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330,203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330,203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390,425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390,425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50,604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50,604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129,312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114,235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114,235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316,037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1,119,137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1,435,174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Quoted Prices</w:t>
            </w:r>
          </w:p>
        </w:tc>
        <w:tc>
          <w:tcPr>
            <w:tcW w:w="300" w:type="dxa"/>
            <w:vAlign w:val="bottom"/>
          </w:tcPr>
          <w:p>
            <w:pPr>
              <w:spacing w:after="0"/>
              <w:rPr>
                <w:sz w:val="24"/>
                <w:szCs w:val="2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177,607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279,828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396,732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55,356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244,705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1,031,929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ind w:right="11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following table presents changes during the three and six months ended June 30, 2016 and 2015 in Level 3 liabilities measured at fair value on a recurring basis, and the net realized and unrealized losses related to the Level 3 liabilities in the condensed consolidated balance sheets at June 30, 2016 and 2015. During the six months ended June 30, 2016, and in the year ended December 31, 2015, we had no Level 3 assets.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Level 3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liabilities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661</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included in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sales, issues and settlements,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Gross transfers in</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transfers out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liabilities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2,720</w:t>
            </w:r>
          </w:p>
        </w:tc>
      </w:tr>
      <w:tr>
        <w:trPr>
          <w:trHeight w:val="67"/>
        </w:trPr>
        <w:tc>
          <w:tcPr>
            <w:tcW w:w="6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305"/>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29"/>
        </w:trPr>
        <w:tc>
          <w:tcPr>
            <w:tcW w:w="6300" w:type="dxa"/>
            <w:vAlign w:val="bottom"/>
            <w:gridSpan w:val="2"/>
          </w:tcPr>
          <w:p>
            <w:pPr>
              <w:ind w:left="40"/>
              <w:spacing w:after="0"/>
              <w:rPr>
                <w:sz w:val="20"/>
                <w:szCs w:val="20"/>
                <w:color w:val="auto"/>
              </w:rPr>
            </w:pPr>
            <w:r>
              <w:rPr>
                <w:rFonts w:ascii="Arial" w:cs="Arial" w:eastAsia="Arial" w:hAnsi="Arial"/>
                <w:sz w:val="18"/>
                <w:szCs w:val="18"/>
                <w:color w:val="auto"/>
                <w:w w:val="95"/>
              </w:rPr>
              <w:t>Changes in net unrealized losses included in income on instruments held at end of</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1,140</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significant unobservable inputs used in our recurring Level 3 fair value measurements as of June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4"/>
                <w:szCs w:val="14"/>
                <w:color w:val="auto"/>
              </w:rPr>
            </w:pPr>
          </w:p>
        </w:tc>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4"/>
                <w:szCs w:val="14"/>
                <w:color w:val="auto"/>
              </w:rPr>
            </w:pPr>
          </w:p>
        </w:tc>
        <w:tc>
          <w:tcPr>
            <w:tcW w:w="31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vMerge w:val="restart"/>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Reference STACR credit spread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609"/>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4"/>
                <w:szCs w:val="14"/>
                <w:color w:val="auto"/>
              </w:rPr>
            </w:pPr>
          </w:p>
        </w:tc>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4"/>
                <w:szCs w:val="14"/>
                <w:color w:val="auto"/>
              </w:rPr>
            </w:pPr>
          </w:p>
        </w:tc>
        <w:tc>
          <w:tcPr>
            <w:tcW w:w="31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vMerge w:val="restart"/>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Reference STACR credit spread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significant unobservable inputs used for derivative liabilities are constant prepayment rates (“CPR”) and default rates on the reference pool of mortgages and the credit spreads on the reference STACR notes. An increase in the CPR, default rate or reference STACR credit spread will increase the fair value of the liability.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Statutory Accounting</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six months ended June 30: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2015</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100,026</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84,386</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545,665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502,997</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392,928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244,320</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8,090</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45,516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45,087</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32,198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22,469</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2016 and 2015,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June 30, 2016 and 2015,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June 30, 2016 and December 31, 2015, Essent Guaranty, our GSE-approved mortgage insurance company, was in compliance with the PMIERs.</w:t>
      </w:r>
    </w:p>
    <w:p>
      <w:pPr>
        <w:spacing w:after="0" w:line="18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six months ended June 30, 2016, Essent Guaranty increased its contingency reserve by $77.9 million and Essent PA increased its contingency reserve by $4.7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six months ended June 30, 2016 or 2015.</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25"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and must ensure that the value of its general business assets exceeds the amount of its general business liabilities by an amount greater than the prescribed minimum solvency margins and enhanced capital requirement pertaining to its general business. At December 31, 2015, all such requirements were met.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statutory capital and surplus and statutory income for Essent Re at June 30, 2016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Actual</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Required</w:t>
            </w:r>
          </w:p>
        </w:tc>
        <w:tc>
          <w:tcPr>
            <w:tcW w:w="100" w:type="dxa"/>
            <w:vAlign w:val="bottom"/>
            <w:tcBorders>
              <w:bottom w:val="single" w:sz="8" w:color="CCEEFF"/>
            </w:tcBorders>
          </w:tcPr>
          <w:p>
            <w:pPr>
              <w:spacing w:after="0"/>
              <w:rPr>
                <w:sz w:val="16"/>
                <w:szCs w:val="16"/>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Statutory capital and surplus: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269,358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21,396</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Statutory capital and surplus and net income determined in accordance with statutory accounting practices differs from GAAP. In the six months ended June 30, 2016, the more significant differences from GAAP for Essent Re relate to policy acquisition costs and accounting for insurance and certain reinsurance policies issued in connection with the ACIS program. Under statutory accounting practices, policy acquisition costs are charged to expense when the related premiums are written while such costs are capitalized and amortized to expense over the life of the policy under GAAP. Under statutory accounting practices, the insurance and reinsurance policies issued in connection with the ACIS program are accounted for as insurance with premium received recorded as premiums earned. Under GAAP, the insurance and certain reinsurance policies for the ACIS program are accounted for as derivatives with the fair value of these policies reported as an asset or liability and changes in the fair value of these policies reported in earnings as a component of other income.</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2015 as filed with the Securities and Exchange Commission and referred to herein as the “Annual Report,” and our condensed consolidated financial statements and related notes as of and for the three and six months ended June 30, 2016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private mortgage insurance industry, and excludes both NIW under the Home Affordable Refinance Program (“HARP” and such NIW, the “HARP NIW”) and bulk insurance (in which each loan in a portfolio of loans is insured in a single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had an estimated 12.1% Market Share for the six months ended June 30, 2016.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2010, Essent became the first private mortgage insurer to be approved by the GSEs since 1995, and we are licensed to write coverage in all 50 states and the District of Columbia. We completed our initial public offering in November 2013. The financial strength of Essent Guaranty, Inc. ("Essent Guaranty"), our wholly-owned insurance subsidiary, is rated Baa2 with a stable outlook by Moody’s Investor Services (“Moody's”) and is rated BBB+ with a stable outlook by Standard &amp; Poor’s Rating Services (“S&amp;P”).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master policy relationships with approximately 1,340 customers as of June 30, 2016. Our holding company is domiciled in Bermuda and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 insurance business is headquartered in Radnor, Pennsylvania. We operate additional underwriting and service centers in Winston-Salem, North Carolina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Irvine, California. We have a highly experienced, talented team with 362 employees as of June 30, 2016. We generated new insurance written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$8.7 billion and $14.2 billion for the three and six months ended June 30, 2016, respectively, compared to approximately $7.3 billion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$12.6 billion for the three and six months ended June 30, 2015, respectively. As of June 30, 2016, we had approximately $72.3 billion of insurance in force.</w:t>
      </w:r>
    </w:p>
    <w:p>
      <w:pPr>
        <w:spacing w:after="0" w:line="23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June 30, 2016, Essent Re provides insurance or reinsurance in connection with GSE risk-share transactions covering approximately $305.4 million of risk on mortgage loans in reference pools associated with Freddie Mac's Agency Credit Insurance Structure ("ACIS") and Fannie Mae's Credit Insurance Risk Transfer ("CIRT") programs. Essent Re has also reinsured 25% of Essent Guaranty’s GSE-eligible mortgage insurance NIW originated since July 1, 2014 under a quota share reinsurance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June 30, 2016, Essent Guaranty, our GSE-approved mortgage insurance company, was in compliance with the PMIERs. See additional discussion in “— Liquidity and Capital Resources —Private Mortgage Insurer Eligibility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30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4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ceded any premiums under third-party reinsurance contracts.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2016 were non-refundable. Premiums collected on annual policies are recognized as net premiums earned on a straight-line basis over the year of coverage. For the six months ended June 30, 2016, monthly and single premium policies comprised 78.7% and 21.3%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changes in persistency rates can have a significant impact on our profitability. The persistency rate on our portfolio was 81.0% at June 30, 2016. Generally, higher prepayment speeds lead to lower persistency.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June 30, 2016.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2016 and provides for three subsequent one-year renewals at Triad’s option.</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The insurance and certain of the reinsurance policies issued by Essent Re in connection with the ACIS program are accounted for as derivatives under U.S. generally accepted accounting principles ("GAAP") with the fair value of these policies reported as an asset or liability and changes in the fair value of these policies reported in earnings. Changes in the fair value of these policies are impacted by changes in market observable factors.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77% of our IIF as of June 30, 2016 having been originated since January 1, 2014. As a result, based on historical industry performance, we expect the number of defaults and claims we experience, as well as our provision for losses and loss adjustment expenses, to increase as our portfolio further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As of June 30, 2016, 77% of our IIF relates to business written since January 1, 2014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most significant expense is compensation and benefits for our employees, which represented 65% of other underwriting and operating expenses for each of the three and six months ended June 30, 2016, compared to 64% and 65% of other underwriting and operating expenses for the three and six months ended June 30, 2015, respectively. Compensation and benefits expense includes base and incentive cash compensation, stock compensation expense, benefits and payroll taxes. Compensation and benefits expense has steadily increased as we have increased our staffing from 332 employees at January 1, 2015 to 362 at June 30, 2016,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89"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2016 as compared to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 The amount of income tax expense or benefit recorded in future periods will be dependent on the jurisdictions in which we operate and the tax laws and regulations in effect.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six months ended June 30, 2016 and 2015 for our U.S. mortgage insurance portfolio. In addition, this table includes our risk in force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67,716,741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53,253,632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65,242,453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50,762,594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NIW - Flow</w:t>
            </w:r>
          </w:p>
        </w:tc>
        <w:tc>
          <w:tcPr>
            <w:tcW w:w="4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8,715,171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7,225,401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14,081,846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12,572,221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61,258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Cancellations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(4,164,813)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(3,104,432)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(7,150,254)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(5,960,214)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72,267,099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57,435,859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72,267,099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57,435,859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gridSpan w:val="2"/>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69,746,972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55,224,827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68,145,618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53,649,683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17,937,364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13,992,701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17,937,364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13,992,701</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cancellation activity has been relatively low to date because the average age of our insurance portfolio is young. The following is a summary of our IIF at June 30, 2016 by vintage: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4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(through June 30)</w:t>
            </w:r>
          </w:p>
        </w:tc>
        <w:tc>
          <w:tcPr>
            <w:tcW w:w="47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13,972,443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2015</w:t>
            </w: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23,791,225</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17,543,691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2013</w:t>
            </w: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11,480,248</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4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4,711,211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2011</w:t>
            </w: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727,498</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4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40,783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4380" w:type="dxa"/>
            <w:vAlign w:val="bottom"/>
            <w:gridSpan w:val="2"/>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72,267,099</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260" w:type="dxa"/>
            <w:vAlign w:val="bottom"/>
            <w:vMerge w:val="restart"/>
          </w:tcPr>
          <w:p>
            <w:pPr>
              <w:jc w:val="right"/>
              <w:ind w:right="205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2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and (4) changes to our pricing. For the three and six months ended June 30, 2016, our average premium rate was 0.57% and 0.56%, respectively, as compared to 0.57% for each of the three and six months ended June 30,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June 30, 2016, our combined net risk in force for our U.S. insurance companies was $15.0 billion and our combined statutory capital was $1.0 billion, resulting in a risk-to-capital ratio of 14.8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8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During the six months ended June 30, 2016, no capital contributions were made by Essent Group Ltd. to our U.S. insurance subsidiaries. During the six months ended June 30, 2015, capital contributions of $20.0 million were made by Essent Group Ltd. to our U.S. insurance subsidiaries.</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125"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108,513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92,399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208,979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174,656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(21,257)</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100,711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78,361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195,114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153,399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1,217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108,165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84,067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210,631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164,078</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31,409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62,797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54,646</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losses and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58,959</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73,792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54,605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141,139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105,119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33,088</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52,258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37,193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100,209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72,031</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2016 Compared to the Three and Six Months Ended June 30, 2015</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For the three months ended June 30, 2016, we reported net income of $52.3 million, compared to net income of $37.2 million for the three months ended June 30, 2015. For the six months ended June 30, 2016, we reported net income of $100.2 million, compared to net income of $72.0 million for the six months ended June 30, 2015. The increase in our operating results in 2016 over the same periods in 2015 was primarily due to the increase in net premiums earned associated with the growth of our IIF and the increase in net investment income, partially offset by increases in other underwriting and operating expenses, the provision for losses and loss adjustment expenses and income taxes.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Net premiums earned increased in the three months ended June 30, 2016 by 29% compared to the three months ended June 30, 2015 primarily due to the increase in our average IIF from $55.2 billion at June 30, 2015 to $69.7 billion at June 30, 2016. The average premium rate was 0.57% for the three months ended June 30, 2016 and 2015. Net premiums earned increased in the six months ended June 30, 2016 by 27% compared to the six months ended June 30, 2015 due to the increase in our average IIF from $53.6 billion at June 30, 2015 to $68.1 billion at June 30, 2016, partially offset by a decrease in the average premium rate from 0.57% in the six months ended June 30, 2015 to 0.56% in the six months ended June 30, 2016. The decrease in the average premium rate is due primarily to a decrease in premium earned on the cancellation of non-refundable single premium policies relative to average IIF in the respective periods.</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increase in net premiums written was due primarily to the increase in average IIF of 26% for the three months ended June 30, 2016 and 27% for the six months ended June 30, 2016 as compared to the same periods in 2015. Net premiums written increased in the three and six months ended June 30, 2016 by 17% and 20%, respectively, over the three and six months ended June 30, 2015.</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three months ended June 30, 2016 and 2015, unearned premiums increased by $7.8 million and $14.0 million, respectively. The change in unearned premiums was a result of net premiums written on single premium policies of $27.0 million and $28.2 million, respectively, which was partially offset by $19.2 million and $14.2 million, respectively, of unearned premium that was recognized in earnings during the periods. In the six months ended June 30, 2016 and 2015, unearned premiums increased by $13.9 million and $21.3 million, respectively. This was a result of net premiums written on single premium policies of $50.2 million and $49.4 million, respectively, which was partially offset by $36.3 million and $28.1 million, respectively, of unearned premium that was recognized in earnings during the period.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4,720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88" w:lineRule="auto"/>
        <w:rPr>
          <w:sz w:val="20"/>
          <w:szCs w:val="20"/>
          <w:color w:val="auto"/>
        </w:rPr>
      </w:pPr>
      <w:r>
        <w:rPr>
          <w:rFonts w:ascii="Arial" w:cs="Arial" w:eastAsia="Arial" w:hAnsi="Arial"/>
          <w:sz w:val="16"/>
          <w:szCs w:val="16"/>
          <w:color w:val="auto"/>
        </w:rPr>
        <w:t>The increase in net investment income for the three and six months ended June 30, 2016 as compared to the same periods in 2015 was due to the increase in the weighted average balance of our investment portfolio and the increase in the pre-tax investment income yield. The average cash and investment portfolio balance was $1.4 billion for the three months ended June 30, 2016 compared to $1.1 billion for the three months ended June 30,</w:t>
      </w:r>
    </w:p>
    <w:p>
      <w:pPr>
        <w:ind w:right="60"/>
        <w:spacing w:after="0" w:line="295" w:lineRule="auto"/>
        <w:rPr>
          <w:sz w:val="20"/>
          <w:szCs w:val="20"/>
          <w:color w:val="auto"/>
        </w:rPr>
      </w:pPr>
      <w:r>
        <w:rPr>
          <w:rFonts w:ascii="Arial" w:cs="Arial" w:eastAsia="Arial" w:hAnsi="Arial"/>
          <w:sz w:val="16"/>
          <w:szCs w:val="16"/>
          <w:color w:val="auto"/>
        </w:rPr>
        <w:t>2015. The average cash and investment portfolio balance was $1.3 billion for the six months ended June 30, 2016 compared to $1.1 billion for the six months ended June 30, 2015. The pre-tax investment income yield increased from 1.8% in each of the three and six months ended June 30, 2015 to 2.1% in each of the three and six months ended June 30, 2016 primarily due to an increase in our longer duration investment positions. The pre-tax investment income yields are calculated based on amortized cost. See “— Liquidity and Capital Resources” below for further details of our investment portfolio.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Other income includes fees earned for information technology and customer support services provided to Triad, contract underwriting revenues and changes in the fair value of the insurance and certain reinsurance policies issued by Essent Re under the ACIS program. The decrease in other income for the three months ended June 30, 2016 was primarily due to a $0.8 million decrease in the estimated fair value of our ACIS contracts resulting from the increase in observed prepayment speeds associated with the underlying pool of mortgages on the reference STACR notes issued by Freddie Mac, partially offset by an increase in contract underwriting revenue. For the same period in 2015, other income includes a $0.4 million decrease in the estimated fair value of our ACIS contracts resulting from the increase in observed prepayment speeds associated with the underlying pool of mortgages on the reference STACR notes. The increase in other income for the six months ended June 30, 2016 compared to the same period in 2015 was primarily due to a $1.1 million decrease in the estimated fair value of our ACIS contracts recorded in 2015 resulting from the increase in observed prepayment speeds associated with the underlying pool of mortgages on the reference STACR notes issued by Freddie Mac.</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increase in the provision for losses and LAE in the three and six months ended June 30, 2016 as compared to the same periods in 2015 was primarily due to increases in the number of insured loans in default, partially offset by previously identified defaults that cured.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60" w:type="dxa"/>
            <w:vAlign w:val="bottom"/>
            <w:gridSpan w:val="4"/>
          </w:tcPr>
          <w:p>
            <w:pPr>
              <w:ind w:left="760"/>
              <w:spacing w:after="0"/>
              <w:rPr>
                <w:sz w:val="20"/>
                <w:szCs w:val="20"/>
                <w:color w:val="auto"/>
              </w:rPr>
            </w:pPr>
            <w:r>
              <w:rPr>
                <w:rFonts w:ascii="Arial" w:cs="Arial" w:eastAsia="Arial" w:hAnsi="Arial"/>
                <w:sz w:val="14"/>
                <w:szCs w:val="14"/>
                <w:b w:val="1"/>
                <w:bCs w:val="1"/>
                <w:color w:val="auto"/>
              </w:rPr>
              <w:t>Three Months Ended June 30,</w:t>
            </w:r>
          </w:p>
        </w:tc>
        <w:tc>
          <w:tcPr>
            <w:tcW w:w="326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Borders>
              <w:bottom w:val="single" w:sz="8" w:color="CCEEFF"/>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766</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rescissions and denials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6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605</w:t>
            </w:r>
          </w:p>
        </w:tc>
      </w:tr>
      <w:tr>
        <w:trPr>
          <w:trHeight w:val="27"/>
        </w:trPr>
        <w:tc>
          <w:tcPr>
            <w:tcW w:w="47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620" w:type="dxa"/>
            <w:vAlign w:val="bottom"/>
          </w:tcPr>
          <w:p>
            <w:pPr>
              <w:jc w:val="right"/>
              <w:ind w:right="43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increase in the number of defaults at June 30, 2016 compared to June 30, 2015 was primarily due to the increase in our IIF and policies in force, as well as further seasoning of our insurance portfolio.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 June 30,</w:t>
            </w:r>
          </w:p>
        </w:tc>
        <w:tc>
          <w:tcPr>
            <w:tcW w:w="112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83"/>
              </w:rPr>
              <w:t>20,625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10,958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Pr>
          <w:p>
            <w:pPr>
              <w:spacing w:after="0"/>
              <w:rPr>
                <w:sz w:val="21"/>
                <w:szCs w:val="21"/>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605</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decrease in the average reserve per default was primarily due to changes in the composition (such as mark-to-market loan-to-value ratios, risk in force, and number of months past due) of the underlying loans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6,079</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(1,766)</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during the current period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4,313</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669</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22,474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11,931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22,474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11,931</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As of June 30, 2016</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48%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4,494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30,478</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10,196</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24,520</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4,431</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6,703</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1,504</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1,693</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20,625</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63,394</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22,474</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295"/>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As of June 30, 2015</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2,797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16,188</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5,680</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12,715</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2,003</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2,500</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478</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540</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10,958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31,943</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11,931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three months ended June 30, 2016, the provision for losses and LAE was $3.0 million, comprised of $4.5 million of current year losses partially offset by $1.5 million of favorable prior years’ loss development. During the three months ended June 30, 2015, the provision for losses and LAE was $2.3 million, comprised of $3.4 million of current year losses partially offset by $1.1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six months ended June 30, 2016, the provision for losses and LAE was $6.7 million, comprised of $9.6 million of current year losses partially offset by $2.9 million of favorable prior years’ loss development. During the six months ended June 30, 2015, the provision for losses and LAE was $4.3 million, comprised of $6.1 million of current year losses partially offset by $1.8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1060" w:type="dxa"/>
            <w:vAlign w:val="bottom"/>
          </w:tcPr>
          <w:p>
            <w:pPr>
              <w:jc w:val="right"/>
              <w:ind w:right="8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780</w:t>
            </w: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10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4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1"/>
              </w:rPr>
              <w:t>Six Months 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20,396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17,477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40,702</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35,663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11,013</w:t>
            </w:r>
          </w:p>
        </w:tc>
        <w:tc>
          <w:tcPr>
            <w:tcW w:w="1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9,671</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22,095</w:t>
            </w:r>
          </w:p>
        </w:tc>
        <w:tc>
          <w:tcPr>
            <w:tcW w:w="80" w:type="dxa"/>
            <w:vAlign w:val="bottom"/>
          </w:tcPr>
          <w:p>
            <w:pPr>
              <w:spacing w:after="0"/>
              <w:rPr>
                <w:sz w:val="21"/>
                <w:szCs w:val="21"/>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18,983</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35</w:t>
            </w: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31,409</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27,148</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62,797</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54,646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355</w:t>
            </w: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the increase in our workforce to 362 at June 30, 2016 from 332 at January 1, 2015. Additional employees were hired to support the growth in our business, particularly in our sales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720"/>
        <w:spacing w:after="0" w:line="324" w:lineRule="auto"/>
        <w:rPr>
          <w:sz w:val="20"/>
          <w:szCs w:val="20"/>
          <w:color w:val="auto"/>
        </w:rPr>
      </w:pPr>
      <w:r>
        <w:rPr>
          <w:rFonts w:ascii="Arial" w:cs="Arial" w:eastAsia="Arial" w:hAnsi="Arial"/>
          <w:sz w:val="18"/>
          <w:szCs w:val="18"/>
          <w:color w:val="auto"/>
        </w:rPr>
        <w:t>organization, as well as our underwriting and customer service teams. Compensation and benefits includes salaries, wages and bonus, stock compensation expense, benefits and payroll taxes.</w:t>
      </w:r>
    </w:p>
    <w:p>
      <w:pPr>
        <w:spacing w:after="0" w:line="143" w:lineRule="exact"/>
        <w:rPr>
          <w:sz w:val="20"/>
          <w:szCs w:val="20"/>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subsidiaries in the United States file a consolidated U.S. Federal income tax return. Our income tax expense was $21.5 million and $17.4 million for the three months ended June 30, 2016 and 2015, respectively. Our income tax expense was $40.9 million and $33.1 million for the six months ended June 30, 2016 and 2015, respectively. Our effective tax rate was 29.2% and 31.9% for the three months ended June 30, 2016 and 2015, respectively, and 29.0% and 31.5% for the six months ended June 30, 2016 and 2015, respectively. For interim reporting periods, we use an annualized effective tax rate method required under GAAP to calculate the income tax provision. In the three months ended June 30, 2016 and 2015, our effective tax rate reflects the impact of the change in our expectations for the proportion of consolidated earnings to be generated in the United States compared to Bermuda in each year. We expect the proportion of our consolidated earnings generated in Bermuda to be higher in 2016 than in 2015 as a result of insurance and reinsurance contracts executed with Freddie Mac and Fannie Mae and the quota share reinsurance agreement between Essent Guaranty and Essent Re. Bermuda does not have a corporate income tax.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borrowings under our revolving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 payments under our policies;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June 30, 2016, we had substantial liquidity with cash of $16.2 million, short-term investments of $129.2 million and fixed maturity investments of $1.3 billion. We also had $200 million available under our revolving credit facility and had no debt outstanding. At June 30, 2016, net cash and investments at the holding company was $42.3 million.</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5620" w:right="5440" w:hanging="5288"/>
        <w:spacing w:after="0" w:line="659"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inability to sell investment assets to provide cash to fund operating needs; 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June 30, 2016, Essent Guaranty had negative unassigned surplus of approximately $19.6 million and therefore would require prior approval by the Pennsylvania Insurance Commissioner to make any dividend payment or other distributions in 2016. Essent Guaranty has paid no dividends since its inception. Essent PA had unassigned surplus of approximately $6.5 million as of June 30, 2016. During the six months ended June 30, 2016, Essent PA paid to its parent company, Essent US Holdings, Inc., a $3.75 million dividend.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June 30, 2016, Essent Re had total equity of $276.5 million. At June 30, 2016, our insurance subsidiaries were in compliance with these rules, regulations and agreements. In connection with its insurance and reinsurance activities, Essent Re is required to maintain assets in trusts for the benefit of its contractual counterparties. See Note 3 to our condensed consolidated financial statements.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122,067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89,846</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(125,550)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(85,418)</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1,179</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Cash flow provided by operating activities totaled $122.1 million for the six months ended June 30, 2016 as compared to $89.8 million for the six months ended June 30, 2015. The increase in cash flow from operating activities of $32.2 million in 2016 was primarily a result of increases in premiums collected and net investment income, partially offset by increases in expenses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Cash flow used in investing activities totaled $125.6 million for the six months ended June 30, 2016 as compared to $85.4 million for the six months ended June 30, 2015. The increase in cash flow used in investing activities primarily related to investing cash flows from the business.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Cash flow used in financing activities totaled $5.0 million for the six months ended June 30, 2016, as compared to $3.2 million for the six months ended June 30, 2015. The increase in cash flow used in financing activities was primarily related to the payment of issuance costs for the revolving line of credit.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During the six months ended June 30, 2016, no capital contributions were made by Essent Group Ltd. to our U.S. insurance subsidiaries. During the six months ended June 30, 2015, capital contributions of $20.0 million were made by Essent Group Ltd. to our U.S. insurance subsidiaries.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June 30, 2016 is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592,221</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425,126</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1,017,347</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15,023,472</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For additional information regarding regulatory capital, see Note 12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 has entered into risk-share insurance and reinsurance transactions with Freddie Mac and Fannie Mae. Essent Re also executed a quota share reinsurance transaction with Essent Guaranty to reinsure 25% of Essent Guaranty’s GSE-eligible NIW effective July 1, 2014. During the six months ended June 30, 2016, Essent Group Ltd. made capital contributions to Essent Re of $30.0 million to support new business. As of June 30, 2016, Essent Re had total stockholders’ equity of $276.5 million and net risk in force of $3.2 billion.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Baa2 with a stable outlook by Moody's and BBB+ with a stable outlook by S&amp;P.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w:t>
      </w:r>
    </w:p>
    <w:p>
      <w:pPr>
        <w:spacing w:after="0" w:line="2" w:lineRule="exact"/>
        <w:rPr>
          <w:sz w:val="20"/>
          <w:szCs w:val="20"/>
          <w:color w:val="auto"/>
        </w:rPr>
      </w:pPr>
    </w:p>
    <w:p>
      <w:pPr>
        <w:ind w:right="720"/>
        <w:spacing w:after="0" w:line="323" w:lineRule="auto"/>
        <w:rPr>
          <w:sz w:val="20"/>
          <w:szCs w:val="20"/>
          <w:color w:val="auto"/>
        </w:rPr>
      </w:pPr>
      <w:r>
        <w:rPr>
          <w:rFonts w:ascii="Arial" w:cs="Arial" w:eastAsia="Arial" w:hAnsi="Arial"/>
          <w:sz w:val="16"/>
          <w:szCs w:val="16"/>
          <w:color w:val="auto"/>
        </w:rPr>
        <w:t>June 30, 2016, Essent Guaranty, our GSE-approved mortgage insurance company, was in compliance with the PMIERs. As of June 30, 2016, Essent Guaranty's Available Assets were $1.06 billion and its Minimum Required Assets were $993 million based on our interpretation of the PMIERs.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As of June 30, 2016, stockholders’ equity was $1.2 billion compared to $1.1 billion as of December 31, 2015. This increase was primarily due to net income generated in 2016, as well as an increase in accumulated other comprehensive income related to an increase in our unrealized investment gains.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total fair value of our investment portfolio was $1.4 billion as of June 30, 2016 and $1.3 billion as of December 31, 2015. In addition, our total cash was $16.2 million as of June 30, 2016, compared to $24.6 million as of December 31,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4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 2016</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0"/>
              </w:rPr>
              <w:t>December 31, 2015</w:t>
            </w: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3"/>
          </w:tcPr>
          <w:p>
            <w:pPr>
              <w:spacing w:after="0"/>
              <w:rPr>
                <w:sz w:val="22"/>
                <w:szCs w:val="22"/>
                <w:color w:val="auto"/>
              </w:rPr>
            </w:pPr>
          </w:p>
        </w:tc>
        <w:tc>
          <w:tcPr>
            <w:tcW w:w="12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201,802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177,607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14,339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1"/>
              <w:spacing w:after="0"/>
              <w:rPr>
                <w:sz w:val="20"/>
                <w:szCs w:val="20"/>
                <w:color w:val="auto"/>
              </w:rPr>
            </w:pPr>
            <w:r>
              <w:rPr>
                <w:rFonts w:ascii="Arial" w:cs="Arial" w:eastAsia="Arial" w:hAnsi="Arial"/>
                <w:sz w:val="18"/>
                <w:szCs w:val="18"/>
                <w:color w:val="auto"/>
              </w:rPr>
              <w:t>13,782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204,254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159,602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330,203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1"/>
              <w:spacing w:after="0"/>
              <w:rPr>
                <w:sz w:val="20"/>
                <w:szCs w:val="20"/>
                <w:color w:val="auto"/>
              </w:rPr>
            </w:pPr>
            <w:r>
              <w:rPr>
                <w:rFonts w:ascii="Arial" w:cs="Arial" w:eastAsia="Arial" w:hAnsi="Arial"/>
                <w:sz w:val="18"/>
                <w:szCs w:val="18"/>
                <w:color w:val="auto"/>
              </w:rPr>
              <w:t>279,828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390,425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396,732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Mortgage-backed securities</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50,604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1"/>
              <w:spacing w:after="0"/>
              <w:rPr>
                <w:sz w:val="20"/>
                <w:szCs w:val="20"/>
                <w:color w:val="auto"/>
              </w:rPr>
            </w:pPr>
            <w:r>
              <w:rPr>
                <w:rFonts w:ascii="Arial" w:cs="Arial" w:eastAsia="Arial" w:hAnsi="Arial"/>
                <w:sz w:val="18"/>
                <w:szCs w:val="18"/>
                <w:color w:val="auto"/>
              </w:rPr>
              <w:t>55,356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129,312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126,629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114,235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1"/>
              <w:spacing w:after="0"/>
              <w:rPr>
                <w:sz w:val="20"/>
                <w:szCs w:val="20"/>
                <w:color w:val="auto"/>
              </w:rPr>
            </w:pPr>
            <w:r>
              <w:rPr>
                <w:rFonts w:ascii="Arial" w:cs="Arial" w:eastAsia="Arial" w:hAnsi="Arial"/>
                <w:sz w:val="18"/>
                <w:szCs w:val="18"/>
                <w:color w:val="auto"/>
              </w:rPr>
              <w:t>67,098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1,435,174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1,276,634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603"/>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(1) The following table summarizes municipal debt securities as of :</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center"/>
              <w:ind w:left="34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tcBorders>
              <w:bottom w:val="single" w:sz="8" w:color="CCEEFF"/>
            </w:tcBorders>
            <w:gridSpan w:val="3"/>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spacing w:after="0"/>
              <w:rPr>
                <w:sz w:val="22"/>
                <w:szCs w:val="22"/>
                <w:color w:val="auto"/>
              </w:rPr>
            </w:pPr>
          </w:p>
        </w:tc>
        <w:tc>
          <w:tcPr>
            <w:tcW w:w="12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(2) The following table summarizes corporate debt securities as of :</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center"/>
              <w:ind w:left="34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Consumer, cyclical</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70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June 30, 2016</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2015</w:t>
            </w:r>
          </w:p>
        </w:tc>
        <w:tc>
          <w:tcPr>
            <w:tcW w:w="1160" w:type="dxa"/>
            <w:vAlign w:val="bottom"/>
            <w:tcBorders>
              <w:bottom w:val="single" w:sz="8" w:color="auto"/>
            </w:tcBorders>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680,656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554,789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89,465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74,322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5.8</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94,692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89,533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78,288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68,587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5.4</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128,307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126,920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9.9</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103,730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122,745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9.6</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85,951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87,781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6.9</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77,687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80,137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6.3</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51,528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16,414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19,662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 / Unrated</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57"/>
        </w:trPr>
        <w:tc>
          <w:tcPr>
            <w:tcW w:w="40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1,435,174</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1,276,634</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21"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June 30, 2016</w:t>
            </w:r>
          </w:p>
        </w:tc>
        <w:tc>
          <w:tcPr>
            <w:tcW w:w="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5"/>
              </w:rPr>
              <w:t>December 31, 2015</w:t>
            </w:r>
          </w:p>
        </w:tc>
        <w:tc>
          <w:tcPr>
            <w:tcW w:w="1360" w:type="dxa"/>
            <w:vAlign w:val="bottom"/>
            <w:tcBorders>
              <w:bottom w:val="single" w:sz="8" w:color="auto"/>
            </w:tcBorders>
          </w:tcPr>
          <w:p>
            <w:pPr>
              <w:spacing w:after="0"/>
              <w:rPr>
                <w:sz w:val="16"/>
                <w:szCs w:val="16"/>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Percent</w:t>
            </w: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326,315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235,001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193,781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141,995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11.1</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164,836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214,274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16.8</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137,933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104,772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8.2</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138,221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141,428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11.1</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474,088</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439,164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34.4</w:t>
            </w: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1,435,174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1,276,634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2"/>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38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2.125% 5/15/2025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21,238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Ginnie Mae 4.000% 8/20/2045</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18,321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2.250% 11/15/2024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5.250%</w:t>
            </w:r>
          </w:p>
        </w:tc>
        <w:tc>
          <w:tcPr>
            <w:tcW w:w="1740" w:type="dxa"/>
            <w:vAlign w:val="bottom"/>
          </w:tcPr>
          <w:p>
            <w:pPr>
              <w:ind w:left="20"/>
              <w:spacing w:after="0"/>
              <w:rPr>
                <w:sz w:val="20"/>
                <w:szCs w:val="20"/>
                <w:color w:val="auto"/>
              </w:rPr>
            </w:pPr>
            <w:r>
              <w:rPr>
                <w:rFonts w:ascii="Arial" w:cs="Arial" w:eastAsia="Arial" w:hAnsi="Arial"/>
                <w:sz w:val="18"/>
                <w:szCs w:val="18"/>
                <w:color w:val="auto"/>
              </w:rPr>
              <w:t>11/15/2028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15,766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15,044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0.000%</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7/7/2016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Freddie Mac 2.500% 10/1/2030</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14,759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1.625%</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2/15/2026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Fannie Mae 1.500% 6/22/2020</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12,335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Fannie Mae 3.000% 7/25/2045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1.625%</w:t>
            </w:r>
          </w:p>
        </w:tc>
        <w:tc>
          <w:tcPr>
            <w:tcW w:w="1740" w:type="dxa"/>
            <w:vAlign w:val="bottom"/>
          </w:tcPr>
          <w:p>
            <w:pPr>
              <w:ind w:left="20"/>
              <w:spacing w:after="0"/>
              <w:rPr>
                <w:sz w:val="20"/>
                <w:szCs w:val="20"/>
                <w:color w:val="auto"/>
              </w:rPr>
            </w:pPr>
            <w:r>
              <w:rPr>
                <w:rFonts w:ascii="Arial" w:cs="Arial" w:eastAsia="Arial" w:hAnsi="Arial"/>
                <w:sz w:val="18"/>
                <w:szCs w:val="18"/>
                <w:color w:val="auto"/>
              </w:rPr>
              <w:t>7/31/2020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11,478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151,956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147,570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4,386</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80" w:hanging="328"/>
        <w:spacing w:after="0" w:line="27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of June 30, 2016, for securities in unrealized loss positions, management believes decline in fair values is principally associated with the changes in the interest rate environment subsequent to their purchase and there are no other-than-temporary impairments. Also, see Note 3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2015</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2.125% 5/15/2025</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24,974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2.250% 11/15/2024</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2.500% 10/1/2030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2.125% 6/30/2022</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0.000%</w:t>
            </w:r>
          </w:p>
        </w:tc>
        <w:tc>
          <w:tcPr>
            <w:tcW w:w="1140" w:type="dxa"/>
            <w:vAlign w:val="bottom"/>
          </w:tcPr>
          <w:p>
            <w:pPr>
              <w:ind w:left="20"/>
              <w:spacing w:after="0"/>
              <w:rPr>
                <w:sz w:val="20"/>
                <w:szCs w:val="20"/>
                <w:color w:val="auto"/>
              </w:rPr>
            </w:pPr>
            <w:r>
              <w:rPr>
                <w:rFonts w:ascii="Arial" w:cs="Arial" w:eastAsia="Arial" w:hAnsi="Arial"/>
                <w:sz w:val="18"/>
                <w:szCs w:val="18"/>
                <w:color w:val="auto"/>
              </w:rPr>
              <w:t>3/3/2016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1.500% 6/22/2020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2.250%</w:t>
            </w:r>
          </w:p>
        </w:tc>
        <w:tc>
          <w:tcPr>
            <w:tcW w:w="1140" w:type="dxa"/>
            <w:vAlign w:val="bottom"/>
          </w:tcPr>
          <w:p>
            <w:pPr>
              <w:ind w:left="20"/>
              <w:spacing w:after="0"/>
              <w:rPr>
                <w:sz w:val="20"/>
                <w:szCs w:val="20"/>
                <w:color w:val="auto"/>
              </w:rPr>
            </w:pPr>
            <w:r>
              <w:rPr>
                <w:rFonts w:ascii="Arial" w:cs="Arial" w:eastAsia="Arial" w:hAnsi="Arial"/>
                <w:sz w:val="18"/>
                <w:szCs w:val="18"/>
                <w:color w:val="auto"/>
              </w:rPr>
              <w:t>11/15/2025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1.000%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9/30/2016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10,020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0.750%</w:t>
            </w:r>
          </w:p>
        </w:tc>
        <w:tc>
          <w:tcPr>
            <w:tcW w:w="1140" w:type="dxa"/>
            <w:vAlign w:val="bottom"/>
          </w:tcPr>
          <w:p>
            <w:pPr>
              <w:ind w:left="20"/>
              <w:spacing w:after="0"/>
              <w:rPr>
                <w:sz w:val="20"/>
                <w:szCs w:val="20"/>
                <w:color w:val="auto"/>
              </w:rPr>
            </w:pPr>
            <w:r>
              <w:rPr>
                <w:rFonts w:ascii="Arial" w:cs="Arial" w:eastAsia="Arial" w:hAnsi="Arial"/>
                <w:sz w:val="18"/>
                <w:szCs w:val="18"/>
                <w:color w:val="auto"/>
              </w:rPr>
              <w:t>3/15/2017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150,652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36</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municipal debt securities for states that represent more than 10% of the total municipal bond position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8,488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University of Houston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El Paso</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Dallas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College Station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San Antonio</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Alvin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Corpus Christi</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Pasadena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Tarrant County Cultural Education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Harlandale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44,775</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2015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At June 30, 2016, the effective duration of our investment portfolio, including cash, was 3.6 years, which means that an instantaneous parallel shift (movement up or down) in the yield curve of 100 basis points would result in a change of 3.6% in fair value of our investment portfolio. Excluding cash, our investment portfolio effective duration was 4.0 years, which means that an instantaneous parallel shift (movement up or down) in the yield curve of 100 basis points would result in a change of 4.0%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2016,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2015.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June 30, 2016.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95"/>
              </w:rPr>
              <w:t>Total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4"/>
              </w:rPr>
              <w:t>Number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8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89"/>
              </w:rPr>
              <w:t>Purchased</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 2016</w:t>
            </w: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May 1 - May 31, 2016</w:t>
            </w:r>
          </w:p>
        </w:tc>
        <w:tc>
          <w:tcPr>
            <w:tcW w:w="12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1,260</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 2016</w:t>
            </w:r>
          </w:p>
        </w:tc>
        <w:tc>
          <w:tcPr>
            <w:tcW w:w="12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1,260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39</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1"/>
                <w:szCs w:val="21"/>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Agreement dated August 4, 2016 between Essent Guaranty, Inc. and Adolfo Marzol (filed herewith)</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The following financial information from this Quarterly Report on Form 10-Q for the quarter ended June 30, 2016, formatted in XBRL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8"/>
              </w:rPr>
              <w:t>(Extensible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Management contract or compensatory plan or arrangement.</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August 5, 2016</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August 5, 2016</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August 5, 2016</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125" w:right="4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180" w:type="dxa"/>
            <w:vAlign w:val="bottom"/>
          </w:tcPr>
          <w:p>
            <w:pPr>
              <w:ind w:left="2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1"/>
                <w:szCs w:val="21"/>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Agreement dated August 4, 2016 between Essent Guaranty, Inc. and Adolfo Marzol (filed herewith)</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The following financial information from this Quarterly Report on Form 10-Q for the quarter ended June 30, 2016, formatted in XBRL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8"/>
              </w:rPr>
              <w:t>(Extensible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500"/>
        </w:trPr>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Management contract or compensatory plan or arrangement.</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918"/>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August 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 Employment Offer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Dear Adolfo:</w:t>
      </w:r>
    </w:p>
    <w:p>
      <w:pPr>
        <w:spacing w:after="0" w:line="225" w:lineRule="exact"/>
        <w:rPr>
          <w:sz w:val="20"/>
          <w:szCs w:val="20"/>
          <w:color w:val="auto"/>
        </w:rPr>
      </w:pPr>
    </w:p>
    <w:p>
      <w:pPr>
        <w:ind w:left="620" w:right="180"/>
        <w:spacing w:after="0" w:line="312" w:lineRule="auto"/>
        <w:rPr>
          <w:sz w:val="20"/>
          <w:szCs w:val="20"/>
          <w:color w:val="auto"/>
        </w:rPr>
      </w:pPr>
      <w:r>
        <w:rPr>
          <w:rFonts w:ascii="Arial" w:cs="Arial" w:eastAsia="Arial" w:hAnsi="Arial"/>
          <w:sz w:val="16"/>
          <w:szCs w:val="16"/>
          <w:color w:val="auto"/>
        </w:rPr>
        <w:t>Essent Guaranty, Inc. (“Essent” or the “Company”) is pleased to confirm the offer extended to you to join Essent in the position of Senior Policy Advisor on Housing Finance, reporting directly to Mark A. Casale, President and CEO with a tentative commencement date of September 1, 2016. This letter sets forth the understanding of terms of your employment with Essent, including an overview of your compensation package.</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ind w:left="680" w:right="520"/>
        <w:spacing w:after="0" w:line="282"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 will be compensated on a semi monthly basis in the amount equal to $100,000 per annum, subject to tax and other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withholdings.</w:t>
      </w:r>
    </w:p>
    <w:p>
      <w:pPr>
        <w:spacing w:after="0" w:line="162" w:lineRule="exact"/>
        <w:rPr>
          <w:sz w:val="20"/>
          <w:szCs w:val="20"/>
          <w:color w:val="auto"/>
        </w:rPr>
      </w:pPr>
    </w:p>
    <w:p>
      <w:pPr>
        <w:ind w:left="680" w:right="20"/>
        <w:spacing w:after="0" w:line="258" w:lineRule="auto"/>
        <w:rPr>
          <w:sz w:val="20"/>
          <w:szCs w:val="20"/>
          <w:color w:val="auto"/>
        </w:rPr>
      </w:pPr>
      <w:r>
        <w:rPr>
          <w:rFonts w:ascii="Arial" w:cs="Arial" w:eastAsia="Arial" w:hAnsi="Arial"/>
          <w:sz w:val="18"/>
          <w:szCs w:val="18"/>
          <w:b w:val="1"/>
          <w:bCs w:val="1"/>
          <w:color w:val="auto"/>
        </w:rPr>
        <w:t>Long Term Incentive Bonus</w:t>
      </w:r>
      <w:r>
        <w:rPr>
          <w:rFonts w:ascii="Arial" w:cs="Arial" w:eastAsia="Arial" w:hAnsi="Arial"/>
          <w:sz w:val="18"/>
          <w:szCs w:val="18"/>
          <w:color w:val="auto"/>
        </w:rPr>
        <w:t>. In addition to the Base Salary, commencing in calendar year 2017, you will be eligible to participate in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Long Term Incentive Plan (“LTI Plan”) with an annual target amount of at least $110,000 on the date of grant, with such shares fully vesting on the first anniversary of such date of grant provided you remain employed through such vesting date. The terms and conditions of the grant of LTI Plan Awards shall be set forth in the award agreement relating to the grant of such award. Compensation-related benefits will be prorated and calculated as of the first day of the month in which your hire date falls.</w:t>
      </w:r>
    </w:p>
    <w:p>
      <w:pPr>
        <w:spacing w:after="0" w:line="184" w:lineRule="exact"/>
        <w:rPr>
          <w:sz w:val="20"/>
          <w:szCs w:val="20"/>
          <w:color w:val="auto"/>
        </w:rPr>
      </w:pPr>
    </w:p>
    <w:p>
      <w:pPr>
        <w:ind w:left="680" w:right="100"/>
        <w:spacing w:after="0" w:line="261" w:lineRule="auto"/>
        <w:rPr>
          <w:sz w:val="20"/>
          <w:szCs w:val="20"/>
          <w:color w:val="auto"/>
        </w:rPr>
      </w:pPr>
      <w:r>
        <w:rPr>
          <w:rFonts w:ascii="Arial" w:cs="Arial" w:eastAsia="Arial" w:hAnsi="Arial"/>
          <w:sz w:val="18"/>
          <w:szCs w:val="18"/>
          <w:b w:val="1"/>
          <w:bCs w:val="1"/>
          <w:color w:val="auto"/>
        </w:rPr>
        <w:t xml:space="preserve">Policies and Benefits. </w:t>
      </w:r>
      <w:r>
        <w:rPr>
          <w:rFonts w:ascii="Arial" w:cs="Arial" w:eastAsia="Arial" w:hAnsi="Arial"/>
          <w:sz w:val="18"/>
          <w:szCs w:val="18"/>
          <w:color w:val="auto"/>
        </w:rPr>
        <w:t>As an employee of the Company you will become a co-employee of Insperity, Inc. for purposes including benefits.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provided with a Forms and Policies booklet which outlines the Company’s policies and programs. You will also be provided with copies of benefits booklets which outline the Company’s benefit programs and currently include health, life, disability, vision and dental insurance coverage, as well as 401(k) and tuition reimbursement.</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At Will Employee. </w:t>
      </w:r>
      <w:r>
        <w:rPr>
          <w:rFonts w:ascii="Arial" w:cs="Arial" w:eastAsia="Arial" w:hAnsi="Arial"/>
          <w:sz w:val="16"/>
          <w:szCs w:val="16"/>
          <w:color w:val="auto"/>
        </w:rPr>
        <w:t>If you accept this offer, your employment will be “at-will.” You will be free to resign at any time for any reason or for no reason.</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Similarly, the Company is free to conclude its at-will employment relationship with you at any time with or without cause.</w:t>
      </w:r>
    </w:p>
    <w:p>
      <w:pPr>
        <w:spacing w:after="0" w:line="207" w:lineRule="exact"/>
        <w:rPr>
          <w:sz w:val="20"/>
          <w:szCs w:val="20"/>
          <w:color w:val="auto"/>
        </w:rPr>
      </w:pPr>
    </w:p>
    <w:p>
      <w:pPr>
        <w:jc w:val="both"/>
        <w:ind w:left="620" w:right="580"/>
        <w:spacing w:after="0" w:line="266" w:lineRule="auto"/>
        <w:rPr>
          <w:sz w:val="20"/>
          <w:szCs w:val="20"/>
          <w:color w:val="auto"/>
        </w:rPr>
      </w:pPr>
      <w:r>
        <w:rPr>
          <w:rFonts w:ascii="Arial" w:cs="Arial" w:eastAsia="Arial" w:hAnsi="Arial"/>
          <w:sz w:val="18"/>
          <w:szCs w:val="18"/>
          <w:b w:val="1"/>
          <w:bCs w:val="1"/>
          <w:color w:val="auto"/>
        </w:rPr>
        <w:t xml:space="preserve">Code of Business Conduct and Ethics Certification and Restrictive Covenant and Work Made for Hire Agreement. </w:t>
      </w:r>
      <w:r>
        <w:rPr>
          <w:rFonts w:ascii="Arial" w:cs="Arial" w:eastAsia="Arial" w:hAnsi="Arial"/>
          <w:sz w:val="18"/>
          <w:szCs w:val="18"/>
          <w:color w:val="auto"/>
        </w:rPr>
        <w:t>As a condition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you will be required to sign Essent’s Code of Business Conduct and Ethics and a Restrictive Covenant and Work Made for Hire Agreement.</w:t>
      </w:r>
    </w:p>
    <w:p>
      <w:pPr>
        <w:sectPr>
          <w:pgSz w:w="11900" w:h="16838" w:orient="portrait"/>
          <w:cols w:equalWidth="0" w:num="1">
            <w:col w:w="11380"/>
          </w:cols>
          <w:pgMar w:left="280" w:top="580" w:right="239" w:bottom="1440" w:gutter="0" w:footer="0" w:header="0"/>
        </w:sectPr>
      </w:pPr>
    </w:p>
    <w:bookmarkStart w:id="47" w:name="page48"/>
    <w:bookmarkEnd w:id="47"/>
    <w:p>
      <w:pPr>
        <w:spacing w:after="0" w:line="347" w:lineRule="auto"/>
        <w:rPr>
          <w:sz w:val="20"/>
          <w:szCs w:val="20"/>
          <w:color w:val="auto"/>
        </w:rPr>
      </w:pPr>
      <w:r>
        <w:rPr>
          <w:rFonts w:ascii="Arial" w:cs="Arial" w:eastAsia="Arial" w:hAnsi="Arial"/>
          <w:sz w:val="16"/>
          <w:szCs w:val="16"/>
          <w:b w:val="1"/>
          <w:bCs w:val="1"/>
          <w:color w:val="auto"/>
        </w:rPr>
        <w:t xml:space="preserve">Section 409A Compliance. </w:t>
      </w:r>
      <w:r>
        <w:rPr>
          <w:rFonts w:ascii="Arial" w:cs="Arial" w:eastAsia="Arial" w:hAnsi="Arial"/>
          <w:sz w:val="16"/>
          <w:szCs w:val="16"/>
          <w:color w:val="auto"/>
        </w:rPr>
        <w:t>This letter is intended to meet the requirements of Section 409A of the Internal Revenue Code of 1986, as amended,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related regulations or other guidance promulgated thereunder, and will be interpreted and construed consistent with that intent.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Drug Screen and Background Check</w:t>
      </w:r>
      <w:r>
        <w:rPr>
          <w:rFonts w:ascii="Arial" w:cs="Arial" w:eastAsia="Arial" w:hAnsi="Arial"/>
          <w:sz w:val="16"/>
          <w:szCs w:val="16"/>
          <w:color w:val="auto"/>
        </w:rPr>
        <w:t>. This offer is contingent upon your passing our mandatory drug screen and background check requirements.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Details will be provided to you.</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Acceptance. </w:t>
      </w:r>
      <w:r>
        <w:rPr>
          <w:rFonts w:ascii="Arial" w:cs="Arial" w:eastAsia="Arial" w:hAnsi="Arial"/>
          <w:sz w:val="17"/>
          <w:szCs w:val="17"/>
          <w:color w:val="auto"/>
        </w:rPr>
        <w:t>To indicate your acceptance of this offer, please sign below. This offer will remain open for 10 days from the date of this letter.</w:t>
      </w: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look forward to working with you to create a successful Company and we are confident your employment with Essent will prove interesting and mutually beneficial.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A. Casale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 Adolfo Marzol</w:t>
            </w:r>
          </w:p>
        </w:tc>
        <w:tc>
          <w:tcPr>
            <w:tcW w:w="640" w:type="dxa"/>
            <w:vAlign w:val="bottom"/>
          </w:tcPr>
          <w:p>
            <w:pPr>
              <w:jc w:val="right"/>
              <w:spacing w:after="0"/>
              <w:rPr>
                <w:sz w:val="20"/>
                <w:szCs w:val="20"/>
                <w:color w:val="auto"/>
              </w:rPr>
            </w:pPr>
            <w:r>
              <w:rPr>
                <w:rFonts w:ascii="Arial" w:cs="Arial" w:eastAsia="Arial" w:hAnsi="Arial"/>
                <w:sz w:val="18"/>
                <w:szCs w:val="18"/>
                <w:color w:val="auto"/>
              </w:rPr>
              <w:t>8/5/16</w:t>
            </w:r>
          </w:p>
        </w:tc>
      </w:tr>
    </w:tbl>
    <w:p>
      <w:pPr>
        <w:spacing w:after="0"/>
        <w:rPr>
          <w:sz w:val="20"/>
          <w:szCs w:val="20"/>
          <w:color w:val="auto"/>
        </w:rPr>
      </w:pPr>
      <w:r>
        <w:rPr>
          <w:rFonts w:ascii="Arial" w:cs="Arial" w:eastAsia="Arial" w:hAnsi="Arial"/>
          <w:sz w:val="18"/>
          <w:szCs w:val="18"/>
          <w:color w:val="auto"/>
        </w:rPr>
        <w:t>________________________________</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Adolfo Marzol</w:t>
      </w:r>
      <w:r>
        <w:rPr>
          <w:sz w:val="20"/>
          <w:szCs w:val="20"/>
          <w:color w:val="auto"/>
        </w:rPr>
        <w:tab/>
      </w:r>
      <w:r>
        <w:rPr>
          <w:rFonts w:ascii="Arial" w:cs="Arial" w:eastAsia="Arial" w:hAnsi="Arial"/>
          <w:sz w:val="16"/>
          <w:szCs w:val="16"/>
          <w:color w:val="auto"/>
        </w:rPr>
        <w:t>Date</w:t>
      </w:r>
    </w:p>
    <w:p>
      <w:pPr>
        <w:sectPr>
          <w:pgSz w:w="11900" w:h="16838" w:orient="portrait"/>
          <w:cols w:equalWidth="0" w:num="1">
            <w:col w:w="10720"/>
          </w:cols>
          <w:pgMar w:left="900" w:top="580"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5,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0" w:name="page51"/>
    <w:bookmarkEnd w:id="50"/>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 C. Section 1350 as adopted pursuant to Section 906 of the Sarbanes-Oxley Act of 2002, that to the best of his knowledge:</w:t>
      </w:r>
    </w:p>
    <w:p>
      <w:pPr>
        <w:spacing w:after="0" w:line="181" w:lineRule="exact"/>
        <w:rPr>
          <w:sz w:val="20"/>
          <w:szCs w:val="20"/>
          <w:color w:val="auto"/>
        </w:rPr>
      </w:pPr>
    </w:p>
    <w:p>
      <w:pPr>
        <w:ind w:right="380" w:firstLine="8"/>
        <w:spacing w:after="0" w:line="324"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2016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5, 2016</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3"/>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lowerLetter"/>
      <w:start w:val="3"/>
    </w:lvl>
  </w:abstractNum>
  <w:abstractNum w:abstractNumId="25">
    <w:nsid w:val="3A95F874"/>
    <w:multiLevelType w:val="hybridMultilevel"/>
    <w:lvl w:ilvl="0">
      <w:lvlJc w:val="left"/>
      <w:lvlText w:val="%1."/>
      <w:numFmt w:val="decimal"/>
      <w:start w:val="5"/>
    </w:lvl>
    <w:lvl w:ilvl="1">
      <w:lvlJc w:val="left"/>
      <w:lvlText w:val="(%2)"/>
      <w:numFmt w:val="lowerLetter"/>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3"/>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lowerLetter"/>
      <w:start w:val="3"/>
    </w:lvl>
  </w:abstractNum>
  <w:abstractNum w:abstractNumId="31">
    <w:nsid w:val="22221A70"/>
    <w:multiLevelType w:val="hybridMultilevel"/>
    <w:lvl w:ilvl="0">
      <w:lvlJc w:val="left"/>
      <w:lvlText w:val="%1."/>
      <w:numFmt w:val="decimal"/>
      <w:start w:val="5"/>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2020-01-20T23:07:03Z</dcterms:created>
  <dcterms:modified xsi:type="dcterms:W3CDTF">2020-01-20T23:07:03Z</dcterms:modified>
</cp:coreProperties>
</file>