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8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pPr>
      <w:r>
        <w:rPr>
          <w:rFonts w:ascii="Times New Roman;serif" w:hAnsi="Times New Roman;serif"/>
          <w:b/>
          <w:color w:val="000000"/>
          <w:sz w:val="18"/>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9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ind w:left="0" w:right="0" w:firstLine="90"/>
        <w:jc w:val="left"/>
        <w:rPr>
          <w:color w:val="000000"/>
        </w:rPr>
      </w:pPr>
      <w:r>
        <w:rPr>
          <w:color w:val="000000"/>
        </w:rPr>
        <w:t> </w:t>
      </w:r>
    </w:p>
    <w:p>
      <w:pPr>
        <w:pStyle w:val="TextBody"/>
        <w:bidi w:val="0"/>
        <w:spacing w:lineRule="auto" w:line="288" w:before="0" w:after="0"/>
        <w:ind w:left="0" w:right="0" w:firstLine="360"/>
        <w:jc w:val="left"/>
      </w:pPr>
      <w:r>
        <w:rPr>
          <w:color w:val="000000"/>
        </w:rPr>
        <w:t xml:space="preserve">☒      </w:t>
      </w:r>
      <w:r>
        <w:rPr>
          <w:rFonts w:ascii="Times New Roman;serif" w:hAnsi="Times New Roman;serif"/>
          <w:b/>
          <w:color w:val="000000"/>
          <w:sz w:val="22"/>
        </w:rPr>
        <w:t>QUARTERLY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period ended September 30,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pPr>
      <w:r>
        <w:rPr>
          <w:color w:val="000000"/>
        </w:rPr>
        <w:t xml:space="preserve">☐      </w:t>
      </w:r>
      <w:r>
        <w:rPr>
          <w:rFonts w:ascii="Times New Roman;serif" w:hAnsi="Times New Roman;serif"/>
          <w:b/>
          <w:color w:val="000000"/>
          <w:sz w:val="22"/>
        </w:rPr>
        <w:t>TRANSITION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pPr>
      <w:r>
        <w:rPr>
          <w:rFonts w:ascii="Times New Roman;serif" w:hAnsi="Times New Roman;serif"/>
          <w:b/>
          <w:color w:val="000000"/>
          <w:sz w:val="18"/>
        </w:rPr>
        <w:t>Commission file number 001-36157</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pPr>
      <w:r>
        <w:rPr>
          <w:rFonts w:ascii="Times New Roman;serif" w:hAnsi="Times New Roman;serif"/>
          <w:b/>
          <w:color w:val="000000"/>
          <w:sz w:val="32"/>
        </w:rPr>
        <w:t>ESSENT GROUP LTD.</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517"/>
        <w:gridCol w:w="517"/>
        <w:gridCol w:w="736"/>
      </w:tblGrid>
      <w:t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Clarendon House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 Church Street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Hamilton HM11,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(441) 297-9901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046"/>
        <w:gridCol w:w="921"/>
        <w:gridCol w:w="927"/>
        <w:gridCol w:w="519"/>
        <w:gridCol w:w="519"/>
        <w:gridCol w:w="521"/>
        <w:gridCol w:w="1019"/>
        <w:gridCol w:w="1019"/>
        <w:gridCol w:w="1441"/>
      </w:tblGrid>
      <w:t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2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c>
          <w:tcPr>
            <w:tcW w:w="28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$0.015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ESNT</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630"/>
        <w:jc w:val="left"/>
      </w:pPr>
      <w:r/>
    </w:p>
    <w:p>
      <w:pPr>
        <w:pStyle w:val="TextBody"/>
        <w:bidi w:val="0"/>
        <w:spacing w:lineRule="auto" w:line="288" w:before="0" w:after="0"/>
        <w:ind w:left="0" w:right="0" w:firstLine="630"/>
        <w:jc w:val="left"/>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630"/>
        <w:jc w:val="left"/>
        <w:rPr>
          <w:color w:val="000000"/>
        </w:rPr>
      </w:pPr>
      <w:r>
        <w:rPr>
          <w:color w:val="000000"/>
        </w:rPr>
        <w:t> </w:t>
      </w:r>
    </w:p>
    <w:p>
      <w:pPr>
        <w:pStyle w:val="TextBody"/>
        <w:bidi w:val="0"/>
        <w:spacing w:lineRule="auto" w:line="288" w:before="0" w:after="0"/>
        <w:ind w:left="0" w:right="0" w:firstLine="630"/>
        <w:jc w:val="left"/>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630"/>
        <w:jc w:val="left"/>
        <w:rPr>
          <w:color w:val="000000"/>
        </w:rPr>
      </w:pPr>
      <w:r>
        <w:rPr>
          <w:color w:val="000000"/>
        </w:rPr>
        <w:t>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7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3"/>
        <w:gridCol w:w="693"/>
        <w:gridCol w:w="698"/>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630"/>
        <w:jc w:val="left"/>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630"/>
        <w:jc w:val="left"/>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number of the registrant’s common shares outstanding as of October 31, 2026 was 87,971,999.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Essent Group Ltd. and Subsidiaries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center"/>
        <w:rPr>
          <w:color w:val="000000"/>
        </w:rPr>
      </w:pPr>
      <w:r>
        <w:rPr>
          <w:color w:val="000000"/>
        </w:rPr>
        <w:t> </w:t>
      </w:r>
    </w:p>
    <w:tbl>
      <w:tblPr>
        <w:tblW w:w="8818" w:type="dxa"/>
        <w:jc w:val="left"/>
        <w:tblInd w:w="0" w:type="dxa"/>
        <w:tblLayout w:type="fixed"/>
        <w:tblCellMar>
          <w:top w:w="28" w:type="dxa"/>
          <w:left w:w="28" w:type="dxa"/>
          <w:bottom w:w="28" w:type="dxa"/>
          <w:right w:w="28" w:type="dxa"/>
        </w:tblCellMar>
      </w:tblPr>
      <w:tblGrid>
        <w:gridCol w:w="163"/>
        <w:gridCol w:w="144"/>
        <w:gridCol w:w="144"/>
        <w:gridCol w:w="144"/>
        <w:gridCol w:w="144"/>
        <w:gridCol w:w="147"/>
        <w:gridCol w:w="2518"/>
        <w:gridCol w:w="2518"/>
        <w:gridCol w:w="2524"/>
        <w:gridCol w:w="109"/>
        <w:gridCol w:w="109"/>
        <w:gridCol w:w="154"/>
      </w:tblGrid>
      <w:t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3">
              <w:r>
                <w:rPr>
                  <w:rStyle w:val="InternetLink"/>
                  <w:rFonts w:ascii="Times New Roman;serif" w:hAnsi="Times New Roman;serif"/>
                  <w:b/>
                  <w:color w:val="0000FF"/>
                  <w:sz w:val="20"/>
                  <w:u w:val="single"/>
                </w:rPr>
                <w:t>PART I.</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
              <w:r>
                <w:rPr>
                  <w:rStyle w:val="InternetLink"/>
                  <w:rFonts w:ascii="Times New Roman;serif" w:hAnsi="Times New Roman;serif"/>
                  <w:b/>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3">
              <w:r>
                <w:rPr>
                  <w:rStyle w:val="InternetLink"/>
                  <w:rFonts w:ascii="Times New Roman;serif" w:hAnsi="Times New Roman;serif"/>
                  <w:b w:val="false"/>
                  <w:color w:val="0000FF"/>
                  <w:sz w:val="20"/>
                  <w:u w:val="single"/>
                </w:rPr>
                <w:t>1</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
              <w:r>
                <w:rPr>
                  <w:rStyle w:val="InternetLink"/>
                  <w:rFonts w:ascii="Times New Roman;serif" w:hAnsi="Times New Roman;serif"/>
                  <w:b/>
                  <w:color w:val="0000FF"/>
                  <w:sz w:val="20"/>
                  <w:u w:val="singl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
              <w:r>
                <w:rPr>
                  <w:rStyle w:val="InternetLink"/>
                  <w:rFonts w:ascii="Times New Roman;serif" w:hAnsi="Times New Roman;serif"/>
                  <w:b/>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6">
              <w:r>
                <w:rPr>
                  <w:rStyle w:val="InternetLink"/>
                  <w:rFonts w:ascii="Times New Roman;serif" w:hAnsi="Times New Roman;serif"/>
                  <w:b w:val="false"/>
                  <w:color w:val="0000FF"/>
                  <w:sz w:val="20"/>
                  <w:u w:val="single"/>
                </w:rPr>
                <w:t>1</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9">
              <w:r>
                <w:rPr>
                  <w:rStyle w:val="InternetLink"/>
                  <w:rFonts w:ascii="Times New Roman;serif" w:hAnsi="Times New Roman;serif"/>
                  <w:b/>
                  <w:color w:val="0000FF"/>
                  <w:sz w:val="20"/>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9">
              <w:r>
                <w:rPr>
                  <w:rStyle w:val="InternetLink"/>
                  <w:rFonts w:ascii="Times New Roman;serif" w:hAnsi="Times New Roman;serif"/>
                  <w:b w:val="false"/>
                  <w:color w:val="0000FF"/>
                  <w:sz w:val="20"/>
                  <w:u w:val="single"/>
                </w:rPr>
                <w:t>1</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22">
              <w:r>
                <w:rPr>
                  <w:rStyle w:val="InternetLink"/>
                  <w:rFonts w:ascii="Times New Roman;serif" w:hAnsi="Times New Roman;serif"/>
                  <w:b/>
                  <w:color w:val="0000FF"/>
                  <w:sz w:val="20"/>
                  <w:u w:val="single"/>
                </w:rPr>
                <w:t>Condensed Consolidated Statements of Comprehensive Income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22">
              <w:r>
                <w:rPr>
                  <w:rStyle w:val="InternetLink"/>
                  <w:rFonts w:ascii="Times New Roman;serif" w:hAnsi="Times New Roman;serif"/>
                  <w:b w:val="false"/>
                  <w:color w:val="0000FF"/>
                  <w:sz w:val="20"/>
                  <w:u w:val="single"/>
                </w:rPr>
                <w:t>2</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25">
              <w:r>
                <w:rPr>
                  <w:rStyle w:val="InternetLink"/>
                  <w:rFonts w:ascii="Times New Roman;serif" w:hAnsi="Times New Roman;serif"/>
                  <w:b/>
                  <w:color w:val="0000FF"/>
                  <w:sz w:val="20"/>
                  <w:u w:val="single"/>
                </w:rPr>
                <w:t>Condensed Consolidated Statements of Changes in Stockholders’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25">
              <w:r>
                <w:rPr>
                  <w:rStyle w:val="InternetLink"/>
                  <w:rFonts w:ascii="Times New Roman;serif" w:hAnsi="Times New Roman;serif"/>
                  <w:b w:val="false"/>
                  <w:color w:val="0000FF"/>
                  <w:sz w:val="20"/>
                  <w:u w:val="single"/>
                </w:rPr>
                <w:t>3</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28">
              <w:r>
                <w:rPr>
                  <w:rStyle w:val="InternetLink"/>
                  <w:rFonts w:ascii="Times New Roman;serif" w:hAnsi="Times New Roman;serif"/>
                  <w:b/>
                  <w:color w:val="0000FF"/>
                  <w:sz w:val="20"/>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28">
              <w:r>
                <w:rPr>
                  <w:rStyle w:val="InternetLink"/>
                  <w:rFonts w:ascii="Times New Roman;serif" w:hAnsi="Times New Roman;serif"/>
                  <w:b w:val="false"/>
                  <w:color w:val="0000FF"/>
                  <w:sz w:val="20"/>
                  <w:u w:val="single"/>
                </w:rPr>
                <w:t>4</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31">
              <w:r>
                <w:rPr>
                  <w:rStyle w:val="InternetLink"/>
                  <w:rFonts w:ascii="Times New Roman;serif" w:hAnsi="Times New Roman;serif"/>
                  <w:b/>
                  <w:color w:val="0000FF"/>
                  <w:sz w:val="20"/>
                  <w:u w:val="single"/>
                </w:rPr>
                <w:t>Notes to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31">
              <w:r>
                <w:rPr>
                  <w:rStyle w:val="InternetLink"/>
                  <w:rFonts w:ascii="Times New Roman;serif" w:hAnsi="Times New Roman;serif"/>
                  <w:b w:val="false"/>
                  <w:color w:val="0000FF"/>
                  <w:sz w:val="20"/>
                  <w:u w:val="single"/>
                </w:rPr>
                <w:t>5</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85">
              <w:r>
                <w:rPr>
                  <w:rStyle w:val="InternetLink"/>
                  <w:rFonts w:ascii="Times New Roman;serif" w:hAnsi="Times New Roman;serif"/>
                  <w:b/>
                  <w:color w:val="0000FF"/>
                  <w:sz w:val="20"/>
                  <w:u w:val="singl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85">
              <w:r>
                <w:rPr>
                  <w:rStyle w:val="InternetLink"/>
                  <w:rFonts w:ascii="Times New Roman;serif" w:hAnsi="Times New Roman;serif"/>
                  <w:b/>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85">
              <w:r>
                <w:rPr>
                  <w:rStyle w:val="InternetLink"/>
                  <w:rFonts w:ascii="Times New Roman;serif" w:hAnsi="Times New Roman;serif"/>
                  <w:b w:val="false"/>
                  <w:color w:val="0000FF"/>
                  <w:sz w:val="20"/>
                  <w:u w:val="single"/>
                </w:rPr>
                <w:t>27</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42">
              <w:r>
                <w:rPr>
                  <w:rStyle w:val="InternetLink"/>
                  <w:rFonts w:ascii="Times New Roman;serif" w:hAnsi="Times New Roman;serif"/>
                  <w:b/>
                  <w:color w:val="0000FF"/>
                  <w:sz w:val="20"/>
                  <w:u w:val="single"/>
                </w:rPr>
                <w:t>Item 3.</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42">
              <w:r>
                <w:rPr>
                  <w:rStyle w:val="InternetLink"/>
                  <w:rFonts w:ascii="Times New Roman;serif" w:hAnsi="Times New Roman;serif"/>
                  <w:b/>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42">
              <w:r>
                <w:rPr>
                  <w:rStyle w:val="InternetLink"/>
                  <w:rFonts w:ascii="Times New Roman;serif" w:hAnsi="Times New Roman;serif"/>
                  <w:b w:val="false"/>
                  <w:color w:val="0000FF"/>
                  <w:sz w:val="20"/>
                  <w:u w:val="single"/>
                </w:rPr>
                <w:t>52</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45">
              <w:r>
                <w:rPr>
                  <w:rStyle w:val="InternetLink"/>
                  <w:rFonts w:ascii="Times New Roman;serif" w:hAnsi="Times New Roman;serif"/>
                  <w:b/>
                  <w:color w:val="0000FF"/>
                  <w:sz w:val="20"/>
                  <w:u w:val="single"/>
                </w:rPr>
                <w:t>Item 4.</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45">
              <w:r>
                <w:rPr>
                  <w:rStyle w:val="InternetLink"/>
                  <w:rFonts w:ascii="Times New Roman;serif" w:hAnsi="Times New Roman;serif"/>
                  <w:b/>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45">
              <w:r>
                <w:rPr>
                  <w:rStyle w:val="InternetLink"/>
                  <w:rFonts w:ascii="Times New Roman;serif" w:hAnsi="Times New Roman;serif"/>
                  <w:b w:val="false"/>
                  <w:color w:val="0000FF"/>
                  <w:sz w:val="20"/>
                  <w:u w:val="single"/>
                </w:rPr>
                <w:t>52</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48">
              <w:r>
                <w:rPr>
                  <w:rStyle w:val="InternetLink"/>
                  <w:rFonts w:ascii="Times New Roman;serif" w:hAnsi="Times New Roman;serif"/>
                  <w:b/>
                  <w:color w:val="0000FF"/>
                  <w:sz w:val="20"/>
                  <w:u w:val="single"/>
                </w:rPr>
                <w:t>PART II.</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48">
              <w:r>
                <w:rPr>
                  <w:rStyle w:val="InternetLink"/>
                  <w:rFonts w:ascii="Times New Roman;serif" w:hAnsi="Times New Roman;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48">
              <w:r>
                <w:rPr>
                  <w:rStyle w:val="InternetLink"/>
                  <w:rFonts w:ascii="Times New Roman;serif" w:hAnsi="Times New Roman;serif"/>
                  <w:b w:val="false"/>
                  <w:color w:val="0000FF"/>
                  <w:sz w:val="20"/>
                  <w:u w:val="single"/>
                </w:rPr>
                <w:t>53</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51">
              <w:r>
                <w:rPr>
                  <w:rStyle w:val="InternetLink"/>
                  <w:rFonts w:ascii="Times New Roman;serif" w:hAnsi="Times New Roman;serif"/>
                  <w:b/>
                  <w:color w:val="0000FF"/>
                  <w:sz w:val="20"/>
                  <w:u w:val="singl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51">
              <w:r>
                <w:rPr>
                  <w:rStyle w:val="InternetLink"/>
                  <w:rFonts w:ascii="Times New Roman;serif" w:hAnsi="Times New Roman;serif"/>
                  <w:b/>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51">
              <w:r>
                <w:rPr>
                  <w:rStyle w:val="InternetLink"/>
                  <w:rFonts w:ascii="Times New Roman;serif" w:hAnsi="Times New Roman;serif"/>
                  <w:b w:val="false"/>
                  <w:color w:val="0000FF"/>
                  <w:sz w:val="20"/>
                  <w:u w:val="single"/>
                </w:rPr>
                <w:t>53</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54">
              <w:r>
                <w:rPr>
                  <w:rStyle w:val="InternetLink"/>
                  <w:rFonts w:ascii="Times New Roman;serif" w:hAnsi="Times New Roman;serif"/>
                  <w:b/>
                  <w:color w:val="0000FF"/>
                  <w:sz w:val="20"/>
                  <w:u w:val="single"/>
                </w:rPr>
                <w:t>Item 1A.</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54">
              <w:r>
                <w:rPr>
                  <w:rStyle w:val="InternetLink"/>
                  <w:rFonts w:ascii="Times New Roman;serif" w:hAnsi="Times New Roman;serif"/>
                  <w:b/>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54">
              <w:r>
                <w:rPr>
                  <w:rStyle w:val="InternetLink"/>
                  <w:rFonts w:ascii="Times New Roman;serif" w:hAnsi="Times New Roman;serif"/>
                  <w:b w:val="false"/>
                  <w:color w:val="0000FF"/>
                  <w:sz w:val="20"/>
                  <w:u w:val="single"/>
                </w:rPr>
                <w:t>53</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57">
              <w:r>
                <w:rPr>
                  <w:rStyle w:val="InternetLink"/>
                  <w:rFonts w:ascii="Times New Roman;serif" w:hAnsi="Times New Roman;serif"/>
                  <w:b/>
                  <w:color w:val="0000FF"/>
                  <w:sz w:val="20"/>
                  <w:u w:val="singl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57">
              <w:r>
                <w:rPr>
                  <w:rStyle w:val="InternetLink"/>
                  <w:rFonts w:ascii="Times New Roman;serif" w:hAnsi="Times New Roman;serif"/>
                  <w:b/>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57">
              <w:r>
                <w:rPr>
                  <w:rStyle w:val="InternetLink"/>
                  <w:rFonts w:ascii="Times New Roman;serif" w:hAnsi="Times New Roman;serif"/>
                  <w:b w:val="false"/>
                  <w:color w:val="0000FF"/>
                  <w:sz w:val="20"/>
                  <w:u w:val="single"/>
                </w:rPr>
                <w:t>53</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3">
              <w:r>
                <w:rPr>
                  <w:rStyle w:val="InternetLink"/>
                  <w:rFonts w:ascii="Times New Roman;serif" w:hAnsi="Times New Roman;serif"/>
                  <w:b/>
                  <w:color w:val="0000FF"/>
                  <w:sz w:val="20"/>
                  <w:u w:val="single"/>
                </w:rPr>
                <w:t>Item 5.</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3">
              <w:r>
                <w:rPr>
                  <w:rStyle w:val="InternetLink"/>
                  <w:rFonts w:ascii="Times New Roman;serif" w:hAnsi="Times New Roman;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63">
              <w:r>
                <w:rPr>
                  <w:rStyle w:val="InternetLink"/>
                  <w:rFonts w:ascii="Times New Roman;serif" w:hAnsi="Times New Roman;serif"/>
                  <w:b w:val="false"/>
                  <w:color w:val="0000FF"/>
                  <w:sz w:val="20"/>
                  <w:u w:val="single"/>
                </w:rPr>
                <w:t>53</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9">
              <w:r>
                <w:rPr>
                  <w:rStyle w:val="InternetLink"/>
                  <w:rFonts w:ascii="Times New Roman;serif" w:hAnsi="Times New Roman;serif"/>
                  <w:b/>
                  <w:color w:val="0000FF"/>
                  <w:sz w:val="20"/>
                  <w:u w:val="single"/>
                </w:rPr>
                <w:t>Item 6.</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69">
              <w:r>
                <w:rPr>
                  <w:rStyle w:val="InternetLink"/>
                  <w:rFonts w:ascii="Times New Roman;serif" w:hAnsi="Times New Roman;serif"/>
                  <w:b/>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69">
              <w:r>
                <w:rPr>
                  <w:rStyle w:val="InternetLink"/>
                  <w:rFonts w:ascii="Times New Roman;serif" w:hAnsi="Times New Roman;serif"/>
                  <w:b w:val="false"/>
                  <w:color w:val="0000FF"/>
                  <w:sz w:val="20"/>
                  <w:u w:val="single"/>
                </w:rPr>
                <w:t>54</w:t>
              </w:r>
            </w:hyperlink>
          </w:p>
        </w:tc>
      </w:tr>
      <w:t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446"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3a1382e9723d49c9849ee0377c0af9ce_172">
              <w:r>
                <w:rPr>
                  <w:rStyle w:val="InternetLink"/>
                  <w:rFonts w:ascii="Times New Roman;serif" w:hAnsi="Times New Roman;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3a1382e9723d49c9849ee0377c0af9ce_172">
              <w:r>
                <w:rPr>
                  <w:rStyle w:val="InternetLink"/>
                  <w:rFonts w:ascii="Times New Roman;serif" w:hAnsi="Times New Roman;serif"/>
                  <w:b w:val="false"/>
                  <w:color w:val="0000FF"/>
                  <w:sz w:val="20"/>
                  <w:u w:val="single"/>
                </w:rPr>
                <w:t>55</w:t>
              </w:r>
            </w:hyperlink>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("Essent Guaranty"), Essent Reinsurance Ltd. ("Essent Re"), and Essent Title Insurance, Inc. ("Essent Title"), as a combined entity, except where otherwise stated or where it is clear that the terms mean only Essent Group Ltd. exclusive of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2025 filed with the Securities and Exchange Commission. These factors include, without limitation, the following: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changes in or to Fannie Mae and Freddie Mac, which we refer to collectively as the GSEs, whether through Federal legislation, restructurings or a shift in business practices;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failure to continue to meet the mortgage insurer eligibility requirements of the GSEs;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competition for our customers or the loss of a significant customer;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lenders or investors seeking alternatives to private mortgage insurance;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increase in the number of loans insured through Federal government mortgage insurance programs, including those offered by the Federal Housing Administration;</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decline in the volume of low down payment mortgage originations;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uncertainty of loss reserve estimates;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deteriorating economic conditions;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recently enacted U.S. Federal tax reform and its impact on us, our shareholders and our operations;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definition of “Qualified Mortgage” reducing the size of the mortgage origination market or creating incentives to use government mortgage insurance programs;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definition of “Qualified Residential Mortgage” reducing the number of low down payment loans or lenders and investors seeking alternatives to private mortgage insurance;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implementation of the Basel III Capital Accord, which may discourage the use of private mortgage insurance;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management of risk in our investment portfolio;</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fluctuations in interest rates;</w:t>
      </w:r>
    </w:p>
    <w:p>
      <w:pPr>
        <w:pStyle w:val="TextBody"/>
        <w:bidi w:val="0"/>
        <w:spacing w:before="0" w:after="0"/>
        <w:jc w:val="center"/>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inadequacy of the premiums we charge to compensate for our losses incurred;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dependence on management team and qualified personnel;</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disturbance to our information technology systems;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 in our customers’ capital requirements discouraging the use of mortgage insurance;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declines in the value of borrowers’ homes;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limited availability of capital or reinsurance;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unanticipated claims arise under and risks associated with our contract underwriting program;</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industry practice that loss reserves are established only upon a loan default;</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disruption in mortgage loan servicing;</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risk of future legal proceedings;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customers’ technological demands;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non-U.S. operations becoming subject to U.S. Federal income taxation;</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becoming considered a passive foreign investment company for U.S. Federal income tax purposes; and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potential restrictions on the ability of our insurance subsidiaries to pay dividends.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use our website as a means of disclosing material non-public information and for complying with our disclosure obligations under Regulation FD. Such disclosures will be included on our website in the "Events &amp; Presentations" section. Accordingly, investors should monitor such portion of our website, in addition to following our press releases, SEC filings and public conference calls and webcasts.</w:t>
      </w:r>
    </w:p>
    <w:p>
      <w:pPr>
        <w:pStyle w:val="TextBody"/>
        <w:bidi w:val="0"/>
        <w:spacing w:lineRule="auto" w:line="288" w:before="0" w:after="0"/>
        <w:jc w:val="center"/>
        <w:rPr>
          <w:color w:val="000000"/>
        </w:rPr>
      </w:pPr>
      <w:r>
        <w:rPr>
          <w:color w:val="000000"/>
        </w:rPr>
        <w:t>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Essent Group Ltd. and Subsidiaries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4"/>
        <w:gridCol w:w="2201"/>
        <w:gridCol w:w="2203"/>
        <w:gridCol w:w="109"/>
        <w:gridCol w:w="109"/>
        <w:gridCol w:w="109"/>
        <w:gridCol w:w="211"/>
        <w:gridCol w:w="980"/>
        <w:gridCol w:w="109"/>
        <w:gridCol w:w="109"/>
        <w:gridCol w:w="109"/>
        <w:gridCol w:w="109"/>
        <w:gridCol w:w="211"/>
        <w:gridCol w:w="976"/>
        <w:gridCol w:w="156"/>
      </w:tblGrid>
      <w:tr>
        <w:tc>
          <w:tcPr>
            <w:tcW w:w="250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6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 for sale, at fair value (amortized cost: 2026 — $5,789,623;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 $5,631,201)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Short-term investments available for sale, at fair value (amortized cost: 2026 —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$504,150; 2025 — $648,492)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6,486,598 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(at cost, less accumulated depreciation of $74,678 in 2026 and $71,466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acquired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7,441,003 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Senior Notes due 2029,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$0.015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Authorized - 233,333; issued and outstanding - 88,769 shares in 2026 and 95,456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7,441,003 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90"/>
        <w:gridCol w:w="1311"/>
        <w:gridCol w:w="1312"/>
        <w:gridCol w:w="109"/>
        <w:gridCol w:w="109"/>
        <w:gridCol w:w="109"/>
        <w:gridCol w:w="211"/>
        <w:gridCol w:w="827"/>
        <w:gridCol w:w="109"/>
        <w:gridCol w:w="109"/>
        <w:gridCol w:w="109"/>
        <w:gridCol w:w="109"/>
        <w:gridCol w:w="211"/>
        <w:gridCol w:w="827"/>
        <w:gridCol w:w="109"/>
        <w:gridCol w:w="109"/>
        <w:gridCol w:w="109"/>
        <w:gridCol w:w="109"/>
        <w:gridCol w:w="211"/>
        <w:gridCol w:w="976"/>
        <w:gridCol w:w="109"/>
        <w:gridCol w:w="109"/>
        <w:gridCol w:w="109"/>
        <w:gridCol w:w="109"/>
        <w:gridCol w:w="211"/>
        <w:gridCol w:w="826"/>
        <w:gridCol w:w="157"/>
      </w:tblGrid>
      <w:tr>
        <w:tc>
          <w:tcPr>
            <w:tcW w:w="14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w:t>
            </w:r>
            <w:r>
              <w:rPr>
                <w:rFonts w:ascii="Times New Roman;serif" w:hAnsi="Times New Roman;serif"/>
                <w:b w:val="false"/>
                <w:color w:val="000000"/>
                <w:sz w:val="20"/>
              </w:rPr>
              <w:t>Unrealized (depreciation) appreciation of investments, net of tax (benefit) expense of ($31,344) and $9,000 in the three months ended September 30, 2026 and 2025, and ($38,522) and $22,365 in the nine months ended September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673,546 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47"/>
        <w:gridCol w:w="1158"/>
        <w:gridCol w:w="116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c>
          <w:tcPr>
            <w:tcW w:w="134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management incentive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management incentive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5,555,065 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5,555,065 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5,738,974 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left"/>
        <w:rPr>
          <w:color w:val="000000"/>
        </w:rPr>
      </w:pPr>
      <w:r>
        <w:rPr>
          <w:color w:val="000000"/>
        </w:rPr>
        <w:t> </w:t>
      </w:r>
    </w:p>
    <w:tbl>
      <w:tblPr>
        <w:tblW w:w="9489" w:type="dxa"/>
        <w:jc w:val="left"/>
        <w:tblInd w:w="0" w:type="dxa"/>
        <w:tblLayout w:type="fixed"/>
        <w:tblCellMar>
          <w:top w:w="28" w:type="dxa"/>
          <w:left w:w="28" w:type="dxa"/>
          <w:bottom w:w="28" w:type="dxa"/>
          <w:right w:w="28" w:type="dxa"/>
        </w:tblCellMar>
      </w:tblPr>
      <w:tblGrid>
        <w:gridCol w:w="2361"/>
        <w:gridCol w:w="2080"/>
        <w:gridCol w:w="2084"/>
        <w:gridCol w:w="109"/>
        <w:gridCol w:w="109"/>
        <w:gridCol w:w="109"/>
        <w:gridCol w:w="210"/>
        <w:gridCol w:w="792"/>
        <w:gridCol w:w="117"/>
        <w:gridCol w:w="117"/>
        <w:gridCol w:w="117"/>
        <w:gridCol w:w="117"/>
        <w:gridCol w:w="210"/>
        <w:gridCol w:w="792"/>
        <w:gridCol w:w="165"/>
      </w:tblGrid>
      <w:tr>
        <w:tc>
          <w:tcPr>
            <w:tcW w:w="236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investment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of income from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federal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628,147 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626,961 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(954,622)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maturity and paydowns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720,903 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and capitalization of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(58,065)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(112,946)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(461,499)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(95,334)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(532,461)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(554,084)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(90,531)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Excise taxes payable for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equipment, and capitalized internal-use software costs included in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arising from obtaining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these notes to condensed consolidated financial statements, “Essent”, “Company”, “we”, “us”, and “our” refer to Essent Group Ltd. and its subsidiaries, unless the context otherwise requires.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Essent Re also provides insurance and reinsurance to Freddie Mac and Fannie Mae. The following table summarizes the quota share reinsurance coverage that Essent Re has provided to Essent Guaranty for the respective NIW periods:</w:t>
      </w:r>
    </w:p>
    <w:p>
      <w:pPr>
        <w:pStyle w:val="TextBody"/>
        <w:bidi w:val="0"/>
        <w:spacing w:before="0" w:after="0"/>
        <w:ind w:left="0" w:right="0" w:firstLine="720"/>
        <w:jc w:val="left"/>
      </w:pPr>
      <w:r/>
    </w:p>
    <w:tbl>
      <w:tblPr>
        <w:tblW w:w="5081" w:type="dxa"/>
        <w:jc w:val="center"/>
        <w:tblInd w:w="0" w:type="dxa"/>
        <w:tblLayout w:type="fixed"/>
        <w:tblCellMar>
          <w:top w:w="28" w:type="dxa"/>
          <w:left w:w="28" w:type="dxa"/>
          <w:bottom w:w="28" w:type="dxa"/>
          <w:right w:w="28" w:type="dxa"/>
        </w:tblCellMar>
      </w:tblPr>
      <w:tblGrid>
        <w:gridCol w:w="1170"/>
        <w:gridCol w:w="1028"/>
        <w:gridCol w:w="1041"/>
        <w:gridCol w:w="109"/>
        <w:gridCol w:w="109"/>
        <w:gridCol w:w="109"/>
        <w:gridCol w:w="443"/>
        <w:gridCol w:w="443"/>
        <w:gridCol w:w="629"/>
      </w:tblGrid>
      <w:tr>
        <w:tc>
          <w:tcPr>
            <w:tcW w:w="1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to Present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2021 to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 to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2016, Essent Re formed Essent Agency (Bermuda) Ltd., a wholly-owned subsidiary, which provides underwriting consulting services to third-party reinsurers. Effective January 1, 2026, Essent Re began reinsuring certain property and casualty risks.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title insurance products both directly and through a network of title insurance agents through Essent Title Insurance, Inc. ("Essent Title"), as well as title and settlement services. Our title insurance operations are headquartered in Radnor, Pennsylvania, with additional locations in Columbia, Missouri and Pittsburgh, Pennsylvania.</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two reportable business segments: Mortgage Insurance and Reinsurance. Our Mortgage Insurance segment offers private mortgage insurance for residential first-lien mortgages secured by residential properties located in the United States through our U.S. mortgage insurance subsidiary, Essent Guaranty, and also offers other credit risk management solutions, including contract underwriting, to our customers. Our Reinsurance segment reinsures U.S. mortgage risk in the GSE credit risk transfer market through our Bermuda-based reinsurance subsidiary, Essent Re, and also provides underwriting consulting services to third-party reinsurers. Effective January 1, 2026, Essent Re began reinsuring certain property and casualty risks.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our Annual Report on Form 10-K for the year ended December 31, 2025,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2026 prior to the issuance of these condensed consolidated financial statements.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Certain amounts in prior years have been reclassified to conform to the current year presentation.</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Recently Issued Accounting Standards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 Update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currently evaluating the impact that the ASU will have on our consolidated financial statements.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that the ASU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Investments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available for sale consist of the following:</w:t>
      </w:r>
    </w:p>
    <w:tbl>
      <w:tblPr>
        <w:tblW w:w="10107"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211"/>
        <w:gridCol w:w="976"/>
        <w:gridCol w:w="109"/>
        <w:gridCol w:w="109"/>
        <w:gridCol w:w="109"/>
        <w:gridCol w:w="109"/>
        <w:gridCol w:w="211"/>
        <w:gridCol w:w="616"/>
        <w:gridCol w:w="109"/>
        <w:gridCol w:w="109"/>
        <w:gridCol w:w="109"/>
        <w:gridCol w:w="109"/>
        <w:gridCol w:w="211"/>
        <w:gridCol w:w="901"/>
        <w:gridCol w:w="109"/>
        <w:gridCol w:w="109"/>
        <w:gridCol w:w="109"/>
        <w:gridCol w:w="109"/>
        <w:gridCol w:w="211"/>
        <w:gridCol w:w="976"/>
        <w:gridCol w:w="154"/>
      </w:tblGrid>
      <w:t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45"/>
        <w:gridCol w:w="1273"/>
        <w:gridCol w:w="1278"/>
        <w:gridCol w:w="109"/>
        <w:gridCol w:w="109"/>
        <w:gridCol w:w="109"/>
        <w:gridCol w:w="211"/>
        <w:gridCol w:w="976"/>
        <w:gridCol w:w="109"/>
        <w:gridCol w:w="109"/>
        <w:gridCol w:w="109"/>
        <w:gridCol w:w="109"/>
        <w:gridCol w:w="211"/>
        <w:gridCol w:w="721"/>
        <w:gridCol w:w="109"/>
        <w:gridCol w:w="109"/>
        <w:gridCol w:w="109"/>
        <w:gridCol w:w="109"/>
        <w:gridCol w:w="211"/>
        <w:gridCol w:w="900"/>
        <w:gridCol w:w="109"/>
        <w:gridCol w:w="109"/>
        <w:gridCol w:w="109"/>
        <w:gridCol w:w="109"/>
        <w:gridCol w:w="211"/>
        <w:gridCol w:w="976"/>
        <w:gridCol w:w="157"/>
      </w:tblGrid>
      <w:tr>
        <w:tc>
          <w:tcPr>
            <w:tcW w:w="144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3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6,104,085 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8070"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310"/>
        <w:gridCol w:w="261"/>
        <w:gridCol w:w="632"/>
        <w:gridCol w:w="109"/>
        <w:gridCol w:w="109"/>
        <w:gridCol w:w="109"/>
        <w:gridCol w:w="284"/>
        <w:gridCol w:w="287"/>
        <w:gridCol w:w="677"/>
      </w:tblGrid>
      <w:t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center"/>
      </w:pPr>
      <w:r/>
    </w:p>
    <w:tbl>
      <w:tblPr>
        <w:tblW w:w="8085"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310"/>
        <w:gridCol w:w="261"/>
        <w:gridCol w:w="632"/>
        <w:gridCol w:w="109"/>
        <w:gridCol w:w="109"/>
        <w:gridCol w:w="109"/>
        <w:gridCol w:w="284"/>
        <w:gridCol w:w="287"/>
        <w:gridCol w:w="677"/>
      </w:tblGrid>
      <w:t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cyclical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investments available for sale at September 30, 2026,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pStyle w:val="TextBody"/>
        <w:bidi w:val="0"/>
        <w:spacing w:lineRule="auto" w:line="288" w:before="0" w:after="0"/>
        <w:jc w:val="center"/>
        <w:rPr>
          <w:color w:val="000000"/>
        </w:rPr>
      </w:pPr>
      <w:r>
        <w:rPr>
          <w:color w:val="000000"/>
        </w:rPr>
        <w:t> </w:t>
      </w:r>
    </w:p>
    <w:tbl>
      <w:tblPr>
        <w:tblW w:w="7296"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211"/>
        <w:gridCol w:w="976"/>
        <w:gridCol w:w="109"/>
        <w:gridCol w:w="109"/>
        <w:gridCol w:w="109"/>
        <w:gridCol w:w="109"/>
        <w:gridCol w:w="211"/>
        <w:gridCol w:w="976"/>
        <w:gridCol w:w="154"/>
      </w:tblGrid>
      <w:t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realized investment (losses) gains, net on the condensed consolidated statements of comprehensive income were as follows:</w:t>
      </w:r>
    </w:p>
    <w:p>
      <w:pPr>
        <w:pStyle w:val="TextBody"/>
        <w:bidi w:val="0"/>
        <w:spacing w:lineRule="auto" w:line="288" w:before="0" w:after="0"/>
        <w:ind w:left="0" w:right="0" w:firstLine="720"/>
        <w:jc w:val="left"/>
        <w:rPr>
          <w:color w:val="000000"/>
        </w:rPr>
      </w:pPr>
      <w:r>
        <w:rPr>
          <w:color w:val="000000"/>
        </w:rPr>
        <w:t> </w:t>
      </w:r>
    </w:p>
    <w:tbl>
      <w:tblPr>
        <w:tblW w:w="10172" w:type="dxa"/>
        <w:jc w:val="center"/>
        <w:tblInd w:w="0" w:type="dxa"/>
        <w:tblLayout w:type="fixed"/>
        <w:tblCellMar>
          <w:top w:w="28" w:type="dxa"/>
          <w:left w:w="28" w:type="dxa"/>
          <w:bottom w:w="28" w:type="dxa"/>
          <w:right w:w="28" w:type="dxa"/>
        </w:tblCellMar>
      </w:tblPr>
      <w:tblGrid>
        <w:gridCol w:w="1520"/>
        <w:gridCol w:w="1339"/>
        <w:gridCol w:w="1341"/>
        <w:gridCol w:w="109"/>
        <w:gridCol w:w="109"/>
        <w:gridCol w:w="109"/>
        <w:gridCol w:w="357"/>
        <w:gridCol w:w="434"/>
        <w:gridCol w:w="184"/>
        <w:gridCol w:w="184"/>
        <w:gridCol w:w="184"/>
        <w:gridCol w:w="184"/>
        <w:gridCol w:w="357"/>
        <w:gridCol w:w="612"/>
        <w:gridCol w:w="184"/>
        <w:gridCol w:w="109"/>
        <w:gridCol w:w="109"/>
        <w:gridCol w:w="109"/>
        <w:gridCol w:w="303"/>
        <w:gridCol w:w="669"/>
        <w:gridCol w:w="156"/>
        <w:gridCol w:w="156"/>
        <w:gridCol w:w="156"/>
        <w:gridCol w:w="156"/>
        <w:gridCol w:w="303"/>
        <w:gridCol w:w="518"/>
        <w:gridCol w:w="221"/>
      </w:tblGrid>
      <w:tr>
        <w:tc>
          <w:tcPr>
            <w:tcW w:w="152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gross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gross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changes in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investments available for sale in an unrealized loss position and the related unrealized losses for which no allowance for credit loss has been recorded were as follows:</w:t>
      </w:r>
    </w:p>
    <w:p>
      <w:pPr>
        <w:pStyle w:val="TextBody"/>
        <w:bidi w:val="0"/>
        <w:spacing w:lineRule="auto" w:line="288" w:before="0" w:after="0"/>
        <w:jc w:val="left"/>
        <w:rPr>
          <w:color w:val="000000"/>
        </w:rPr>
      </w:pPr>
      <w:r>
        <w:rPr>
          <w:color w:val="000000"/>
        </w:rPr>
        <w:t> </w:t>
      </w:r>
    </w:p>
    <w:tbl>
      <w:tblPr>
        <w:tblW w:w="10909" w:type="dxa"/>
        <w:jc w:val="center"/>
        <w:tblInd w:w="0" w:type="dxa"/>
        <w:tblLayout w:type="fixed"/>
        <w:tblCellMar>
          <w:top w:w="28" w:type="dxa"/>
          <w:left w:w="28" w:type="dxa"/>
          <w:bottom w:w="28" w:type="dxa"/>
          <w:right w:w="28" w:type="dxa"/>
        </w:tblCellMar>
      </w:tblPr>
      <w:tblGrid>
        <w:gridCol w:w="956"/>
        <w:gridCol w:w="292"/>
        <w:gridCol w:w="283"/>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c>
          <w:tcPr>
            <w:tcW w:w="9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549" w:type="dxa"/>
        <w:jc w:val="center"/>
        <w:tblInd w:w="0" w:type="dxa"/>
        <w:tblLayout w:type="fixed"/>
        <w:tblCellMar>
          <w:top w:w="28" w:type="dxa"/>
          <w:left w:w="28" w:type="dxa"/>
          <w:bottom w:w="28" w:type="dxa"/>
          <w:right w:w="28" w:type="dxa"/>
        </w:tblCellMar>
      </w:tblPr>
      <w:tblGrid>
        <w:gridCol w:w="938"/>
        <w:gridCol w:w="324"/>
        <w:gridCol w:w="269"/>
        <w:gridCol w:w="109"/>
        <w:gridCol w:w="109"/>
        <w:gridCol w:w="109"/>
        <w:gridCol w:w="211"/>
        <w:gridCol w:w="82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c>
          <w:tcPr>
            <w:tcW w:w="9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we held 2,837 and 1,763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2026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September 30, 2026 had investment-grade ratings. We concluded that gross unrealized losses noted above were primarily associated with the changes in interest rates subsequent to purchase rather than due to credit impairment. We recorded a $1.4 million credit allowance during the three and nine months ended September 30, 2026 on certain securities within our available-for-sale portfolio. There was $40 thousand of impairments recorded in the three and nine months ended September 30, 2025 due to our intent to sell securities in an unrealized loss position.</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other invested assets at September 30, 2026 and December 31, 2025 totaled $451.9 million and $382.5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invested assets that are accounted for at fair value using the net asset value (or its equivalent) as a practical expedient totaled $215.8 million as of September 30, 2026 and $180.0 million as of December 31, 2025. The majority of these investments were in limited partnerships invested primarily in real estate and technology. At September 30, 2026, maximum future funding commitments were $113.6 million. For limited partnership investments that have a contractual expiration date, we expect the liquidation of the underlying assets to occur within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consent from the general partner of individual limited partnerships.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investments deposited with insurance regulatory authorities to meet statutory requirements was $9.0 million at September 30, 2026 and $8.7 million at December 31, 2025. In connection with its insurance and reinsurance activities, Essent Re is required to maintain assets in trusts for the benefit of its contractual counterparties. The fair value of the investments on deposit in these trusts was $1.0 billion at both September 30, 2026 and December 31, 2025. Essent Guaranty is also required to maintain assets on deposit for the benefit of the sponsor of a fixed income investment commitment. The fair value of the assets on deposit was $5.3 million at September 30, 2026 and $5.2 million at December 31, 2025.</w:t>
      </w:r>
    </w:p>
    <w:p>
      <w:pPr>
        <w:pStyle w:val="TextBody"/>
        <w:bidi w:val="0"/>
        <w:spacing w:before="0" w:after="0"/>
        <w:jc w:val="center"/>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investment income consists of: </w:t>
      </w:r>
    </w:p>
    <w:tbl>
      <w:tblPr>
        <w:tblW w:w="8159" w:type="dxa"/>
        <w:jc w:val="center"/>
        <w:tblInd w:w="0" w:type="dxa"/>
        <w:tblLayout w:type="fixed"/>
        <w:tblCellMar>
          <w:top w:w="28" w:type="dxa"/>
          <w:left w:w="28" w:type="dxa"/>
          <w:bottom w:w="28" w:type="dxa"/>
          <w:right w:w="28" w:type="dxa"/>
        </w:tblCellMar>
      </w:tblPr>
      <w:tblGrid>
        <w:gridCol w:w="782"/>
        <w:gridCol w:w="688"/>
        <w:gridCol w:w="690"/>
        <w:gridCol w:w="109"/>
        <w:gridCol w:w="109"/>
        <w:gridCol w:w="10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Reinsurance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our mortgage insurance subsidiary uses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 Our reinsurance subsidiary reinsures certain property and casualty risks and assumes premium from the ceding insurers for the reinsurance coverage provided.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Premiums written and earned is comprised of the following for the periods presented: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before="0" w:after="0"/>
        <w:ind w:left="0" w:right="0" w:firstLine="720"/>
        <w:jc w:val="left"/>
      </w:pPr>
      <w:r/>
    </w:p>
    <w:tbl>
      <w:tblPr>
        <w:tblW w:w="8007"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September 30,</w:t>
            </w:r>
          </w:p>
        </w:tc>
      </w:tr>
      <w:t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(1)Net of profit commission.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Quota Share Reinsurance</w:t>
      </w:r>
    </w:p>
    <w:p>
      <w:pPr>
        <w:pStyle w:val="TextBody"/>
        <w:bidi w:val="0"/>
        <w:spacing w:before="0" w:after="0"/>
        <w:ind w:left="0" w:right="0" w:firstLine="720"/>
        <w:jc w:val="left"/>
      </w:p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Essent Guaranty has entered into outward quota share reinsurance agreements with panels of third-party reinsurers ("QSR" agreements). Each of the third-party reinsurers has a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pStyle w:val="TextBody"/>
        <w:bidi w:val="0"/>
        <w:spacing w:before="0" w:after="0"/>
        <w:jc w:val="left"/>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quota share reinsurance agreements as of September 30, 2026:</w:t>
      </w:r>
    </w:p>
    <w:p>
      <w:pPr>
        <w:pStyle w:val="TextBody"/>
        <w:bidi w:val="0"/>
        <w:spacing w:before="0" w:after="0"/>
        <w:ind w:left="0" w:right="0" w:firstLine="450"/>
        <w:jc w:val="center"/>
      </w:pPr>
      <w:r/>
    </w:p>
    <w:tbl>
      <w:tblPr>
        <w:tblW w:w="6817" w:type="dxa"/>
        <w:jc w:val="center"/>
        <w:tblInd w:w="0" w:type="dxa"/>
        <w:tblLayout w:type="fixed"/>
        <w:tblCellMar>
          <w:top w:w="28" w:type="dxa"/>
          <w:left w:w="28" w:type="dxa"/>
          <w:bottom w:w="28" w:type="dxa"/>
          <w:right w:w="28" w:type="dxa"/>
        </w:tblCellMar>
      </w:tblPr>
      <w:tblGrid>
        <w:gridCol w:w="473"/>
        <w:gridCol w:w="414"/>
        <w:gridCol w:w="417"/>
        <w:gridCol w:w="109"/>
        <w:gridCol w:w="109"/>
        <w:gridCol w:w="109"/>
        <w:gridCol w:w="1113"/>
        <w:gridCol w:w="1113"/>
        <w:gridCol w:w="1118"/>
        <w:gridCol w:w="109"/>
        <w:gridCol w:w="109"/>
        <w:gridCol w:w="109"/>
        <w:gridCol w:w="443"/>
        <w:gridCol w:w="443"/>
        <w:gridCol w:w="629"/>
      </w:tblGrid>
      <w:t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2019 -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r>
      <w:t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2026 -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0" w:after="0"/>
        <w:ind w:left="0" w:right="0" w:firstLine="45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(1)Under QSR-2019, Essent Guaranty cedes 36% of premiums on singles policies and 18% on all other policies.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risk in force (RIF) ceded under the QSR agreements was $11.4 billion as of September 30, 2026. During the fourth quarter of 2025, Essent also entered into a forward quota share transaction covering 20% of the risk of all eligible policies written by Essent Guaranty, Inc. in calendar year 2027.</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Excess of Loss Reinsurance</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Guaranty has entered into fully collateralized outward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pStyle w:val="TextBody"/>
        <w:bidi w:val="0"/>
        <w:spacing w:before="0" w:after="0"/>
        <w:ind w:left="0" w:right="0" w:firstLine="720"/>
        <w:jc w:val="left"/>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Guaranty has also entered into outward reinsurance agreements with panels of reinsurers that provide excess of loss coverage on new insurance written from January 1, 2019 through August 31, 2019 and from October 1, 2021 through December 31, 2026.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excess of loss coverages and retentions provided by insurance linked notes as of September 30, 2026:</w:t>
      </w:r>
    </w:p>
    <w:p>
      <w:pPr>
        <w:pStyle w:val="TextBody"/>
        <w:bidi w:val="0"/>
        <w:spacing w:before="0" w:after="0"/>
        <w:ind w:left="0" w:right="0" w:firstLine="720"/>
        <w:jc w:val="left"/>
      </w:pPr>
      <w:r/>
    </w:p>
    <w:tbl>
      <w:tblPr>
        <w:tblW w:w="10205" w:type="dxa"/>
        <w:jc w:val="center"/>
        <w:tblInd w:w="0" w:type="dxa"/>
        <w:tblLayout w:type="fixed"/>
        <w:tblCellMar>
          <w:top w:w="28" w:type="dxa"/>
          <w:left w:w="28" w:type="dxa"/>
          <w:bottom w:w="28" w:type="dxa"/>
          <w:right w:w="28" w:type="dxa"/>
        </w:tblCellMar>
      </w:tblPr>
      <w:tblGrid>
        <w:gridCol w:w="321"/>
        <w:gridCol w:w="283"/>
        <w:gridCol w:w="284"/>
        <w:gridCol w:w="253"/>
        <w:gridCol w:w="253"/>
        <w:gridCol w:w="254"/>
        <w:gridCol w:w="109"/>
        <w:gridCol w:w="109"/>
        <w:gridCol w:w="109"/>
        <w:gridCol w:w="196"/>
        <w:gridCol w:w="961"/>
        <w:gridCol w:w="109"/>
        <w:gridCol w:w="109"/>
        <w:gridCol w:w="109"/>
        <w:gridCol w:w="109"/>
        <w:gridCol w:w="196"/>
        <w:gridCol w:w="961"/>
        <w:gridCol w:w="109"/>
        <w:gridCol w:w="109"/>
        <w:gridCol w:w="109"/>
        <w:gridCol w:w="109"/>
        <w:gridCol w:w="109"/>
        <w:gridCol w:w="109"/>
        <w:gridCol w:w="205"/>
        <w:gridCol w:w="770"/>
        <w:gridCol w:w="114"/>
        <w:gridCol w:w="109"/>
        <w:gridCol w:w="109"/>
        <w:gridCol w:w="109"/>
        <w:gridCol w:w="109"/>
        <w:gridCol w:w="109"/>
        <w:gridCol w:w="109"/>
        <w:gridCol w:w="196"/>
        <w:gridCol w:w="871"/>
        <w:gridCol w:w="109"/>
        <w:gridCol w:w="109"/>
        <w:gridCol w:w="109"/>
        <w:gridCol w:w="109"/>
        <w:gridCol w:w="109"/>
        <w:gridCol w:w="109"/>
        <w:gridCol w:w="109"/>
        <w:gridCol w:w="109"/>
        <w:gridCol w:w="332"/>
        <w:gridCol w:w="332"/>
        <w:gridCol w:w="480"/>
      </w:tblGrid>
      <w:tr>
        <w:tc>
          <w:tcPr>
            <w:tcW w:w="3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c>
          <w:tcPr>
            <w:tcW w:w="888"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8"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7"/>
            <w:tcBorders/>
          </w:tcPr>
          <w:p>
            <w:pPr>
              <w:pStyle w:val="TableContents"/>
              <w:bidi w:val="0"/>
              <w:spacing w:before="0" w:after="283"/>
              <w:jc w:val="left"/>
              <w:rPr>
                <w:sz w:val="4"/>
                <w:szCs w:val="4"/>
              </w:rPr>
            </w:pPr>
            <w:r>
              <w:rPr>
                <w:sz w:val="4"/>
                <w:szCs w:val="4"/>
              </w:rPr>
            </w:r>
          </w:p>
        </w:tc>
      </w:tr>
      <w:t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Pr>
          <w:p>
            <w:pPr>
              <w:pStyle w:val="TableContents"/>
              <w:bidi w:val="0"/>
              <w:spacing w:before="0" w:after="283"/>
              <w:jc w:val="left"/>
              <w:rPr>
                <w:sz w:val="4"/>
                <w:szCs w:val="4"/>
              </w:rPr>
            </w:pPr>
            <w:r>
              <w:rPr>
                <w:sz w:val="4"/>
                <w:szCs w:val="4"/>
              </w:rPr>
            </w:r>
          </w:p>
        </w:tc>
      </w:tr>
      <w:t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 Name</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Risk</w:t>
              <w:br/>
              <w:t>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Optional Termination Date</w:t>
            </w:r>
          </w:p>
        </w:tc>
      </w:tr>
      <w:tr>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2021-2</w:t>
            </w:r>
          </w:p>
        </w:tc>
        <w:tc>
          <w:tcPr>
            <w:tcW w:w="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2021 - Sep.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20,877,708 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25, 2027</w:t>
            </w:r>
          </w:p>
        </w:tc>
      </w:tr>
      <w:tr>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2022-1</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2021 - Jul.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2028</w:t>
            </w:r>
          </w:p>
        </w:tc>
      </w:tr>
      <w:tr>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2023-1</w:t>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2022 - Jun.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2028</w:t>
            </w:r>
          </w:p>
        </w:tc>
      </w:tr>
      <w:tr>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2024-1</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2023 - Jul.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2029</w:t>
            </w:r>
          </w:p>
        </w:tc>
      </w:tr>
      <w:t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85,542,550 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23,962,286 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602,979 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1,054,396 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excess of loss reinsurance coverages and retentions provided by panels of reinsurers as of September 30, 2026:</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310"/>
        <w:gridCol w:w="274"/>
        <w:gridCol w:w="275"/>
        <w:gridCol w:w="245"/>
        <w:gridCol w:w="245"/>
        <w:gridCol w:w="246"/>
        <w:gridCol w:w="109"/>
        <w:gridCol w:w="109"/>
        <w:gridCol w:w="109"/>
        <w:gridCol w:w="196"/>
        <w:gridCol w:w="1051"/>
        <w:gridCol w:w="109"/>
        <w:gridCol w:w="109"/>
        <w:gridCol w:w="109"/>
        <w:gridCol w:w="109"/>
        <w:gridCol w:w="196"/>
        <w:gridCol w:w="961"/>
        <w:gridCol w:w="109"/>
        <w:gridCol w:w="109"/>
        <w:gridCol w:w="109"/>
        <w:gridCol w:w="109"/>
        <w:gridCol w:w="109"/>
        <w:gridCol w:w="109"/>
        <w:gridCol w:w="202"/>
        <w:gridCol w:w="761"/>
        <w:gridCol w:w="112"/>
        <w:gridCol w:w="109"/>
        <w:gridCol w:w="109"/>
        <w:gridCol w:w="109"/>
        <w:gridCol w:w="109"/>
        <w:gridCol w:w="109"/>
        <w:gridCol w:w="109"/>
        <w:gridCol w:w="196"/>
        <w:gridCol w:w="871"/>
        <w:gridCol w:w="109"/>
        <w:gridCol w:w="109"/>
        <w:gridCol w:w="109"/>
        <w:gridCol w:w="109"/>
        <w:gridCol w:w="109"/>
        <w:gridCol w:w="109"/>
        <w:gridCol w:w="109"/>
        <w:gridCol w:w="109"/>
        <w:gridCol w:w="325"/>
        <w:gridCol w:w="325"/>
        <w:gridCol w:w="471"/>
      </w:tblGrid>
      <w:tr>
        <w:tc>
          <w:tcPr>
            <w:tcW w:w="3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c>
          <w:tcPr>
            <w:tcW w:w="85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7"/>
            <w:tcBorders/>
          </w:tcPr>
          <w:p>
            <w:pPr>
              <w:pStyle w:val="TableContents"/>
              <w:bidi w:val="0"/>
              <w:spacing w:before="0" w:after="283"/>
              <w:jc w:val="left"/>
              <w:rPr>
                <w:sz w:val="4"/>
                <w:szCs w:val="4"/>
              </w:rPr>
            </w:pPr>
            <w:r>
              <w:rPr>
                <w:sz w:val="4"/>
                <w:szCs w:val="4"/>
              </w:rPr>
            </w:r>
          </w:p>
        </w:tc>
      </w:tr>
      <w:tr>
        <w:tc>
          <w:tcPr>
            <w:tcW w:w="32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Pr>
          <w:p>
            <w:pPr>
              <w:pStyle w:val="TableContents"/>
              <w:bidi w:val="0"/>
              <w:spacing w:before="0" w:after="283"/>
              <w:jc w:val="left"/>
              <w:rPr>
                <w:sz w:val="4"/>
                <w:szCs w:val="4"/>
              </w:rPr>
            </w:pPr>
            <w:r>
              <w:rPr>
                <w:sz w:val="4"/>
                <w:szCs w:val="4"/>
              </w:rPr>
            </w:r>
          </w:p>
        </w:tc>
      </w:tr>
      <w:t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 Name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Risk</w:t>
              <w:br/>
              <w:t>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Reinsurance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Optional Termination Date</w:t>
            </w:r>
          </w:p>
        </w:tc>
      </w:tr>
      <w:tr>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2020-1</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2019 - 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25, 2027</w:t>
            </w:r>
          </w:p>
        </w:tc>
      </w:tr>
      <w:t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2022-1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2021 - Dec.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2030</w:t>
            </w:r>
          </w:p>
        </w:tc>
      </w:tr>
      <w:t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2023-1</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2023 - Dec.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2029</w:t>
            </w:r>
          </w:p>
        </w:tc>
      </w:tr>
      <w:t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2024-1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2024 - Dec.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2030</w:t>
            </w:r>
          </w:p>
        </w:tc>
      </w:tr>
      <w:t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2025-1</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2025 - Dec.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2031</w:t>
            </w:r>
          </w:p>
        </w:tc>
      </w:tr>
      <w:t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2026-1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2026 - Dec.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2032</w:t>
            </w:r>
          </w:p>
        </w:tc>
      </w:tr>
      <w:t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187,130,701 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51,144,331 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391,086 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1,959,947 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accrued liabilities on our condensed consolidated balance sheet and the estimated net present value of investment earnings on the assets in the reinsurance trusts, each as of September 30, 2026:</w:t>
      </w:r>
    </w:p>
    <w:tbl>
      <w:tblPr>
        <w:tblW w:w="7855" w:type="dxa"/>
        <w:jc w:val="left"/>
        <w:tblInd w:w="0" w:type="dxa"/>
        <w:tblLayout w:type="fixed"/>
        <w:tblCellMar>
          <w:top w:w="28" w:type="dxa"/>
          <w:left w:w="28" w:type="dxa"/>
          <w:bottom w:w="28" w:type="dxa"/>
          <w:right w:w="28" w:type="dxa"/>
        </w:tblCellMar>
      </w:tblPr>
      <w:tblGrid>
        <w:gridCol w:w="739"/>
        <w:gridCol w:w="649"/>
        <w:gridCol w:w="652"/>
        <w:gridCol w:w="109"/>
        <w:gridCol w:w="240"/>
        <w:gridCol w:w="941"/>
        <w:gridCol w:w="124"/>
        <w:gridCol w:w="109"/>
        <w:gridCol w:w="309"/>
        <w:gridCol w:w="1016"/>
        <w:gridCol w:w="160"/>
        <w:gridCol w:w="128"/>
        <w:gridCol w:w="468"/>
        <w:gridCol w:w="804"/>
        <w:gridCol w:w="242"/>
        <w:gridCol w:w="109"/>
        <w:gridCol w:w="211"/>
        <w:gridCol w:w="691"/>
        <w:gridCol w:w="154"/>
      </w:tblGrid>
      <w:t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1165" w:type="dxa"/>
            <w:gridSpan w:val="4"/>
            <w:tcBorders/>
          </w:tcPr>
          <w:p>
            <w:pPr>
              <w:pStyle w:val="TableContents"/>
              <w:bidi w:val="0"/>
              <w:spacing w:before="0" w:after="283"/>
              <w:jc w:val="left"/>
              <w:rPr>
                <w:sz w:val="4"/>
                <w:szCs w:val="4"/>
              </w:rPr>
            </w:pPr>
            <w:r>
              <w:rPr>
                <w:sz w:val="4"/>
                <w:szCs w:val="4"/>
              </w:rPr>
            </w:r>
          </w:p>
        </w:tc>
      </w:tr>
      <w:t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VIE Assets</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 - Balance Sheet</w:t>
            </w:r>
          </w:p>
        </w:tc>
        <w:tc>
          <w:tcPr>
            <w:tcW w:w="128"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 - Balance Sheet</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Radnor Re 2021-2 Ltd.</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Radnor Re 2022-1 Ltd.</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Radnor Re 2023-1 Ltd. </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Radnor Re 2024-1 Ltd. </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602,979 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of the Radnor Re entities are the source of reinsurance claim payments to Essent Guaranty and provide capital relief under the PMIERs financial strength requirements (see Note 14). A decline in the assets available to pay claims would reduce the capital relief available to Essent Guaranty.</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Reserve for Losses and Loss Adjustment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losses and loss adjustment expenses (“LAE”) for the nine months ended September 30:</w:t>
      </w:r>
    </w:p>
    <w:p>
      <w:pPr>
        <w:pStyle w:val="TextBody"/>
        <w:bidi w:val="0"/>
        <w:spacing w:lineRule="auto" w:line="288" w:before="0" w:after="0"/>
        <w:jc w:val="left"/>
        <w:rPr>
          <w:color w:val="000000"/>
        </w:rPr>
      </w:pPr>
      <w:r>
        <w:rPr>
          <w:color w:val="000000"/>
        </w:rPr>
        <w:t> </w:t>
      </w:r>
    </w:p>
    <w:tbl>
      <w:tblPr>
        <w:tblW w:w="8751" w:type="dxa"/>
        <w:jc w:val="left"/>
        <w:tblInd w:w="0" w:type="dxa"/>
        <w:tblLayout w:type="fixed"/>
        <w:tblCellMar>
          <w:top w:w="28" w:type="dxa"/>
          <w:left w:w="28" w:type="dxa"/>
          <w:bottom w:w="28" w:type="dxa"/>
          <w:right w:w="28" w:type="dxa"/>
        </w:tblCellMar>
      </w:tblPr>
      <w:tblGrid>
        <w:gridCol w:w="2084"/>
        <w:gridCol w:w="1835"/>
        <w:gridCol w:w="1841"/>
        <w:gridCol w:w="109"/>
        <w:gridCol w:w="109"/>
        <w:gridCol w:w="109"/>
        <w:gridCol w:w="211"/>
        <w:gridCol w:w="826"/>
        <w:gridCol w:w="109"/>
        <w:gridCol w:w="109"/>
        <w:gridCol w:w="109"/>
        <w:gridCol w:w="109"/>
        <w:gridCol w:w="211"/>
        <w:gridCol w:w="826"/>
        <w:gridCol w:w="154"/>
      </w:tblGrid>
      <w:tr>
        <w:tc>
          <w:tcPr>
            <w:tcW w:w="208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losses and LAE, net of reinsurance,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losses and LAE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payments for losses and LAE, net of reinsurance,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payments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recoverables, net of unpaid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$55.8 million was paid for incurred claims and claim adjustment expenses attributable to insured events of prior years. There has been $84.0 million of favorable prior year development during the nine months ended September 30, 2026. Net reserves remaining as of September 30, 2026 for prior years are $250.8 million as a result of re-estimation of unpaid losses and loss adjustment expenses. For the nine months ended September 30, 2025, $35.4 million was paid for incurred claims and claim adjustment expenses attributable to insured events of prior years. There was $66.2 million of favorable prior year development during the nine months ended September 30, 2025. Net reserves remaining as of September 30, 2025 for prior years were $190.6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expected the ultimate number of hurricane-related defaults that result in claims would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and through the second quarter of 2026, we observed a decline in the number of defaults associated with hurricanes Helene and Milton. In the second quarter of 2026, we began reserving for the remaining hurricane-related defaults consistently with the standard methodology used for our default inventory, which did not have a significant impact on our provision for losses and loss adjustment expenses in the nine months ended September 30, 2026 or the reserve balance at September 30, 2026.</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Mortgage interest rates remain elevated, with the average 30-year mortgage interest rate closing above 7.30% at September 30, 2026, which has reduced home sale activity and may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Debt Obligations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Group has $500 million of 6.25% publicly issued senior notes (the “Senior Notes") that mature on July 1, 2029. Interest on the Senior Notes is payable semi-annually in arrears on January 1 and July 1 of each year. The Senior Notes are presented on the consolidated balance sheets net of an unamortized issuance discount of $1.0 million and $1.3 million and deferred issuance costs of $2.7 million and $3.4 million as of September 30, 2026 and December 31, 2025, respectively.</w:t>
      </w:r>
    </w:p>
    <w:p>
      <w:pPr>
        <w:pStyle w:val="TextBody"/>
        <w:bidi w:val="0"/>
        <w:spacing w:before="0" w:after="0"/>
        <w:ind w:left="0" w:right="0" w:firstLine="450"/>
        <w:jc w:val="left"/>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revolving credit facility of up to $500 million of senior unsecured revolving loans (the “Revolving Credit Facility”) that mature on July 1, 2029. There were no borrowings on the Revolving Credit Facility in the three and nine months ended September 30, 2026 or in the year ended December 31, 2025. A commitment fee is due quarterly on the average daily amount of the undrawn revolving commitment. The annual commitment fee rate as of September 30, 2026 was 0.175%. The Revolving Credit Facility also provides for an aggregate principal amount of up to $250 million in uncommitted incremental revolving credit facilities that may be exercised at the Company’s option, so long as the Company receives sufficient commitments from the bank lenders. The Revolving Credit Facility contains several covenants, including financial covenants relating to minimum net worth, maximum debt to capitalization level and Essent Guaranty's compliance with the PMIERs. The Company was in compliance with all financial covenants as of September 30, 2026.</w:t>
      </w:r>
    </w:p>
    <w:p>
      <w:pPr>
        <w:pStyle w:val="TextBody"/>
        <w:bidi w:val="0"/>
        <w:spacing w:before="0" w:after="0"/>
        <w:ind w:left="0" w:right="0" w:firstLine="45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Obligations under Guarantees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impairs the salability of such loan, results in a material reduction in the value of such loan or results in the lender repurchasing the loan. The indemnification may be in the form of monetary or other remedies. There were no payments related to these indemnifications in the nine months ended September 30, 2026 and less than $0.1 million in the nine months ended September 30, 2025. As of September 30, 2026, management believes any potential claims for indemnification related to contract underwriting services through September 30, 2026 are not material to our consolidated financial position or results of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Capital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pStyle w:val="TextBody"/>
        <w:bidi w:val="0"/>
        <w:spacing w:before="0" w:after="0"/>
        <w:ind w:left="0" w:right="0" w:firstLine="495"/>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declared and paid per common share each quarter:</w:t>
      </w:r>
    </w:p>
    <w:p>
      <w:pPr>
        <w:pStyle w:val="TextBody"/>
        <w:bidi w:val="0"/>
        <w:spacing w:before="0" w:after="0"/>
        <w:ind w:left="0" w:right="0" w:firstLine="450"/>
        <w:jc w:val="left"/>
      </w:pPr>
      <w:r/>
    </w:p>
    <w:tbl>
      <w:tblPr>
        <w:tblW w:w="6988" w:type="dxa"/>
        <w:jc w:val="left"/>
        <w:tblInd w:w="0" w:type="dxa"/>
        <w:tblLayout w:type="fixed"/>
        <w:tblCellMar>
          <w:top w:w="28" w:type="dxa"/>
          <w:left w:w="28" w:type="dxa"/>
          <w:bottom w:w="28" w:type="dxa"/>
          <w:right w:w="28" w:type="dxa"/>
        </w:tblCellMar>
      </w:tblPr>
      <w:tblGrid>
        <w:gridCol w:w="1595"/>
        <w:gridCol w:w="1402"/>
        <w:gridCol w:w="1412"/>
        <w:gridCol w:w="109"/>
        <w:gridCol w:w="109"/>
        <w:gridCol w:w="109"/>
        <w:gridCol w:w="211"/>
        <w:gridCol w:w="511"/>
        <w:gridCol w:w="109"/>
        <w:gridCol w:w="109"/>
        <w:gridCol w:w="109"/>
        <w:gridCol w:w="109"/>
        <w:gridCol w:w="211"/>
        <w:gridCol w:w="511"/>
        <w:gridCol w:w="109"/>
        <w:gridCol w:w="109"/>
        <w:gridCol w:w="154"/>
      </w:tblGrid>
      <w:t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2026, the Board of Directors declared a quarterly cash dividend of $0.35 per common share payable on December 10, 2026 to shareholders of record on December 1, 2026.</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Share Repurchase Plan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2025, the Board of Directors approved a share repurchase plan that authorized the Company to repurchase $500 million of common shares in the open market through December 31, 2026. In November 2025, the Board of Directors approved a share repurchase plan that authorizes the Company to repurchase an additional $500 million of common shares in the open market through December 31, 2027. From January 1, 2026 through September 30, 2026 the Company purchased 6,934,647 common shares at a cost of $422.8 million. The shares repurchased were recorded at cost and included in treasury stock. All treasury stock has been cancelled as of September 30, 2026. In November 2026, the Board of Directors approved a share repurchase plan that authorizes the Company to repurchase an additional $500 million of common shares in the open market through December 31, 2028.</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Stock-Based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pPr>
      <w:r>
        <w:rPr>
          <w:rFonts w:ascii="Times New Roman;serif" w:hAnsi="Times New Roman;serif"/>
          <w:b w:val="false"/>
          <w:color w:val="000000"/>
          <w:sz w:val="20"/>
        </w:rPr>
        <w:t xml:space="preserve">In 2013, Essent Group's Board of Directors adopted, and Essent Group's shareholders </w:t>
      </w:r>
      <w:r>
        <w:rPr>
          <w:rFonts w:ascii="Times New Roman;serif" w:hAnsi="Times New Roman;serif"/>
          <w:b w:val="false"/>
          <w:color w:val="242021"/>
          <w:sz w:val="20"/>
        </w:rPr>
        <w:t>approved, the Essent Group Ltd. 2013 Long-Term Incentive 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serif" w:hAnsi="Times New Roman;serif"/>
          <w:b w:val="false"/>
          <w:color w:val="000000"/>
          <w:sz w:val="20"/>
        </w:rPr>
        <w:t>qualified share options, incentive stock options, share appreciation 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September 30, 2026, there were 2.6 million common shares available for future grant under the 2013 Plan.</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nonvested common share, nonvested common share unit and DEU activity for the nine months ended September 30, 2026:</w:t>
      </w:r>
    </w:p>
    <w:p>
      <w:pPr>
        <w:pStyle w:val="TextBody"/>
        <w:bidi w:val="0"/>
        <w:spacing w:lineRule="auto" w:line="288" w:before="0" w:after="0"/>
        <w:jc w:val="left"/>
        <w:rPr>
          <w:color w:val="000000"/>
        </w:rPr>
      </w:pPr>
      <w:r>
        <w:rPr>
          <w:color w:val="000000"/>
        </w:rPr>
        <w:t> </w:t>
      </w:r>
    </w:p>
    <w:tbl>
      <w:tblPr>
        <w:tblW w:w="12825" w:type="dxa"/>
        <w:jc w:val="center"/>
        <w:tblInd w:w="0" w:type="dxa"/>
        <w:tblLayout w:type="fixed"/>
        <w:tblCellMar>
          <w:top w:w="28" w:type="dxa"/>
          <w:left w:w="28" w:type="dxa"/>
          <w:bottom w:w="28" w:type="dxa"/>
          <w:right w:w="28" w:type="dxa"/>
        </w:tblCellMar>
      </w:tblPr>
      <w:tblGrid>
        <w:gridCol w:w="589"/>
        <w:gridCol w:w="268"/>
        <w:gridCol w:w="269"/>
        <w:gridCol w:w="109"/>
        <w:gridCol w:w="109"/>
        <w:gridCol w:w="109"/>
        <w:gridCol w:w="251"/>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51"/>
        <w:gridCol w:w="230"/>
        <w:gridCol w:w="231"/>
        <w:gridCol w:w="109"/>
        <w:gridCol w:w="109"/>
        <w:gridCol w:w="109"/>
        <w:gridCol w:w="211"/>
        <w:gridCol w:w="616"/>
        <w:gridCol w:w="109"/>
        <w:gridCol w:w="109"/>
        <w:gridCol w:w="109"/>
        <w:gridCol w:w="109"/>
        <w:gridCol w:w="295"/>
        <w:gridCol w:w="295"/>
        <w:gridCol w:w="296"/>
        <w:gridCol w:w="109"/>
        <w:gridCol w:w="109"/>
        <w:gridCol w:w="109"/>
        <w:gridCol w:w="211"/>
        <w:gridCol w:w="616"/>
        <w:gridCol w:w="154"/>
      </w:tblGrid>
      <w:t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2"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 and Performance-</w:t>
              <w:br/>
              <w:t>Based 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w:t>
              <w:br/>
              <w:t>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Time and Performance-Based 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Time-Based 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DEUs</w:t>
            </w:r>
          </w:p>
        </w:tc>
      </w:tr>
      <w:t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Equivalent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ind w:left="0" w:right="0" w:firstLine="720"/>
        <w:jc w:val="left"/>
      </w:p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February 2026, certain members of senior management were granted nonvested common shares under the 2013 Plan that are subject to performance-based vesting and common share units subject to time-based vesting. The time-based share units granted in February 2026 vest annually in three equal installments commencing on March 1 of the year following the grant year. The performance-based share awards granted in February 2026 vest based upon our compounded annual book value per share growth percentage and relative total shareholder return during a three-year performance period that commenced on January 1, 2026, and they vest on March 1, 2029. Shares were issued at the maximum 200% of target. The portion of these nonvested performance-based share awards that will be earned is as follows: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before="0" w:after="0"/>
        <w:ind w:left="0" w:right="0" w:firstLine="495"/>
        <w:jc w:val="left"/>
      </w:pPr>
      <w:r/>
    </w:p>
    <w:tbl>
      <w:tblPr>
        <w:tblW w:w="8541"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84"/>
        <w:gridCol w:w="184"/>
        <w:gridCol w:w="186"/>
        <w:gridCol w:w="109"/>
        <w:gridCol w:w="109"/>
        <w:gridCol w:w="109"/>
        <w:gridCol w:w="499"/>
        <w:gridCol w:w="499"/>
        <w:gridCol w:w="501"/>
        <w:gridCol w:w="220"/>
        <w:gridCol w:w="220"/>
        <w:gridCol w:w="220"/>
        <w:gridCol w:w="454"/>
        <w:gridCol w:w="454"/>
        <w:gridCol w:w="456"/>
        <w:gridCol w:w="220"/>
        <w:gridCol w:w="220"/>
        <w:gridCol w:w="220"/>
        <w:gridCol w:w="452"/>
        <w:gridCol w:w="452"/>
        <w:gridCol w:w="641"/>
      </w:tblGrid>
      <w:t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Relative Total Shareholder Return</w:t>
              <w:br/>
              <w:t>vs. S&amp;P 1500 Financial Services Index</w:t>
            </w:r>
          </w:p>
        </w:tc>
      </w:tr>
      <w:t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25th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50th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75th percentile</w:t>
            </w:r>
          </w:p>
        </w:tc>
      </w:tr>
      <w:tr>
        <w:tc>
          <w:tcPr>
            <w:tcW w:w="1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Three-Year Book</w:t>
              <w:br/>
              <w:t>Value Per Share</w:t>
              <w:br/>
              <w:t>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c>
          <w:tcPr>
            <w:tcW w:w="160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c>
          <w:tcPr>
            <w:tcW w:w="160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c>
          <w:tcPr>
            <w:tcW w:w="160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c>
          <w:tcPr>
            <w:tcW w:w="160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time-and-performance based share awards and units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pStyle w:val="TextBody"/>
        <w:bidi w:val="0"/>
        <w:spacing w:lineRule="auto" w:line="288" w:before="0" w:after="0"/>
        <w:ind w:left="0" w:right="0" w:firstLine="720"/>
        <w:jc w:val="left"/>
        <w:rPr>
          <w:color w:val="000000"/>
        </w:rPr>
      </w:pPr>
      <w:r>
        <w:rPr>
          <w:color w:val="000000"/>
        </w:rPr>
        <w:t xml:space="preserve">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incentive program covering bonus awards for performance year 2025, in February 2026, time-based share units were issued to certain employees that vest in three equal installments on March 1, 2027, 2028 and 2029.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Quoted market prices are used for the valuation of common shares granted that do not contain a market condition under ASC 718. The performance-based share awards granted in February 2024, 2025 and 2026 contain a market condition and were valued based on analysis provided by a third-party valuation firm using a risk-neutral simulation taking into effect the vesting conditions of the grant.</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fair value on the vesting date of nonvested shares, share units or DEUs that vested was $39.0 million and $33.0 million for the nine months ended September 30, 2026 and 2025, respectively. As of September 30, 2026, there was $18.8 million of total unrecognized compensation expense related to nonvested shares or share units outstanding at September 30, 2026 and we expect to recognize the expense over a weighted average period of 2.1 years.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Employees have the option to tender shares to Essent Group to pay the minimum employee statutory withholding taxes associated with shares upon vesting. Common shares tendered by employees to pay employee withholding taxes totaled 233,126 in the nine months ended September 30, 2026. The tendered shares were recorded at cost and included in treasury stock. All treasury stock has been cancelled as of September 30, 2026.</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expense, net of forfeitures, and related tax effects recognized in connection with nonvested shares and share units was as follows:</w:t>
      </w:r>
    </w:p>
    <w:tbl>
      <w:tblPr>
        <w:tblW w:w="7984" w:type="dxa"/>
        <w:jc w:val="center"/>
        <w:tblInd w:w="0" w:type="dxa"/>
        <w:tblLayout w:type="fixed"/>
        <w:tblCellMar>
          <w:top w:w="28" w:type="dxa"/>
          <w:left w:w="28" w:type="dxa"/>
          <w:bottom w:w="28" w:type="dxa"/>
          <w:right w:w="28" w:type="dxa"/>
        </w:tblCellMar>
      </w:tblPr>
      <w:tblGrid>
        <w:gridCol w:w="728"/>
        <w:gridCol w:w="639"/>
        <w:gridCol w:w="643"/>
        <w:gridCol w:w="109"/>
        <w:gridCol w:w="109"/>
        <w:gridCol w:w="109"/>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Dividends Restrictions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September 30, 2026, Essent Guaranty had unassigned surplus of approximately $323.8 million. As of September 30,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Essent Guaranty could pay additional ordinary dividends in 2026 of $323.8 million. In the nine months ended September 30, 2026, Essent Guaranty paid dividends of $115 million to its parent, Essent US Holdings, Inc. In October 2026, Essent Guaranty paid dividends of $85 million to its parent, Essent US Holdings, Inc. In the three and nine months ended September 30, 2025, Essent Guaranty paid dividends of $85 million and $215 million, respectively, to its parent, Essent US Holdings, Inc.</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2026, Essent Re had total equity of $1.7 billion. In the nine months ended September 30, 2026, Essent Re paid dividends of $200 million to its parent, Essent Group Ltd. In the three and nine months ended September 30, 2025, Essent Re paid dividends of $120 million and $340 million, respectively, to its parent, Essent Group Ltd.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2026, our insurance subsidiaries were in compliance with these rules, regulations and agreements.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Earnings per Share (EPS)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common shares outstanding used in the computations of basic and diluted earnings per common share:</w:t>
      </w:r>
    </w:p>
    <w:p>
      <w:pPr>
        <w:pStyle w:val="TextBody"/>
        <w:bidi w:val="0"/>
        <w:spacing w:lineRule="auto" w:line="288" w:before="0" w:after="0"/>
        <w:ind w:left="0" w:right="0" w:firstLine="720"/>
        <w:jc w:val="left"/>
        <w:rPr>
          <w:color w:val="000000"/>
        </w:rPr>
      </w:pPr>
      <w:r>
        <w:rPr>
          <w:color w:val="000000"/>
        </w:rPr>
        <w:t> </w:t>
      </w:r>
    </w:p>
    <w:tbl>
      <w:tblPr>
        <w:tblW w:w="9701" w:type="dxa"/>
        <w:jc w:val="center"/>
        <w:tblInd w:w="0" w:type="dxa"/>
        <w:tblLayout w:type="fixed"/>
        <w:tblCellMar>
          <w:top w:w="28" w:type="dxa"/>
          <w:left w:w="28" w:type="dxa"/>
          <w:bottom w:w="28" w:type="dxa"/>
          <w:right w:w="28" w:type="dxa"/>
        </w:tblCellMar>
      </w:tblPr>
      <w:tblGrid>
        <w:gridCol w:w="1364"/>
        <w:gridCol w:w="1199"/>
        <w:gridCol w:w="120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September 30,</w:t>
            </w:r>
          </w:p>
        </w:tc>
      </w:tr>
      <w:t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nonvested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13,351 and 5,847 antidilutive shares for the three months ended September 30, 2026 and 2025, respectively, and 37,247 and 47,223 antidilutive shares for the nine months ended September 30, 2026 and 2025, respectively.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Nonvested performance-based share awards are considered contingently issuable for purposes of the EPS calculation. The 2026, 2025 and 2024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438"/>
        <w:gridCol w:w="283"/>
        <w:gridCol w:w="285"/>
        <w:gridCol w:w="109"/>
        <w:gridCol w:w="109"/>
        <w:gridCol w:w="109"/>
        <w:gridCol w:w="294"/>
        <w:gridCol w:w="193"/>
        <w:gridCol w:w="193"/>
        <w:gridCol w:w="174"/>
        <w:gridCol w:w="174"/>
        <w:gridCol w:w="174"/>
        <w:gridCol w:w="216"/>
        <w:gridCol w:w="187"/>
        <w:gridCol w:w="189"/>
        <w:gridCol w:w="109"/>
        <w:gridCol w:w="109"/>
        <w:gridCol w:w="109"/>
        <w:gridCol w:w="294"/>
        <w:gridCol w:w="193"/>
        <w:gridCol w:w="193"/>
        <w:gridCol w:w="174"/>
        <w:gridCol w:w="174"/>
        <w:gridCol w:w="174"/>
        <w:gridCol w:w="216"/>
        <w:gridCol w:w="187"/>
        <w:gridCol w:w="189"/>
        <w:gridCol w:w="109"/>
        <w:gridCol w:w="109"/>
        <w:gridCol w:w="109"/>
        <w:gridCol w:w="294"/>
        <w:gridCol w:w="193"/>
        <w:gridCol w:w="193"/>
        <w:gridCol w:w="174"/>
        <w:gridCol w:w="174"/>
        <w:gridCol w:w="174"/>
        <w:gridCol w:w="216"/>
        <w:gridCol w:w="187"/>
        <w:gridCol w:w="189"/>
        <w:gridCol w:w="109"/>
        <w:gridCol w:w="109"/>
        <w:gridCol w:w="109"/>
        <w:gridCol w:w="294"/>
        <w:gridCol w:w="193"/>
        <w:gridCol w:w="193"/>
        <w:gridCol w:w="174"/>
        <w:gridCol w:w="174"/>
        <w:gridCol w:w="174"/>
        <w:gridCol w:w="216"/>
        <w:gridCol w:w="187"/>
        <w:gridCol w:w="189"/>
        <w:gridCol w:w="109"/>
        <w:gridCol w:w="109"/>
        <w:gridCol w:w="109"/>
        <w:gridCol w:w="109"/>
        <w:gridCol w:w="109"/>
        <w:gridCol w:w="170"/>
      </w:tblGrid>
      <w:tr>
        <w:tc>
          <w:tcPr>
            <w:tcW w:w="4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color w:val="000000"/>
          <w:sz w:val="18"/>
        </w:rPr>
        <w:t>(1)</w:t>
      </w:r>
      <w:r>
        <w:rPr>
          <w:color w:val="000000"/>
        </w:rPr>
        <w:t xml:space="preserve"> </w:t>
      </w:r>
      <w:r>
        <w:rPr>
          <w:rFonts w:ascii="Times New Roman;serif" w:hAnsi="Times New Roman;serif"/>
          <w:b w:val="false"/>
          <w:color w:val="000000"/>
          <w:sz w:val="18"/>
        </w:rPr>
        <w:t>The 2023 performance based awards vested at 193% relative to target on March 1, 2026.</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Accumulated Other Comprehensive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rollforward of accumulated other comprehensive loss for the three and nine months ended September 30, 2026 and 2025: </w:t>
      </w:r>
    </w:p>
    <w:tbl>
      <w:tblPr>
        <w:tblW w:w="10205" w:type="dxa"/>
        <w:jc w:val="left"/>
        <w:tblInd w:w="0" w:type="dxa"/>
        <w:tblLayout w:type="fixed"/>
        <w:tblCellMar>
          <w:top w:w="28" w:type="dxa"/>
          <w:left w:w="28" w:type="dxa"/>
          <w:bottom w:w="28" w:type="dxa"/>
          <w:right w:w="28" w:type="dxa"/>
        </w:tblCellMar>
      </w:tblPr>
      <w:tblGrid>
        <w:gridCol w:w="690"/>
        <w:gridCol w:w="387"/>
        <w:gridCol w:w="388"/>
        <w:gridCol w:w="109"/>
        <w:gridCol w:w="109"/>
        <w:gridCol w:w="109"/>
        <w:gridCol w:w="211"/>
        <w:gridCol w:w="842"/>
        <w:gridCol w:w="109"/>
        <w:gridCol w:w="109"/>
        <w:gridCol w:w="109"/>
        <w:gridCol w:w="109"/>
        <w:gridCol w:w="211"/>
        <w:gridCol w:w="721"/>
        <w:gridCol w:w="109"/>
        <w:gridCol w:w="109"/>
        <w:gridCol w:w="109"/>
        <w:gridCol w:w="109"/>
        <w:gridCol w:w="211"/>
        <w:gridCol w:w="842"/>
        <w:gridCol w:w="109"/>
        <w:gridCol w:w="109"/>
        <w:gridCol w:w="109"/>
        <w:gridCol w:w="109"/>
        <w:gridCol w:w="211"/>
        <w:gridCol w:w="842"/>
        <w:gridCol w:w="109"/>
        <w:gridCol w:w="109"/>
        <w:gridCol w:w="109"/>
        <w:gridCol w:w="109"/>
        <w:gridCol w:w="211"/>
        <w:gridCol w:w="721"/>
        <w:gridCol w:w="109"/>
        <w:gridCol w:w="109"/>
        <w:gridCol w:w="109"/>
        <w:gridCol w:w="109"/>
        <w:gridCol w:w="211"/>
        <w:gridCol w:w="842"/>
        <w:gridCol w:w="157"/>
      </w:tblGrid>
      <w:tr>
        <w:tc>
          <w:tcPr>
            <w:tcW w:w="6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included in net income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included in net income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(1)Included in net realized investment losses on our condensed consolidated statements of comprehensive income.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carry certain of our financial instruments at fair value. We define fair value as the current amount that would be exchanged to sell an asset or transfer a liability, other than in a forced liquidation.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Hierarchy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Level 1 — Quoted prices for identical instruments in active markets accessible at the measurement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Level 3 — Valuations derived from one or more significant inputs that are unobservable.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Determination of Fair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used the following methods and assumptions in estimating fair values of financial instruments:</w:t>
      </w:r>
    </w:p>
    <w:p>
      <w:pPr>
        <w:pStyle w:val="TextBody"/>
        <w:bidi w:val="0"/>
        <w:spacing w:before="0" w:after="0"/>
        <w:ind w:left="0" w:right="0" w:firstLine="72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Measured at Fair Value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assets measured at fair value are categorized in the table below based upon the lowest level of significant input to the valuations. All fair value measurements at the reporting date were on a recurring basis.</w:t>
      </w:r>
    </w:p>
    <w:p>
      <w:pPr>
        <w:pStyle w:val="TextBody"/>
        <w:bidi w:val="0"/>
        <w:spacing w:lineRule="auto" w:line="288" w:before="0" w:after="0"/>
        <w:jc w:val="left"/>
        <w:rPr>
          <w:color w:val="000000"/>
        </w:rPr>
      </w:pPr>
      <w:r>
        <w:rPr>
          <w:color w:val="000000"/>
        </w:rPr>
        <w:t> </w:t>
      </w:r>
    </w:p>
    <w:tbl>
      <w:tblPr>
        <w:tblW w:w="10192" w:type="dxa"/>
        <w:jc w:val="left"/>
        <w:tblInd w:w="0" w:type="dxa"/>
        <w:tblLayout w:type="fixed"/>
        <w:tblCellMar>
          <w:top w:w="28" w:type="dxa"/>
          <w:left w:w="28" w:type="dxa"/>
          <w:bottom w:w="28" w:type="dxa"/>
          <w:right w:w="28" w:type="dxa"/>
        </w:tblCellMar>
      </w:tblPr>
      <w:tblGrid>
        <w:gridCol w:w="1451"/>
        <w:gridCol w:w="1275"/>
        <w:gridCol w:w="1279"/>
        <w:gridCol w:w="109"/>
        <w:gridCol w:w="109"/>
        <w:gridCol w:w="109"/>
        <w:gridCol w:w="211"/>
        <w:gridCol w:w="82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4"/>
      </w:tblGrid>
      <w:t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422"/>
        <w:gridCol w:w="1220"/>
        <w:gridCol w:w="1225"/>
        <w:gridCol w:w="109"/>
        <w:gridCol w:w="109"/>
        <w:gridCol w:w="109"/>
        <w:gridCol w:w="211"/>
        <w:gridCol w:w="97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c>
          <w:tcPr>
            <w:tcW w:w="142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3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at fair value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(1)Does not include the fair value of embedded derivatives, which we have accounted for separately as freestanding derivatives and included in other assets or other accrued liabilities in our condensed consolidated balance sheet. See Note 4 for more information.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(2)Does not include certain other invested assets that are measured at fair value using the net asset value per share (or its equivalent) as a practical expedient, as applicable accounting standards do not provide for classification within the fair value hierarchy.</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Not Carried at Fair Value</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senior notes are carried at amortized cost, net of issuance costs, on our condensed consolidated balance sheets. The carrying amount and estimated fair value of our senior notes was $496.3 million and $504.5 million, respectively, as of September 30, 2026. The carrying amount and estimated fair value of our senior notes was $495.3 million and $522.6 million, respectively, as of December 31, 2025. The fair value of our senior notes is estimated based on quoted market prices.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Statutory Accounting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statutory net income for the nine months ended September 30, 2026 and 2025 as well as statutory surplus and contingency reserve liability at September 30, 2026 and December 31, 2025:</w:t>
      </w:r>
    </w:p>
    <w:p>
      <w:pPr>
        <w:pStyle w:val="TextBody"/>
        <w:bidi w:val="0"/>
        <w:spacing w:lineRule="auto" w:line="288" w:before="0" w:after="0"/>
        <w:jc w:val="left"/>
        <w:rPr>
          <w:color w:val="000000"/>
        </w:rPr>
      </w:pPr>
      <w:r>
        <w:rPr>
          <w:color w:val="000000"/>
        </w:rPr>
        <w:t> </w:t>
      </w:r>
    </w:p>
    <w:tbl>
      <w:tblPr>
        <w:tblW w:w="4806"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11"/>
        <w:gridCol w:w="826"/>
        <w:gridCol w:w="109"/>
        <w:gridCol w:w="109"/>
        <w:gridCol w:w="109"/>
        <w:gridCol w:w="109"/>
        <w:gridCol w:w="211"/>
        <w:gridCol w:w="826"/>
        <w:gridCol w:w="154"/>
      </w:tblGrid>
      <w:t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tbl>
      <w:tblPr>
        <w:tblW w:w="5646"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211"/>
        <w:gridCol w:w="976"/>
        <w:gridCol w:w="109"/>
        <w:gridCol w:w="109"/>
        <w:gridCol w:w="109"/>
        <w:gridCol w:w="109"/>
        <w:gridCol w:w="211"/>
        <w:gridCol w:w="826"/>
        <w:gridCol w:w="154"/>
      </w:tblGrid>
      <w:t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determined in accordance with statutory accounting practices differs from GAAP. In 2026 and 2025, the more significant differences between net income determined under statutory accounting practices and GAAP for Essent Guaranty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as a result, increases statutory net income and surplus as compared to net income and equity determined in accordance with GAAP.</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the statutory capital of Essent Guaranty, which is defined as the total of statutory surplus and contingency reserves, was in excess of the statutory capital necessary to satisfy its regulatory requirements.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August 2024, the GSEs issued updates to the PMIERs calculation of Available Assets. The updated PMIERs Available Asset requirements were subject to a phased-in implementation beginning with the quarter ended March 31, 2025, and became fully effective on September 30, 2026. As of September 30, 2026, Essent Guaranty, our GSE-approved mortgage insurance company, was in compliance with the PMIERs.</w:t>
      </w:r>
    </w:p>
    <w:p>
      <w:pPr>
        <w:pStyle w:val="TextBody"/>
        <w:bidi w:val="0"/>
        <w:spacing w:before="0" w:after="0"/>
        <w:ind w:left="0" w:right="0" w:firstLine="720"/>
        <w:jc w:val="left"/>
      </w:pPr>
      <w:r/>
    </w:p>
    <w:p>
      <w:pPr>
        <w:pStyle w:val="TextBody"/>
        <w:bidi w:val="0"/>
        <w:spacing w:lineRule="auto" w:line="288" w:before="0" w:after="0"/>
        <w:ind w:left="0" w:right="0" w:firstLine="720"/>
        <w:jc w:val="left"/>
      </w:pPr>
      <w:r>
        <w:rPr>
          <w:rFonts w:ascii="Times New Roman;serif" w:hAnsi="Times New Roman;serif"/>
          <w:b w:val="false"/>
          <w:color w:val="000000"/>
          <w:sz w:val="20"/>
        </w:rPr>
        <w:t xml:space="preserve">Statement of Statutory Accounting Principles No. 58, </w:t>
      </w:r>
      <w:r>
        <w:rPr>
          <w:rFonts w:ascii="Times New Roman;serif" w:hAnsi="Times New Roman;serif"/>
          <w:b w:val="false"/>
          <w:i/>
          <w:color w:val="000000"/>
          <w:sz w:val="20"/>
        </w:rPr>
        <w:t>Mortgage Guaranty Insurance,</w:t>
      </w:r>
      <w:r>
        <w:rPr>
          <w:color w:val="000000"/>
        </w:rPr>
        <w:t xml:space="preserve"> </w:t>
      </w:r>
      <w:r>
        <w:rPr>
          <w:rFonts w:ascii="Times New Roman;serif" w:hAnsi="Times New Roman;serif"/>
          <w:b w:val="false"/>
          <w:color w:val="000000"/>
          <w:sz w:val="20"/>
        </w:rPr>
        <w:t xml:space="preserve">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nine months ended September 30, 2026 and 2025, Essent Guaranty increased its contingency reserve by $193.9 million and $210.1 million, respectively. During the nine months ended September 30, 2026 and 2025, Essent Guaranty released contingency reserves of $127.9 million and $107.7 million, respectively, to unassigned funds upon completion of the 120 month holding period.</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September 30, 2026, all such requirements were met.</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Re's statutory capital and surplus was $1.6 billion and $1.7 billion as of September 30, 2026 and December 31, 2025. Essent Re's statutory net income was $222.5 million and $235.4 million for the nine months ended September 30, 2026 and 2025, respectively. Statutory capital and surplus as of September 30, 2026 and December 31, 2025 and statutory net income in the nine months ended September 30, 2026 and 2025 determined in accordance with statutory accounting practices were not significantly different than the amounts determined under GAAP. </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before="160" w:after="160"/>
        <w:jc w:val="left"/>
      </w:pPr>
      <w:r/>
    </w:p>
    <w:p>
      <w:pPr>
        <w:pStyle w:val="TextBody"/>
        <w:bidi w:val="0"/>
        <w:spacing w:before="160" w:after="160"/>
        <w:jc w:val="left"/>
      </w:p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15. Segment Reporting</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two reportable business segments: Mortgage Insurance and Reinsurance. Our Mortgage Insurance segment offers private mortgage insurance for mortgages secured by residential properties located in the United States. We provide private mortgage insurance on residential first-lien mortgage loans (“mortgage insurance”) through our mortgage insurance subsidiary, Essent Guaranty, Inc., which we refer to as "Essent Guaranty", and also offer other credit risk management solutions, including contract underwriting, to our customers.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Reinsurance segment reinsures U.S. mortgage risk in the GSE credit risk transfer market and provides underwriting consulting services to third-party reinsurers ("GSE and other risk share") through our wholly owned, Bermuda-based subsidiary, Essent Reinsurance Ltd., which we refer to as "Essent Re". Effective January 1, 2026, Essent Re began reinsuring certain property and casualty risks.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"Corporate &amp; Other" category is used to reconcile our reportable segments to consolidated results and includes business activities associated with our title insurance operations, income and losses from holding company treasury operations and general corporate operating expenses not attributable to our operating segments. Our title insurance operations are an operating segment that does not meet the quantitative thresholds of a separate reportable segment.</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and Reinsurance segments through analysis of the loss ratio, expense ratio and combined ratio. We do not manage our segments by assets.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all goodwill is assigned to our title operating segment, which is included in our Corporate &amp; Other category. Goodwill was $48.8 million at both September 30, 2026 and December 31, 2025.</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reinsurance of certain property and casualty risks, acquisition costs deferred in our Reinsurance segment were $98.6 million during the nine months ended September 30, 2026 and the amortization of those deferred acquisition costs in our Reinsurance segment was $34.8 million for the nine months ended September 30, 2026.</w:t>
      </w:r>
    </w:p>
    <w:p>
      <w:pPr>
        <w:pStyle w:val="TextBody"/>
        <w:bidi w:val="0"/>
        <w:spacing w:lineRule="auto" w:line="288" w:before="160" w:after="16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Segment Information: Profit &amp; Loss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components of reportable segment profit and loss to consolidated profit and loss for the periods presented. Within the tables, we have disclosed significant segment expenses at a level of disaggregation that coincides with what is regularly provided to the CODM. Other underwriting and operating expenses in the Mortgage Insurance and Reinsurance segments include software, professional fees, travel, and occupancy costs. The accounting policies of our operating segments are the same as those described in the summary of significant accounting policies in our Form 10-K. We do not have inter-segment transactions.</w:t>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before="160" w:after="160"/>
        <w:jc w:val="left"/>
      </w:pPr>
      <w:r/>
    </w:p>
    <w:p>
      <w:pPr>
        <w:pStyle w:val="TextBody"/>
        <w:bidi w:val="0"/>
        <w:spacing w:before="160" w:after="160"/>
        <w:jc w:val="left"/>
      </w:pPr>
      <w:r/>
    </w:p>
    <w:tbl>
      <w:tblPr>
        <w:tblW w:w="12478"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751"/>
        <w:gridCol w:w="271"/>
        <w:gridCol w:w="109"/>
        <w:gridCol w:w="109"/>
        <w:gridCol w:w="109"/>
        <w:gridCol w:w="196"/>
        <w:gridCol w:w="661"/>
        <w:gridCol w:w="271"/>
        <w:gridCol w:w="109"/>
        <w:gridCol w:w="109"/>
        <w:gridCol w:w="109"/>
        <w:gridCol w:w="196"/>
        <w:gridCol w:w="646"/>
        <w:gridCol w:w="109"/>
        <w:gridCol w:w="109"/>
        <w:gridCol w:w="109"/>
        <w:gridCol w:w="109"/>
        <w:gridCol w:w="196"/>
        <w:gridCol w:w="751"/>
        <w:gridCol w:w="109"/>
        <w:gridCol w:w="109"/>
        <w:gridCol w:w="109"/>
        <w:gridCol w:w="109"/>
        <w:gridCol w:w="196"/>
        <w:gridCol w:w="751"/>
        <w:gridCol w:w="271"/>
        <w:gridCol w:w="109"/>
        <w:gridCol w:w="109"/>
        <w:gridCol w:w="109"/>
        <w:gridCol w:w="196"/>
        <w:gridCol w:w="661"/>
        <w:gridCol w:w="271"/>
        <w:gridCol w:w="109"/>
        <w:gridCol w:w="109"/>
        <w:gridCol w:w="109"/>
        <w:gridCol w:w="196"/>
        <w:gridCol w:w="646"/>
        <w:gridCol w:w="109"/>
        <w:gridCol w:w="109"/>
        <w:gridCol w:w="109"/>
        <w:gridCol w:w="109"/>
        <w:gridCol w:w="196"/>
        <w:gridCol w:w="751"/>
        <w:gridCol w:w="154"/>
      </w:tblGrid>
      <w:t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pPr>
            <w:r>
              <w:rPr>
                <w:rFonts w:ascii="Times New Roman;serif" w:hAnsi="Times New Roman;serif"/>
                <w:b/>
                <w:sz w:val="16"/>
              </w:rPr>
              <w:br/>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Acquisition costs, net </w:t>
            </w: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185,326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17,512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199,042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184,389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20,065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199,159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ratio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ratio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39.6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84.7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34.9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17"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(1) </w:t>
            </w:r>
            <w:r>
              <w:rPr>
                <w:rFonts w:ascii="Times New Roman;serif" w:hAnsi="Times New Roman;serif"/>
                <w:b w:val="false"/>
                <w:color w:val="000000"/>
                <w:sz w:val="16"/>
              </w:rPr>
              <w:t>Loss ratio is calculated by dividing the provision for losses and LAE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17"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(2)</w:t>
            </w:r>
            <w:r>
              <w:rPr>
                <w:color w:val="000000"/>
              </w:rPr>
              <w:t xml:space="preserve"> </w:t>
            </w:r>
            <w:r>
              <w:rPr>
                <w:rFonts w:ascii="Times New Roman;serif" w:hAnsi="Times New Roman;serif"/>
                <w:b w:val="false"/>
                <w:color w:val="000000"/>
                <w:sz w:val="16"/>
              </w:rPr>
              <w:t>Expense ratio is calculated by dividing operating expenses after allocations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17"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(3) </w:t>
            </w:r>
            <w:r>
              <w:rPr>
                <w:rFonts w:ascii="Times New Roman;serif" w:hAnsi="Times New Roman;serif"/>
                <w:b w:val="false"/>
                <w:color w:val="000000"/>
                <w:sz w:val="16"/>
              </w:rPr>
              <w:t xml:space="preserve">Acquisition costs are net of ceding commissions earned on outward reinsurance and include ceding commissions incurred on reinsurance assumed.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TextBody"/>
        <w:bidi w:val="0"/>
        <w:spacing w:before="160" w:after="1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pPr>
      <w:r/>
    </w:p>
    <w:p>
      <w:pPr>
        <w:pStyle w:val="TextBody"/>
        <w:bidi w:val="0"/>
        <w:spacing w:before="160" w:after="160"/>
        <w:jc w:val="left"/>
      </w:pPr>
      <w:r/>
    </w:p>
    <w:p>
      <w:pPr>
        <w:pStyle w:val="TextBody"/>
        <w:bidi w:val="0"/>
        <w:spacing w:before="160" w:after="160"/>
        <w:jc w:val="left"/>
      </w:pPr>
      <w:r/>
    </w:p>
    <w:tbl>
      <w:tblPr>
        <w:tblW w:w="12568"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751"/>
        <w:gridCol w:w="271"/>
        <w:gridCol w:w="109"/>
        <w:gridCol w:w="109"/>
        <w:gridCol w:w="109"/>
        <w:gridCol w:w="196"/>
        <w:gridCol w:w="736"/>
        <w:gridCol w:w="271"/>
        <w:gridCol w:w="109"/>
        <w:gridCol w:w="109"/>
        <w:gridCol w:w="109"/>
        <w:gridCol w:w="196"/>
        <w:gridCol w:w="646"/>
        <w:gridCol w:w="109"/>
        <w:gridCol w:w="109"/>
        <w:gridCol w:w="109"/>
        <w:gridCol w:w="109"/>
        <w:gridCol w:w="196"/>
        <w:gridCol w:w="751"/>
        <w:gridCol w:w="109"/>
        <w:gridCol w:w="109"/>
        <w:gridCol w:w="109"/>
        <w:gridCol w:w="109"/>
        <w:gridCol w:w="196"/>
        <w:gridCol w:w="751"/>
        <w:gridCol w:w="271"/>
        <w:gridCol w:w="109"/>
        <w:gridCol w:w="109"/>
        <w:gridCol w:w="109"/>
        <w:gridCol w:w="196"/>
        <w:gridCol w:w="661"/>
        <w:gridCol w:w="271"/>
        <w:gridCol w:w="109"/>
        <w:gridCol w:w="109"/>
        <w:gridCol w:w="109"/>
        <w:gridCol w:w="196"/>
        <w:gridCol w:w="661"/>
        <w:gridCol w:w="109"/>
        <w:gridCol w:w="109"/>
        <w:gridCol w:w="109"/>
        <w:gridCol w:w="109"/>
        <w:gridCol w:w="196"/>
        <w:gridCol w:w="751"/>
        <w:gridCol w:w="154"/>
      </w:tblGrid>
      <w:t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Acquisition costs, net </w:t>
            </w: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588,044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50,123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636,086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598,422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59,236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637,333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ratio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ratio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34.3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79.3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92"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Loss ratio is calculated by dividing the provision for losses and LAE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92"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(2)</w:t>
            </w:r>
            <w:r>
              <w:rPr>
                <w:color w:val="000000"/>
              </w:rPr>
              <w:t xml:space="preserve"> </w:t>
            </w:r>
            <w:r>
              <w:rPr>
                <w:rFonts w:ascii="Times New Roman;serif" w:hAnsi="Times New Roman;serif"/>
                <w:b w:val="false"/>
                <w:color w:val="000000"/>
                <w:sz w:val="16"/>
              </w:rPr>
              <w:t>Expense ratio is calculated by dividing operating expenses after allocations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92"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(3) </w:t>
            </w:r>
            <w:r>
              <w:rPr>
                <w:rFonts w:ascii="Times New Roman;serif" w:hAnsi="Times New Roman;serif"/>
                <w:b w:val="false"/>
                <w:color w:val="000000"/>
                <w:sz w:val="16"/>
              </w:rPr>
              <w:t>Acquisition costs are net of ceding commissions earned on outward reinsurance and include ceding commissions incurred on reinsurance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50"/>
        <w:jc w:val="left"/>
      </w:pPr>
      <w:r/>
    </w:p>
    <w:p>
      <w:pPr>
        <w:pStyle w:val="TextBody"/>
        <w:bidi w:val="0"/>
        <w:spacing w:before="160" w:after="160"/>
        <w:ind w:left="0" w:right="0" w:firstLine="450"/>
        <w:jc w:val="left"/>
      </w:pPr>
      <w:r/>
    </w:p>
    <w:p>
      <w:pPr>
        <w:pStyle w:val="TextBody"/>
        <w:bidi w:val="0"/>
        <w:spacing w:before="160" w:after="160"/>
        <w:ind w:left="0" w:right="0" w:firstLine="450"/>
        <w:jc w:val="left"/>
      </w:pPr>
      <w:r/>
    </w:p>
    <w:p>
      <w:pPr>
        <w:pStyle w:val="TextBody"/>
        <w:bidi w:val="0"/>
        <w:spacing w:before="160" w:after="160"/>
        <w:ind w:left="0" w:right="0" w:firstLine="450"/>
        <w:jc w:val="left"/>
      </w:pPr>
      <w:r/>
    </w:p>
    <w:p>
      <w:pPr>
        <w:pStyle w:val="TextBody"/>
        <w:bidi w:val="0"/>
        <w:spacing w:before="160" w:after="160"/>
        <w:ind w:left="0" w:right="0" w:firstLine="450"/>
        <w:jc w:val="left"/>
      </w:pPr>
      <w:r/>
    </w:p>
    <w:p>
      <w:pPr>
        <w:pStyle w:val="TextBody"/>
        <w:bidi w:val="0"/>
        <w:spacing w:before="160" w:after="160"/>
        <w:ind w:left="0" w:right="0" w:firstLine="45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together with our audited consolidated financial statements and related notes included in our Annual Report on Form 10-K as of and for the year ended December 31, 2025 as filed with the Securities and Exchange Commission and referred to herein as the “Annual Report,” and our condensed consolidated financial statements and related notes as of and for the three and nine months ended September 30, 2026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Group Ltd. (collectively with its subsidiaries, “Essent”) serves the housing finance industry by offering private mortgage insurance and reinsurance, title insurance and settlement services to mortgage lenders, borrowers and investors to support homeownership. We have two reportable segments: Mortgage Insurance and Reinsurance. </w:t>
      </w:r>
    </w:p>
    <w:p>
      <w:pPr>
        <w:pStyle w:val="TextBody"/>
        <w:bidi w:val="0"/>
        <w:spacing w:before="0" w:after="0"/>
        <w:ind w:left="0" w:right="0" w:firstLine="720"/>
        <w:jc w:val="left"/>
      </w:p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$12.1 billion and $37.3 billion for the three and nine months ended September 30, 2026, respectively, compared to approximately $12.2 billion and $34.7 billion for the three and nine months ended September 30, 2025, respectively. The financial strength ratings of Essent Guaranty are A2 with a stable outlook by Moody’s Ratings (“Moody's”), A- with a stable outlook by S&amp;P Global Ratings (“S&amp;P”) and A (Excellent) with a stable outlook by A.M. Best Ratings Services, Inc. ("AM Best"). On October 26, 2026, S&amp;P affirmed the A- financial strength rating of Essent Guaranty, Inc. and raised the outlook to positive from stable.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wholly-owned Bermuda-based subsidiary, Essent Reinsurance Ltd., which we refer to as "Essent Re", we reinsure U.S. mortgage risk in the GSE credit risk transfer market and also provide underwriting consulting services to third-party reinsurers. As of September 30, 2026, Essent Re provided insurance or reinsurance relating to GSE and other mortgage risk share transactions covering approximately $2.0 billion of risk. Essent Re also reinsures Essent Guaranty’s NIW under a quota share reinsurance agreement. Effective January 1, 2026, Essent Re began reinsuring certain property and casualty risks. The financial strength ratings of Essent Re are A- with a stable outlook by S&amp;P and A (Excellent) with a stable outlook by AM Best. </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title insurance products both directly and through a network of title insurance agents through Essent Title Insurance, Inc., which we refer to as "Essent Title", as well as title and settlement services. Title insurance operations are included in the Corporate &amp; Other category.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highly experienced, talented team with 523 employees as of September 30, 2026. Our holding company and reinsurance business are domiciled in Bermuda. Our U.S. mortgage insurance and title insurance operations are headquartered in Radnor, Pennsylvania.</w:t>
      </w:r>
    </w:p>
    <w:p>
      <w:pPr>
        <w:pStyle w:val="TextBody"/>
        <w:bidi w:val="0"/>
        <w:spacing w:lineRule="auto" w:line="288" w:before="160" w:after="160"/>
        <w:ind w:left="0" w:right="0" w:firstLine="720"/>
        <w:jc w:val="left"/>
        <w:rPr>
          <w:rFonts w:ascii="Times New Roman;serif" w:hAnsi="Times New Roman;serif"/>
          <w:b/>
          <w:i/>
          <w:color w:val="000000"/>
          <w:sz w:val="20"/>
        </w:rPr>
      </w:pPr>
      <w:r>
        <w:rPr>
          <w:rFonts w:ascii="Times New Roman;serif" w:hAnsi="Times New Roman;serif"/>
          <w:b/>
          <w:i/>
          <w:color w:val="000000"/>
          <w:sz w:val="20"/>
        </w:rPr>
        <w:t>Current Developments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Mortgage interest rates remain elevated with the average 30-year mortgage interest rate closing above 7.30% at September 30, 2026,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Ongoing geopolitical tensions and military conflicts in the Middle East, including the conflict involving Iran, may adversely affect our operations as it relates to the conflict's impact on the interest rate environment, consumer habits, as well as conflict-related events that could lead to future property and casualty losses in our Reinsurance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Legislative and Regulatory Developments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Bermuda Corporate Income Tax</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2023, the Government of Bermuda enacted the Corporate Income Tax Act 2023 (CIT). Starting January 1, 2025, the CIT imposes a new 15% corporate income tax on in-scope entities that are resident in Bermuda or that have a Bermuda permanent establishment, without regard to any assurances that had previously been given pursuant to the Exempted Undertakings Tax Protection Act 1966.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our annual revenue meets the CIT threshold for "in-scope" (€750M), our Bermuda companies are not "in scope" because of a statutory exception for entities having “limited international presence” or "LIP". We currently meet the criteria for the LIP exception, which is available to our Bermuda companies for a period of five years, or when the LIP criteria are no longer met, whichever is sooner. The LIP exemption criteria are subject to interpretation of existing Bermuda law, as well as any related new regulations that may be issued by the Government of Bermuda. Also, future strategic business decisions could impact qualification for the LIP exception. Accordingly, no assurances can be made that we will continue meeting the LIP exception criteria during the years remaining in our five-year exemption period.</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Credit Score Models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April 2026, FHFA announced that the GSEs will begin accepting loans with the VantageScore 4.0 model for certain approved lenders and will begin moving forward with FICO 10T. In September 2026, the GSEs announced that the VantageScore 4.0 model was available for all lenders. Beginning in the second quarter of 2026, Essent Guaranty began insuring loans that were submitted using the VantageScore 4.0 model. The loans insured that were submitted with a VantageScore credit score represent a de minimis amount of our NIW for the three and nine months ended September 30, 2026 and IIF and RIF at September 30, 2026.</w:t>
      </w:r>
    </w:p>
    <w:p>
      <w:pPr>
        <w:pStyle w:val="TextBody"/>
        <w:bidi w:val="0"/>
        <w:spacing w:lineRule="auto" w:line="288" w:before="160" w:after="160"/>
        <w:ind w:left="0" w:right="0" w:firstLine="720"/>
        <w:jc w:val="left"/>
        <w:rPr>
          <w:rFonts w:ascii="Times New Roman;serif" w:hAnsi="Times New Roman;serif"/>
          <w:b/>
          <w:i/>
          <w:color w:val="000000"/>
          <w:sz w:val="20"/>
        </w:rPr>
      </w:pPr>
      <w:r>
        <w:rPr>
          <w:rFonts w:ascii="Times New Roman;serif" w:hAnsi="Times New Roman;serif"/>
          <w:b/>
          <w:i/>
          <w:color w:val="000000"/>
          <w:sz w:val="20"/>
        </w:rPr>
        <w:t>Executive Order</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22, 2026, President Donald Trump signed an executive order titled “Decreasing Housing Costs for the American People” which includes a provision directing the U.S. Federal Housing Finance Agency (FHFA) Director to consider establishing a pilot program for the cancellation of private mortgage insurance on future loans. We will evaluate any impact that a pilot program may have on our mortgage insurance portfolio and our future results of operations once the terms of such pilot program are finalized.</w:t>
      </w:r>
    </w:p>
    <w:p>
      <w:pPr>
        <w:pStyle w:val="TextBody"/>
        <w:bidi w:val="0"/>
        <w:spacing w:before="0" w:after="0"/>
        <w:ind w:left="0" w:right="0" w:firstLine="45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Premiums Written and Earned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Premiums ceded or assumed under reinsurance arrangements. See Note 4 to our condensed consolidated financial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2026 were non-refundable. Premiums collected on annual policies are recognized as net premiums earned on a straight-line basis over the year of coverage. For the nine months ended September 30, 2026 and 2025, monthly premium policies comprised 99% and 99% of our NIW, respectively.</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Premiums associated with our GSE and other mortgage risk share transactions are based on the level of risk in force and premium rates on the transactions. Premiums associated with property and casualty reinsurance are generally earned on a pro rata basis over the terms of the underlying policies or reinsurance contracts. Premiums written are based on contract and policy terms and include estimates based on information received from ceding companies. Subsequent revisions to premium estimates are recorded in the period in which they are determined.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Title insurance premiums are based on the number of title insurance policies issued and generally recognized as income at the transaction closing date which approximates the policy effective date.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Persistency and Business Mix</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83.3% at September 30, 2026. Generally, higher prepayment speeds lead to lower persistency.</w:t>
      </w:r>
    </w:p>
    <w:p>
      <w:pPr>
        <w:pStyle w:val="TextBody"/>
        <w:bidi w:val="0"/>
        <w:spacing w:before="0" w:after="0"/>
        <w:ind w:left="0" w:right="0" w:firstLine="720"/>
        <w:jc w:val="left"/>
      </w:p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portfolio was predominantly comprised of investment-grade fixed income securities and money market funds as of September 30, 2026.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Income from Other Invested Assets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our overall investment strategy, we also allocate a percentage of our portfolio to limited partnership investments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includes revenues associated with underwriting consulting services to third-party reinsurers, title settlement services and contract underwriting services. The level of these revenues is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for Losses and Loss Adjustment Expenses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Mortgage Insurance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Losses incurred are generally affected by: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overall state of the economy, which broadly affects the likelihood that borrowers may default on their loans and have the ability to cure such defaults;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product mix of IIF, with loans having higher risk characteristics generally resulting in higher defaults and claims;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size of loans insured, with higher average loan amounts tending to increase losses incurred;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loan-to-value ratio, with higher average loan-to-value ratios tending to increase losses incurred;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percentage of coverage on insured loans, with deeper average coverage tending to increase losses incurred;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credit quality of borrowers, including higher debt-to-income ratios and lower credit scores, which tend to increase incurred losses;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level and amount of reinsurance coverage maintained with third parties;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distribution of claims over the life of a book. As of September 30, 2026, 44% of our IIF relates to mortgage insurance business written before January 1, 2023 and was at least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our experience and industry data, claims incidence for mortgage insurance is generally highest in the third through sixth years after loan origination. As of September 30, 2026, 44% of our IIF relates to business written before January 1, 2023 and was at least three years old. As such, we expect incurred losses and claims to increase as a greater amount of this book of insurance is entering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Mortgage interest rates remain elevated, with the average 30-year mortgage interest rate closing above 7.30% at September 30, 2026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expected the ultimate number of hurricane-related defaults that result in claims would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and through the second quarter of 2026, we observed a decline in the number of defaults associated with hurricanes Helene and Milton. In the second quarter of 2026, we began reserving for the remaining hurricane-related defaults consistently with the standard methodology used for our default inventory, which did not have a significant impact on our provision for losses and loss adjustment expenses in the nine months ended September 30, 2026 or the reserve balance at September 30, 2026.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more fully described in Note 4 to our condensed consolidated financial statements, at September 30, 2026, we had approximately $1.0 billion of excess of loss reinsurance covering NIW from January 1, 2019 through August 31, 2019 and April 1, 2021 through December 31, 2026 and quota share reinsurance on portions of our NIW effective September 1, 2019 through December 31, 2020 and January 1, 2022 through December 31, 2026. The impact on our reserves in future periods will be dependent upon the amount of delinquent notices received from loan servicers, the performance of defaults and our expectations for the amount of ultimate losses on these delinquencies.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Property and Casualty Reinsurance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reserves for property and casualty reinsurance based on reports from ceding companies and industry data analyzed using standard actuarial and statistical techniques. The Company selects initial expected loss and loss adjustment expense ratios based on information provided by ceding companies, actuaries and its underwriters, supplemented by industry data where appropriate. The analysis includes assessing currently available data, predictions of future developments, estimates of future trends, and other factors. These estimates are reviewed regularly and, as experience develops and new information becomes known, the reserves are adjusted as necessary. Such adjustments, if any, are reflected in income in the period in which they are determined. The final settlement of losses may vary, perhaps materially, from the reserves recorded.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Title Insurance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Outward Reinsurance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other underwriting and operating expenses include components that are substantially fixed, as well as expenses that generally increase or decrease in line with the level of mortgage insurance NIW, reinsurance premiums earned, title insurance policies issued and settlement services provided.</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One of our most significant expenses is compensation and benefits for our employees, which represented 37% and 42% of other underwriting and operating expenses for the three and nine months ended September 30, 2026, compared to 49% and 51% for the three and nine months ended September 30, 2025. Compensation and benefits expense includes base and incentive cash compensation, stock compensation expense, benefits and payroll taxes.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Underwriting and other expenses include acquisition costs, legal, consulting, other professional fees, premium taxes, travel, entertainment, marketing, licensing, supplies, hardware, software, rent, utilities, depreciation and amortization and other expenses. Acquisition costs are net of ceding commissions earned on outward reinsurance and include ceding commissions incurred on reinsurance assumed. We anticipate that as we continue to add new customers and increase our mortgage insurance IIF, assume additional reinsurance, and increase title insurance policies issued and settlement services provided, our expenses will also continue to increase.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varies according to regional differences in real estate closing practices and state regulations.</w:t>
      </w:r>
    </w:p>
    <w:p>
      <w:pPr>
        <w:pStyle w:val="TextBody"/>
        <w:bidi w:val="0"/>
        <w:spacing w:before="160" w:after="160"/>
        <w:ind w:left="0" w:right="0" w:firstLine="720"/>
        <w:jc w:val="left"/>
      </w:pPr>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Except for six states, most notably Florida, our insurance subsidiaries pay premium taxes in lieu of state income taxes. Premium taxes are recorded in other underwriting and operating expenses.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Group Ltd. ("Essent Group") and its wholly-owned subsidiary, Essent Re, are domiciled in Bermuda, and their income is currently not subject to a corporate income tax. See "—Legislative and Regulatory Developments—Bermuda Corporate Income Tax" above. Essent Re reinsures U.S. mortgage risk in the GSE credit risk transfer market, provides underwriting consulting services to third-party reinsurers and effective January 1, 2026, reinsures certain property and casualty risks. Essent Re also reinsures Essent Guaranty's NIW under a quota share reinsurance agreement. The following table summarizes the quota share reinsurance coverage that Essent Re has provided to Essent Guaranty for the respective NIW periods:</w:t>
      </w:r>
    </w:p>
    <w:tbl>
      <w:tblPr>
        <w:tblW w:w="5081" w:type="dxa"/>
        <w:jc w:val="center"/>
        <w:tblInd w:w="0" w:type="dxa"/>
        <w:tblLayout w:type="fixed"/>
        <w:tblCellMar>
          <w:top w:w="28" w:type="dxa"/>
          <w:left w:w="28" w:type="dxa"/>
          <w:bottom w:w="28" w:type="dxa"/>
          <w:right w:w="28" w:type="dxa"/>
        </w:tblCellMar>
      </w:tblPr>
      <w:tblGrid>
        <w:gridCol w:w="1170"/>
        <w:gridCol w:w="1028"/>
        <w:gridCol w:w="1041"/>
        <w:gridCol w:w="109"/>
        <w:gridCol w:w="109"/>
        <w:gridCol w:w="109"/>
        <w:gridCol w:w="443"/>
        <w:gridCol w:w="443"/>
        <w:gridCol w:w="629"/>
      </w:tblGrid>
      <w:tr>
        <w:tc>
          <w:tcPr>
            <w:tcW w:w="1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to Present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2021 to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 to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amount of income tax expense or benefit recorded in future periods will be dependent on the jurisdictions in which we operate and the tax laws and regulations in effect.</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Earnings and Cash Flow Cycle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the majority of any underwriting profit (premium revenue minus losses) that a book of mortgage insurance policies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the underwriting profit generated by certain lines of property and casualty insurance policies depends on the pattern in which written premiums are earned over the coverage period and the estimate of the initial reserves for future claim payments. Significant periods of time may elapse between the point at which premiums are written and earned and the occurrence of an insured loss, the reporting of the loss to the reinsurer and subsequent payments to the ceding insurer by the reinsurer.</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Insurance In Force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above, mortgage insurance premiums we collect and earn are generated based on our IIF, which is a function of our NIW and cancellations. The following table includes a summary of the change in our IIF for the three and nine months ended September 30, 2026 and 2025 for our mortgage insurance portfolio. In addition, this table includes our RIF at the end of each period.</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tbl>
      <w:tblPr>
        <w:tblW w:w="9896" w:type="dxa"/>
        <w:jc w:val="left"/>
        <w:tblInd w:w="0" w:type="dxa"/>
        <w:tblLayout w:type="fixed"/>
        <w:tblCellMar>
          <w:top w:w="28" w:type="dxa"/>
          <w:left w:w="28" w:type="dxa"/>
          <w:bottom w:w="28" w:type="dxa"/>
          <w:right w:w="28" w:type="dxa"/>
        </w:tblCellMar>
      </w:tblPr>
      <w:tblGrid>
        <w:gridCol w:w="912"/>
        <w:gridCol w:w="803"/>
        <w:gridCol w:w="804"/>
        <w:gridCol w:w="109"/>
        <w:gridCol w:w="109"/>
        <w:gridCol w:w="109"/>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11"/>
        <w:gridCol w:w="1186"/>
        <w:gridCol w:w="154"/>
      </w:tblGrid>
      <w:t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249,720,234 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246,797,619 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243,645,423 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 -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(35,643,007)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(29,560,401)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250,062,714 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248,808,341 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250,062,714 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248,808,341 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IIF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249,915,876 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247,821,046 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248,726,255 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245,880,738 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56,940,929 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IIF at September 30, 2026 by vintage:</w:t>
      </w:r>
    </w:p>
    <w:p>
      <w:pPr>
        <w:pStyle w:val="TextBody"/>
        <w:bidi w:val="0"/>
        <w:spacing w:lineRule="auto" w:line="288" w:before="0" w:after="0"/>
        <w:jc w:val="left"/>
        <w:rPr>
          <w:color w:val="000000"/>
        </w:rPr>
      </w:pPr>
      <w:r>
        <w:rPr>
          <w:color w:val="000000"/>
        </w:rPr>
        <w:t> </w:t>
      </w:r>
    </w:p>
    <w:tbl>
      <w:tblPr>
        <w:tblW w:w="5551"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211"/>
        <w:gridCol w:w="1186"/>
        <w:gridCol w:w="109"/>
        <w:gridCol w:w="109"/>
        <w:gridCol w:w="109"/>
        <w:gridCol w:w="109"/>
        <w:gridCol w:w="284"/>
        <w:gridCol w:w="287"/>
        <w:gridCol w:w="316"/>
      </w:tblGrid>
      <w:t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(through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36,059,431 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33,606,078 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250,062,714 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Average Net Premium 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average net premium rate is calculated by dividing net premiums earned for the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pStyle w:val="TextBody"/>
        <w:bidi w:val="0"/>
        <w:spacing w:before="0" w:after="0"/>
        <w:ind w:left="0" w:right="0" w:firstLine="720"/>
        <w:jc w:val="left"/>
      </w:pPr>
      <w:r/>
    </w:p>
    <w:tbl>
      <w:tblPr>
        <w:tblW w:w="9106"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93"/>
        <w:gridCol w:w="293"/>
        <w:gridCol w:w="557"/>
        <w:gridCol w:w="224"/>
        <w:gridCol w:w="224"/>
        <w:gridCol w:w="224"/>
        <w:gridCol w:w="293"/>
        <w:gridCol w:w="293"/>
        <w:gridCol w:w="557"/>
        <w:gridCol w:w="109"/>
        <w:gridCol w:w="109"/>
        <w:gridCol w:w="109"/>
        <w:gridCol w:w="293"/>
        <w:gridCol w:w="293"/>
        <w:gridCol w:w="530"/>
        <w:gridCol w:w="213"/>
        <w:gridCol w:w="213"/>
        <w:gridCol w:w="213"/>
        <w:gridCol w:w="293"/>
        <w:gridCol w:w="293"/>
        <w:gridCol w:w="618"/>
      </w:tblGrid>
      <w:t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premium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continued use of outward reinsurance along with changes to the level of future cancellations of non-refundable single premium policies and mix of IIF may impact our average net premium rate in future periods.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Persistency 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Risk-to-Capital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net risk in force for Essent Guaranty was $30.4 billion and its statutory capital was $3.7 billion, resulting in a risk-to-capital ratio of 8.2:1.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pStyle w:val="TextBody"/>
        <w:bidi w:val="0"/>
        <w:spacing w:before="0" w:after="0"/>
        <w:ind w:left="0" w:right="0" w:firstLine="720"/>
        <w:jc w:val="left"/>
      </w:p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Consolidated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indicated:</w:t>
      </w:r>
    </w:p>
    <w:p>
      <w:pPr>
        <w:pStyle w:val="TextBody"/>
        <w:bidi w:val="0"/>
        <w:spacing w:lineRule="auto" w:line="288" w:before="0" w:after="0"/>
        <w:ind w:left="0" w:right="0" w:firstLine="720"/>
        <w:jc w:val="left"/>
        <w:rPr>
          <w:color w:val="000000"/>
        </w:rPr>
      </w:pPr>
      <w:r>
        <w:rPr>
          <w:color w:val="000000"/>
        </w:rPr>
        <w:t> </w:t>
      </w:r>
    </w:p>
    <w:tbl>
      <w:tblPr>
        <w:tblW w:w="9778" w:type="dxa"/>
        <w:jc w:val="left"/>
        <w:tblInd w:w="0" w:type="dxa"/>
        <w:tblLayout w:type="fixed"/>
        <w:tblCellMar>
          <w:top w:w="28" w:type="dxa"/>
          <w:left w:w="28" w:type="dxa"/>
          <w:bottom w:w="28" w:type="dxa"/>
          <w:right w:w="28" w:type="dxa"/>
        </w:tblCellMar>
      </w:tblPr>
      <w:tblGrid>
        <w:gridCol w:w="1309"/>
        <w:gridCol w:w="1151"/>
        <w:gridCol w:w="1155"/>
        <w:gridCol w:w="109"/>
        <w:gridCol w:w="109"/>
        <w:gridCol w:w="109"/>
        <w:gridCol w:w="213"/>
        <w:gridCol w:w="852"/>
        <w:gridCol w:w="110"/>
        <w:gridCol w:w="110"/>
        <w:gridCol w:w="110"/>
        <w:gridCol w:w="110"/>
        <w:gridCol w:w="213"/>
        <w:gridCol w:w="852"/>
        <w:gridCol w:w="110"/>
        <w:gridCol w:w="109"/>
        <w:gridCol w:w="109"/>
        <w:gridCol w:w="109"/>
        <w:gridCol w:w="211"/>
        <w:gridCol w:w="976"/>
        <w:gridCol w:w="109"/>
        <w:gridCol w:w="109"/>
        <w:gridCol w:w="109"/>
        <w:gridCol w:w="109"/>
        <w:gridCol w:w="211"/>
        <w:gridCol w:w="841"/>
        <w:gridCol w:w="154"/>
      </w:tblGrid>
      <w:t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163,376</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164,215</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524,889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534,987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60" w:after="160"/>
        <w:jc w:val="left"/>
      </w:pPr>
      <w:r>
        <w:rPr>
          <w:rFonts w:ascii="Times New Roman;serif" w:hAnsi="Times New Roman;serif"/>
          <w:b w:val="false"/>
          <w:i/>
          <w:color w:val="000000"/>
          <w:sz w:val="20"/>
        </w:rPr>
        <w:t>Net Premiums Earned</w:t>
      </w:r>
      <w:r>
        <w:rPr>
          <w:color w:val="000000"/>
        </w:rPr>
        <w:t xml:space="preserve">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premiums earned for the three and nine months ended September 30, 2026 increased compared to the three and nine months ended September 30, 2025, primarily due to property and casualty reinsurance assumed beginning January 1, 2026. For more information, see Net Premiums Written and Earned under “Results of Operations: Mortgage Insurance”, Net Premiums Written and Earned under “Results of Operations: Reinsurance” and Net Premiums Earned under “Results of Operations: Corporate &amp; Other”.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net investment income was derived from the following sources for the periods indicated:</w:t>
      </w:r>
    </w:p>
    <w:tbl>
      <w:tblPr>
        <w:tblW w:w="8159"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net investment income for the three and nine months ended September 30, 2026 as compared to the same periods in 2025 was due to an increase in the pre-tax investment income yield and an increase in the average balance of cash and available-for-sale investments. The pre-tax investment income yield on cash and available-for-sale investments increased from 3.89% for the three months ended September 30, 2025 to 4.06% for the three months ended September 30, 2026, and from 3.83% for the nine months ended September 30, 2025 to 3.94% for the nine months ended September 30, 2026, primarily due to a general increase in investment yields due to rising interest rates. The average cash and available-for-sale investment portfolio balance was $6.4 billion for both the three and nine months ended September 30, 2026 and $6.3 billion for both the three and nine months ended September 30, 2025, respectively. See “— Liquidity and Capital Resources” for further details of our investment portfolio.</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from Other Invested Assets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 for the three months ended September 30, 2026 was $10.7 million as compared to $1.8 million for the three months ended September 30, 2025. Income from other invested assets for the nine months ended September 30, 2026 was $40.3 million as compared to $13.6 million for the nine months ended September 30, 2025. The increase in income from other invested assets for the three and nine months ended September 30, 2026 compared to the three and nine months ended September 30, 2025 was due to increased favorable fair value adjustments recorded.</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for the three months ended September 30, 2026 was $11.5 million as compared to $4.4 million for the three months ended September 30, 2025. Other income for the nine months ended September 30, 2026 was $23.2 million as compared to $17.3 million for the nine months ended September 30, 2025. Other income includes revenues associated with underwriting consulting services to third-party reinsurers, title settlement services and contract underwriting services, as well as changes in the fair value of our embedded derivatives associated with certain reinsurance contracts. The increase in other income for both the three and nine months ended September 30, 2026 compared to September 30, 2025 was primarily due to a decrease in our embedded derivative liability as a result of the termination of the Radnor Re 2021-1 transaction during the third quarter of 2026.</w:t>
      </w:r>
    </w:p>
    <w:p>
      <w:pPr>
        <w:pStyle w:val="TextBody"/>
        <w:bidi w:val="0"/>
        <w:spacing w:before="0" w:after="0"/>
        <w:ind w:left="0" w:right="0" w:firstLine="720"/>
        <w:jc w:val="left"/>
      </w:pPr>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Losses and Expenses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Provision for Losses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increased provision for losses for the three and nine months ended September 30, 2026 compared to the three and nine months ended September 30, 2025 was primarily due to property and casualty reinsurance assumed beginning January 1, 2026 and an increase in mortgage insurance loans in default as well as an increase in the average reserve per default due to aging of defaults remaining within the mortgage insurance portfolio. See “Results of Operations: Mortgage Insurance" and “Results of Operations: Reinsurance" for more information.</w:t>
      </w:r>
    </w:p>
    <w:p>
      <w:pPr>
        <w:pStyle w:val="TextBody"/>
        <w:bidi w:val="0"/>
        <w:spacing w:lineRule="auto" w:line="288" w:before="160" w:after="16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Underwriting and Operating Expenses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in underwriting and operating expenses for the three and nine months ended September 30, 2026 compared to the three and nine months ended September 30, 2025 was primarily due to an increase in operating expenses in our Reinsurance segment, partially offset by a decrease in operating expenses in our Mortgage Insurance segment. For more information, see “Results of Operations: Mortgage Insurance”, “Results of Operations: Reinsurance” and “Results of Operations: Corporate &amp; Other.”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left"/>
      </w:p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 periods ended September 30, 2026 and 2025, we incurred interest expense of $8.2 million and $8.3 million, respectively. For the nine month periods ended September 30, 2026 and 2025, we incurred interest expense of $24.5 million in both periods. The average amount of borrowings outstanding were $500 million at a weighted average interest rate of 6.25% for all periods presented.</w:t>
      </w:r>
    </w:p>
    <w:p>
      <w:pPr>
        <w:pStyle w:val="TextBody"/>
        <w:bidi w:val="0"/>
        <w:spacing w:before="0" w:after="0"/>
        <w:ind w:left="0" w:right="0" w:firstLine="450"/>
        <w:jc w:val="left"/>
      </w:pPr>
      <w:r/>
    </w:p>
    <w:p>
      <w:pPr>
        <w:pStyle w:val="TextBody"/>
        <w:bidi w:val="0"/>
        <w:spacing w:lineRule="auto" w:line="26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subsidiaries in the United States file a consolidated U.S. Federal income tax return. Our income tax expense was $35.7 million and $34.9 million for the three months ended September 30, 2026 and 2025, respectively and $111.2 million and $102.3 million for the nine months ended September 30, 2026 and 2025, respectively. The provision for income taxes for the nine months ended September 30, 2026 was calculated using an estimated annual effective tax rate of 17.4% compared to 16.2% for the nine months ended September 30, 2025. The increase in our estimated annual effective tax rate is primarily related to withholding taxes incurred on intercompany dividends by Essent US Holdings, Inc. to its parent company. For the nine months ended September 30, 2026, income tax expense includes $9.8 million of discrete tax expense associated with realized and unrealized gains recognized during the period partially offset by $1.1 million excess tax benefits associated with the vesting of common shares and common share units. For the nine months ended September 30, 2025, income tax expense includes $3.2 million of discrete tax expense associated with realized and unrealized gains recognized during the period partially offset by $0.8 million excess tax benefits associated with the vesting of common shares and common share units, as well as $0.8 million of favorable adjustments related to prior year tax returns.</w:t>
      </w:r>
    </w:p>
    <w:p>
      <w:pPr>
        <w:pStyle w:val="TextBody"/>
        <w:bidi w:val="0"/>
        <w:spacing w:before="0" w:after="1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Results of Operations: Mortgage Insurance</w:t>
      </w:r>
    </w:p>
    <w:tbl>
      <w:tblPr>
        <w:tblW w:w="10205" w:type="dxa"/>
        <w:jc w:val="left"/>
        <w:tblInd w:w="0" w:type="dxa"/>
        <w:tblLayout w:type="fixed"/>
        <w:tblCellMar>
          <w:top w:w="28" w:type="dxa"/>
          <w:left w:w="28" w:type="dxa"/>
          <w:bottom w:w="28" w:type="dxa"/>
          <w:right w:w="28" w:type="dxa"/>
        </w:tblCellMar>
      </w:tblPr>
      <w:tblGrid>
        <w:gridCol w:w="1345"/>
        <w:gridCol w:w="1136"/>
        <w:gridCol w:w="1137"/>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c>
          <w:tcPr>
            <w:tcW w:w="13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654,069 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794,333 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167,047 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195,911 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598,422 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ratio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Expense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(1) </w:t>
            </w:r>
            <w:r>
              <w:rPr>
                <w:rFonts w:ascii="Times New Roman;serif" w:hAnsi="Times New Roman;serif"/>
                <w:b w:val="false"/>
                <w:color w:val="000000"/>
                <w:sz w:val="16"/>
              </w:rPr>
              <w:t>Loss ratio is calculated by dividing the provision for losses and LAE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(2)</w:t>
            </w:r>
            <w:r>
              <w:rPr>
                <w:color w:val="000000"/>
              </w:rPr>
              <w:t xml:space="preserve"> </w:t>
            </w:r>
            <w:r>
              <w:rPr>
                <w:rFonts w:ascii="Times New Roman;serif" w:hAnsi="Times New Roman;serif"/>
                <w:b w:val="false"/>
                <w:color w:val="000000"/>
                <w:sz w:val="16"/>
              </w:rPr>
              <w:t>Expense ratio is calculated by dividing the sum of other underwriting and operating expenses and corporate expense allocations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Three and Nine Months Ended September 30, 2026 Compared to the Three and Nine Months Ended September 30,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2026, our Mortgage Insurance segment reported income before income taxes of $185.3 million, compared to income before income taxes of $184.4 million for the three months ended September 30,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For the nine months ended September 30, 2026, our Mortgage Insurance segment reported income before income tax expense of $588.0 million, compared to income before income tax expense of $598.4 million for the nine months ended September 30, 2025.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our operating results during the three months ended September 30, 2026 compared to the same period in 2025 was primarily due to an increase in income from other invested assets and other income and a decrease in other underwriting and operating expense, partially offset by an increase in the provision for losses and a decrease in net premiums earned.</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our operating results during the nine months ended September 30, 2026 compared to the same period in 2025 was primarily due to an increase in the provision for losses and a decrease in net premiums earned, partially offset by an increase in income from other invested assets and other income and a decrease in other underwriting and operating expenses.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Premiums Written and Earned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premiums earned in the three and nine months ended September 30, 2026 decreased compared to the three and nine months ended September 30, 2025. The average net premium rate decreased to 0.34% for the three and nine months ended September 30, 2026 compared to 0.35% for the three and nine months ended September 30, 2025, as a result of a decrease in the base premium rate. Our average IIF increased from $247.8 billion for the three months ended September 30, 2025 to $249.9 billion for the three months ended September 30, 2026 and from $245.9 billion for the nine months ended September 30, 2025 to $248.7 billion for the nine months ended September 30, 2026.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change in unearned premiums within our Mortgage Insurance segment for the following periods:</w:t>
      </w:r>
    </w:p>
    <w:tbl>
      <w:tblPr>
        <w:tblW w:w="10205" w:type="dxa"/>
        <w:jc w:val="left"/>
        <w:tblInd w:w="0" w:type="dxa"/>
        <w:tblLayout w:type="fixed"/>
        <w:tblCellMar>
          <w:top w:w="28" w:type="dxa"/>
          <w:left w:w="28" w:type="dxa"/>
          <w:bottom w:w="28" w:type="dxa"/>
          <w:right w:w="28" w:type="dxa"/>
        </w:tblCellMar>
      </w:tblPr>
      <w:tblGrid>
        <w:gridCol w:w="1366"/>
        <w:gridCol w:w="1202"/>
        <w:gridCol w:w="1207"/>
        <w:gridCol w:w="109"/>
        <w:gridCol w:w="109"/>
        <w:gridCol w:w="109"/>
        <w:gridCol w:w="427"/>
        <w:gridCol w:w="287"/>
        <w:gridCol w:w="277"/>
        <w:gridCol w:w="277"/>
        <w:gridCol w:w="277"/>
        <w:gridCol w:w="277"/>
        <w:gridCol w:w="427"/>
        <w:gridCol w:w="287"/>
        <w:gridCol w:w="277"/>
        <w:gridCol w:w="109"/>
        <w:gridCol w:w="109"/>
        <w:gridCol w:w="109"/>
        <w:gridCol w:w="500"/>
        <w:gridCol w:w="273"/>
        <w:gridCol w:w="261"/>
        <w:gridCol w:w="261"/>
        <w:gridCol w:w="261"/>
        <w:gridCol w:w="261"/>
        <w:gridCol w:w="500"/>
        <w:gridCol w:w="273"/>
        <w:gridCol w:w="373"/>
      </w:tblGrid>
      <w:tr>
        <w:tc>
          <w:tcPr>
            <w:tcW w:w="136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Unearned premium recognized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28,847 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75" w:type="dxa"/>
            <w:gridSpan w:val="3"/>
            <w:tcBorders/>
            <w:shd w:fill="FFFFFF" w:val="clear"/>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Net premiums written on single premium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for Losses and Loss Adjustment Expenses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2026 we recorded a provision for losses of $51.7 million compared to a provision of $44.2 million for the three months ended September 30, 2025. In the nine months ended September 30, 2026 we recorded a provision for losses of $118.7 million compared to a provision of $90.2 million for the nine months ended September 30, 2025. The increase in the provision for losses in the three and nine months ended September 30, 2026 compared to the same periods in 2025 was primarily the result of an increase in insured loans in default, as well as an increase in our average reserve per default due to aging of defaults remaining within the mortgage insurance portfolio and an increase in the average RIF per default.</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insured loans in default for our mortgage insurance portfolio for the periods indicated: </w:t>
      </w:r>
    </w:p>
    <w:tbl>
      <w:tblPr>
        <w:tblW w:w="9620" w:type="dxa"/>
        <w:jc w:val="left"/>
        <w:tblInd w:w="0" w:type="dxa"/>
        <w:tblLayout w:type="fixed"/>
        <w:tblCellMar>
          <w:top w:w="28" w:type="dxa"/>
          <w:left w:w="28" w:type="dxa"/>
          <w:bottom w:w="28" w:type="dxa"/>
          <w:right w:w="28" w:type="dxa"/>
        </w:tblCellMar>
      </w:tblPr>
      <w:tblGrid>
        <w:gridCol w:w="1005"/>
        <w:gridCol w:w="882"/>
        <w:gridCol w:w="887"/>
        <w:gridCol w:w="109"/>
        <w:gridCol w:w="109"/>
        <w:gridCol w:w="109"/>
        <w:gridCol w:w="500"/>
        <w:gridCol w:w="298"/>
        <w:gridCol w:w="298"/>
        <w:gridCol w:w="298"/>
        <w:gridCol w:w="298"/>
        <w:gridCol w:w="298"/>
        <w:gridCol w:w="500"/>
        <w:gridCol w:w="298"/>
        <w:gridCol w:w="298"/>
        <w:gridCol w:w="109"/>
        <w:gridCol w:w="109"/>
        <w:gridCol w:w="109"/>
        <w:gridCol w:w="510"/>
        <w:gridCol w:w="285"/>
        <w:gridCol w:w="280"/>
        <w:gridCol w:w="280"/>
        <w:gridCol w:w="280"/>
        <w:gridCol w:w="280"/>
        <w:gridCol w:w="510"/>
        <w:gridCol w:w="285"/>
        <w:gridCol w:w="396"/>
      </w:tblGrid>
      <w:t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rescissions and denials,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18,583 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18,583 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additional information about our loans in default as of the dates indicated for our mortgage insurance portfolio: </w:t>
      </w:r>
    </w:p>
    <w:tbl>
      <w:tblPr>
        <w:tblW w:w="7785" w:type="dxa"/>
        <w:jc w:val="left"/>
        <w:tblInd w:w="0" w:type="dxa"/>
        <w:tblLayout w:type="fixed"/>
        <w:tblCellMar>
          <w:top w:w="28" w:type="dxa"/>
          <w:left w:w="28" w:type="dxa"/>
          <w:bottom w:w="28" w:type="dxa"/>
          <w:right w:w="28" w:type="dxa"/>
        </w:tblCellMar>
      </w:tblPr>
      <w:tblGrid>
        <w:gridCol w:w="1617"/>
        <w:gridCol w:w="1421"/>
        <w:gridCol w:w="1432"/>
        <w:gridCol w:w="109"/>
        <w:gridCol w:w="109"/>
        <w:gridCol w:w="109"/>
        <w:gridCol w:w="211"/>
        <w:gridCol w:w="826"/>
        <w:gridCol w:w="271"/>
        <w:gridCol w:w="109"/>
        <w:gridCol w:w="109"/>
        <w:gridCol w:w="109"/>
        <w:gridCol w:w="211"/>
        <w:gridCol w:w="826"/>
        <w:gridCol w:w="316"/>
      </w:tblGrid>
      <w:t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Case reserves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reserves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case reserve per default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reserve per default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received included in 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ind w:left="0" w:right="0" w:firstLine="720"/>
        <w:jc w:val="left"/>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mortgage insurance reserve balances for losses and LAE:</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215"/>
        <w:gridCol w:w="845"/>
        <w:gridCol w:w="110"/>
        <w:gridCol w:w="110"/>
        <w:gridCol w:w="110"/>
        <w:gridCol w:w="110"/>
        <w:gridCol w:w="215"/>
        <w:gridCol w:w="845"/>
        <w:gridCol w:w="110"/>
        <w:gridCol w:w="109"/>
        <w:gridCol w:w="109"/>
        <w:gridCol w:w="109"/>
        <w:gridCol w:w="211"/>
        <w:gridCol w:w="826"/>
        <w:gridCol w:w="109"/>
        <w:gridCol w:w="109"/>
        <w:gridCol w:w="109"/>
        <w:gridCol w:w="109"/>
        <w:gridCol w:w="211"/>
        <w:gridCol w:w="826"/>
        <w:gridCol w:w="162"/>
      </w:tblGrid>
      <w:t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losses and LAE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losses and LAE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payments for losses and LAE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 payments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511,020 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detail of reserves and defaulted RIF by the number of missed payments and pending claims for our mortgage insurance portfolio:</w:t>
      </w:r>
    </w:p>
    <w:tbl>
      <w:tblPr>
        <w:tblW w:w="10205" w:type="dxa"/>
        <w:jc w:val="left"/>
        <w:tblInd w:w="0" w:type="dxa"/>
        <w:tblLayout w:type="fixed"/>
        <w:tblCellMar>
          <w:top w:w="28" w:type="dxa"/>
          <w:left w:w="28" w:type="dxa"/>
          <w:bottom w:w="28" w:type="dxa"/>
          <w:right w:w="28" w:type="dxa"/>
        </w:tblCellMar>
      </w:tblPr>
      <w:tblGrid>
        <w:gridCol w:w="507"/>
        <w:gridCol w:w="446"/>
        <w:gridCol w:w="448"/>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976"/>
        <w:gridCol w:w="109"/>
        <w:gridCol w:w="109"/>
        <w:gridCol w:w="109"/>
        <w:gridCol w:w="109"/>
        <w:gridCol w:w="338"/>
        <w:gridCol w:w="338"/>
        <w:gridCol w:w="485"/>
      </w:tblGrid>
      <w:t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r>
      <w:t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Reserves as a</w:t>
              <w:br/>
              <w:t>Percentage of</w:t>
              <w:br/>
              <w:t>Defaulted RIF</w:t>
            </w:r>
          </w:p>
        </w:tc>
      </w:tr>
      <w:t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 to eleven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Twelve or more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Pending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reserves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07"/>
        <w:gridCol w:w="446"/>
        <w:gridCol w:w="448"/>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976"/>
        <w:gridCol w:w="109"/>
        <w:gridCol w:w="109"/>
        <w:gridCol w:w="109"/>
        <w:gridCol w:w="109"/>
        <w:gridCol w:w="338"/>
        <w:gridCol w:w="338"/>
        <w:gridCol w:w="485"/>
      </w:tblGrid>
      <w:t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Reserves as a</w:t>
              <w:br/>
              <w:t>Percentage of</w:t>
              <w:br/>
              <w:t>Defaulted RIF</w:t>
            </w:r>
          </w:p>
        </w:tc>
      </w:tr>
      <w:t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 to eleven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Twelve or more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Pending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reserves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Mortgage Insurance provision for losses and LAE was a provision of $51.7 million, comprised of $81.3 million of current year losses partially offset by $29.6 million of favorable prior years’ loss development. During the three months ended September 30, 2025, the provision for losses and LAE was $44.2 million, comprised of $62.3 million of current year losses offset by $18.2 million of favorable prior years’ loss development.</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Mortgage Insurance provision for losses and LAE was a provision of $118.7 million, comprised of $202.5 million of current year losses partially offset by $83.8 million of favorable prior years’ loss development. During the nine months ended September 30, 2025, the provision for losses and LAE was $90.2 million, comprised of $156.4 million of current year losses offset by $66.2 million of favorable prior years’ loss development.</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periods, the prior years’ loss development was the result of a re-estimation of amounts ultimately to be paid on prior year defaults in the default inventory, including the impact of previously identified defaults that cured.</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additional information about our claims paid and claim severity for our mortgage insurance portfolio for the periods indicated: </w:t>
      </w:r>
    </w:p>
    <w:tbl>
      <w:tblPr>
        <w:tblW w:w="8130"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 severity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are the components of other underwriting and operating expenses for the Mortgage Insurance segment for the periods indicated:</w:t>
      </w:r>
    </w:p>
    <w:tbl>
      <w:tblPr>
        <w:tblW w:w="11079" w:type="dxa"/>
        <w:jc w:val="left"/>
        <w:tblInd w:w="0" w:type="dxa"/>
        <w:tblLayout w:type="fixed"/>
        <w:tblCellMar>
          <w:top w:w="28" w:type="dxa"/>
          <w:left w:w="28" w:type="dxa"/>
          <w:bottom w:w="28" w:type="dxa"/>
          <w:right w:w="28" w:type="dxa"/>
        </w:tblCellMar>
      </w:tblPr>
      <w:tblGrid>
        <w:gridCol w:w="472"/>
        <w:gridCol w:w="415"/>
        <w:gridCol w:w="419"/>
        <w:gridCol w:w="109"/>
        <w:gridCol w:w="109"/>
        <w:gridCol w:w="109"/>
        <w:gridCol w:w="211"/>
        <w:gridCol w:w="721"/>
        <w:gridCol w:w="109"/>
        <w:gridCol w:w="109"/>
        <w:gridCol w:w="109"/>
        <w:gridCol w:w="109"/>
        <w:gridCol w:w="239"/>
        <w:gridCol w:w="227"/>
        <w:gridCol w:w="271"/>
        <w:gridCol w:w="109"/>
        <w:gridCol w:w="109"/>
        <w:gridCol w:w="109"/>
        <w:gridCol w:w="211"/>
        <w:gridCol w:w="721"/>
        <w:gridCol w:w="109"/>
        <w:gridCol w:w="109"/>
        <w:gridCol w:w="109"/>
        <w:gridCol w:w="109"/>
        <w:gridCol w:w="239"/>
        <w:gridCol w:w="227"/>
        <w:gridCol w:w="271"/>
        <w:gridCol w:w="109"/>
        <w:gridCol w:w="109"/>
        <w:gridCol w:w="109"/>
        <w:gridCol w:w="211"/>
        <w:gridCol w:w="721"/>
        <w:gridCol w:w="109"/>
        <w:gridCol w:w="109"/>
        <w:gridCol w:w="109"/>
        <w:gridCol w:w="109"/>
        <w:gridCol w:w="239"/>
        <w:gridCol w:w="227"/>
        <w:gridCol w:w="271"/>
        <w:gridCol w:w="109"/>
        <w:gridCol w:w="109"/>
        <w:gridCol w:w="109"/>
        <w:gridCol w:w="211"/>
        <w:gridCol w:w="721"/>
        <w:gridCol w:w="109"/>
        <w:gridCol w:w="109"/>
        <w:gridCol w:w="109"/>
        <w:gridCol w:w="109"/>
        <w:gridCol w:w="239"/>
        <w:gridCol w:w="227"/>
        <w:gridCol w:w="316"/>
      </w:tblGrid>
      <w:t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Average number of employees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factors contributing to the change in other underwriting and operating expenses are:</w:t>
      </w:r>
    </w:p>
    <w:p>
      <w:pPr>
        <w:pStyle w:val="TextBody"/>
        <w:bidi w:val="0"/>
        <w:spacing w:lineRule="auto" w:line="268" w:before="0" w:after="0"/>
        <w:ind w:left="0" w:right="0" w:hanging="270"/>
        <w:jc w:val="left"/>
      </w:pPr>
      <w:r>
        <w:rPr>
          <w:color w:val="000000"/>
        </w:rPr>
        <w:t>•</w:t>
      </w:r>
      <w:r>
        <w:rPr>
          <w:rFonts w:ascii="Times New Roman;serif" w:hAnsi="Times New Roman;serif"/>
          <w:b w:val="false"/>
          <w:color w:val="000000"/>
          <w:sz w:val="20"/>
        </w:rPr>
        <w:t>Compensation and benefits decreased during the three and nine months ended September 30, 2026 compared to the same periods in 2025 primarily due to a decrease in average number of employees during the current periods. Compensation and benefits includes salaries, wages and bonus, stock compensation expense, benefits and payroll taxes. The first quarter of each year typically has higher compensation and benefits expense than the subsequent quarters due to payroll taxes on annual bonus payouts and vesting of nonvested stock and stock units, as well as higher stock-based compensation expense.</w:t>
      </w:r>
    </w:p>
    <w:p>
      <w:pPr>
        <w:pStyle w:val="TextBody"/>
        <w:bidi w:val="0"/>
        <w:spacing w:lineRule="auto" w:line="268" w:before="160" w:after="160"/>
        <w:ind w:left="0" w:right="0" w:hanging="270"/>
        <w:jc w:val="left"/>
      </w:pPr>
      <w:r>
        <w:rPr>
          <w:color w:val="000000"/>
        </w:rPr>
        <w:t>•</w:t>
      </w:r>
      <w:r>
        <w:rPr>
          <w:rFonts w:ascii="Times New Roman;serif" w:hAnsi="Times New Roman;serif"/>
          <w:b w:val="false"/>
          <w:color w:val="000000"/>
          <w:sz w:val="20"/>
        </w:rPr>
        <w:t xml:space="preserve">Acquisition costs are net of ceding commissions earned on outward reinsurance. The change in acquisition costs during the three and nine month periods ended September 30, 2026 compared to the same periods in 2025 resulted from increased ceding commission earned due to increased outward reinsurance of insurance in force under our outstanding quota share arrangements. </w:t>
      </w:r>
    </w:p>
    <w:p>
      <w:pPr>
        <w:pStyle w:val="TextBody"/>
        <w:bidi w:val="0"/>
        <w:spacing w:lineRule="auto" w:line="288" w:before="160" w:after="160"/>
        <w:ind w:left="0" w:right="0" w:hanging="270"/>
        <w:jc w:val="left"/>
      </w:pPr>
      <w:r>
        <w:rPr>
          <w:color w:val="000000"/>
        </w:rPr>
        <w:t>•</w:t>
      </w:r>
      <w:r>
        <w:rPr>
          <w:rFonts w:ascii="Times New Roman;serif" w:hAnsi="Times New Roman;serif"/>
          <w:b w:val="false"/>
          <w:color w:val="000000"/>
          <w:sz w:val="20"/>
        </w:rPr>
        <w:t xml:space="preserve">Other expenses include professional fees, travel, marketing, hardware, software, rent, depreciation and amortization and other facilities expenses. The increase in other expenses for the three and nine months ended September 30, 2026 compared to the same periods in 2025 was primarily attributable to increases in software costs and professional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p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Results of Operations: Reinsurance</w:t>
      </w:r>
    </w:p>
    <w:tbl>
      <w:tblPr>
        <w:tblW w:w="10205" w:type="dxa"/>
        <w:jc w:val="left"/>
        <w:tblInd w:w="0" w:type="dxa"/>
        <w:tblLayout w:type="fixed"/>
        <w:tblCellMar>
          <w:top w:w="28" w:type="dxa"/>
          <w:left w:w="28" w:type="dxa"/>
          <w:bottom w:w="28" w:type="dxa"/>
          <w:right w:w="28" w:type="dxa"/>
        </w:tblCellMar>
      </w:tblPr>
      <w:tblGrid>
        <w:gridCol w:w="1559"/>
        <w:gridCol w:w="1185"/>
        <w:gridCol w:w="1189"/>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8"/>
      </w:tblGrid>
      <w:tr>
        <w:tc>
          <w:tcPr>
            <w:tcW w:w="155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933" w:type="dxa"/>
            <w:gridSpan w:val="3"/>
            <w:tcBorders/>
            <w:tcMar>
              <w:top w:w="0" w:type="dxa"/>
              <w:left w:w="0" w:type="dxa"/>
              <w:bottom w:w="0" w:type="dxa"/>
              <w:right w:w="0" w:type="dxa"/>
            </w:tcMar>
            <w:vAlign w:val="center"/>
          </w:tcPr>
          <w:p>
            <w:pPr>
              <w:pStyle w:val="TableContents"/>
              <w:bidi w:val="0"/>
              <w:spacing w:before="0" w:after="0"/>
              <w:jc w:val="left"/>
            </w:pPr>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ratio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Expense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4"/>
              </w:rPr>
              <w:t xml:space="preserve">(1) </w:t>
            </w:r>
            <w:r>
              <w:rPr>
                <w:rFonts w:ascii="Times New Roman;serif" w:hAnsi="Times New Roman;serif"/>
                <w:b w:val="false"/>
                <w:color w:val="000000"/>
                <w:sz w:val="14"/>
              </w:rPr>
              <w:t>Loss ratio is calculated by dividing the provision for losses and LAE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Expense ratio is calculated by dividing the sum of other underwriting and operating expenses and corporate expense allocations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color w:val="000000"/>
          <w:sz w:val="20"/>
        </w:rPr>
      </w:pPr>
      <w:r>
        <w:rPr>
          <w:rFonts w:ascii="Times New Roman;serif" w:hAnsi="Times New Roman;serif"/>
          <w:b/>
          <w:color w:val="000000"/>
          <w:sz w:val="20"/>
        </w:rPr>
        <w:t xml:space="preserve">Three and Nine Months Ended September 30, 2026 Compared to the Three and Nine Months Ended September 30, 2025 </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Net Premiums Written and Earned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Reinsurance net premiums earned increased during the three and nine month periods ended September 30, 2026 compared to the same periods in 2025 primarily due to premiums earned on the reinsurance of certain property and casualty risks, which Essent Re began writing effective January 1, 2026. Premiums earned also include premiums from Essent Re's participation in the GSE-sponsored mortgage risk share transactions.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Reinsurance segment’s net premiums written between mortgage and non-mortgage business:</w:t>
      </w:r>
    </w:p>
    <w:tbl>
      <w:tblPr>
        <w:tblW w:w="11169" w:type="dxa"/>
        <w:jc w:val="left"/>
        <w:tblInd w:w="0" w:type="dxa"/>
        <w:tblLayout w:type="fixed"/>
        <w:tblCellMar>
          <w:top w:w="28" w:type="dxa"/>
          <w:left w:w="28" w:type="dxa"/>
          <w:bottom w:w="28" w:type="dxa"/>
          <w:right w:w="28" w:type="dxa"/>
        </w:tblCellMar>
      </w:tblPr>
      <w:tblGrid>
        <w:gridCol w:w="467"/>
        <w:gridCol w:w="410"/>
        <w:gridCol w:w="414"/>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316"/>
      </w:tblGrid>
      <w:t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Reinsurance segment’s net premiums earned between mortgage and non-mortgage business:</w:t>
      </w:r>
    </w:p>
    <w:tbl>
      <w:tblPr>
        <w:tblW w:w="11387" w:type="dxa"/>
        <w:jc w:val="left"/>
        <w:tblInd w:w="0" w:type="dxa"/>
        <w:tblLayout w:type="fixed"/>
        <w:tblCellMar>
          <w:top w:w="28" w:type="dxa"/>
          <w:left w:w="28" w:type="dxa"/>
          <w:bottom w:w="28" w:type="dxa"/>
          <w:right w:w="28" w:type="dxa"/>
        </w:tblCellMar>
      </w:tblPr>
      <w:tblGrid>
        <w:gridCol w:w="467"/>
        <w:gridCol w:w="410"/>
        <w:gridCol w:w="414"/>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54"/>
      </w:tblGrid>
      <w:t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63" w:type="dxa"/>
            <w:gridSpan w:val="2"/>
            <w:tcBorders/>
          </w:tcPr>
          <w:p>
            <w:pPr>
              <w:pStyle w:val="TableContents"/>
              <w:bidi w:val="0"/>
              <w:spacing w:before="0" w:after="283"/>
              <w:jc w:val="left"/>
              <w:rPr>
                <w:sz w:val="4"/>
                <w:szCs w:val="4"/>
              </w:rPr>
            </w:pPr>
            <w:r>
              <w:rPr>
                <w:sz w:val="4"/>
                <w:szCs w:val="4"/>
              </w:rPr>
            </w:r>
          </w:p>
        </w:tc>
      </w:tr>
      <w:t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average mortgage reinsurance risk in force and the average premium rates for the periods indicated:</w:t>
      </w:r>
    </w:p>
    <w:tbl>
      <w:tblPr>
        <w:tblW w:w="8025" w:type="dxa"/>
        <w:jc w:val="left"/>
        <w:tblInd w:w="0" w:type="dxa"/>
        <w:tblLayout w:type="fixed"/>
        <w:tblCellMar>
          <w:top w:w="28" w:type="dxa"/>
          <w:left w:w="28" w:type="dxa"/>
          <w:bottom w:w="28" w:type="dxa"/>
          <w:right w:w="28" w:type="dxa"/>
        </w:tblCellMar>
      </w:tblPr>
      <w:tblGrid>
        <w:gridCol w:w="1437"/>
        <w:gridCol w:w="1266"/>
        <w:gridCol w:w="1271"/>
        <w:gridCol w:w="109"/>
        <w:gridCol w:w="109"/>
        <w:gridCol w:w="109"/>
        <w:gridCol w:w="211"/>
        <w:gridCol w:w="976"/>
        <w:gridCol w:w="271"/>
        <w:gridCol w:w="109"/>
        <w:gridCol w:w="109"/>
        <w:gridCol w:w="109"/>
        <w:gridCol w:w="211"/>
        <w:gridCol w:w="976"/>
        <w:gridCol w:w="271"/>
        <w:gridCol w:w="109"/>
        <w:gridCol w:w="109"/>
        <w:gridCol w:w="109"/>
        <w:gridCol w:w="154"/>
      </w:tblGrid>
      <w:t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reinsured mortgage risk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2,237,495 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premium rate on mortgage risk in 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in the Reinsurance segment relates solely to revenues earned associated with underwriting consulting services to third-party reinsurers.</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Losses and Loss Adjustment Expenses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2026 we recorded a provision for losses of $31.0 million and $59.7 million, respectively, compared to a provision of $65 thousand and $105 thousand for the three and nine months ended September 30, 2025, respectively. The increase in provision for losses and loss adjustment expenses for the three and nine month periods ended September 30, 2026 primarily relates to loss provisions recorded for property and casualty premiums earned during 2026. Property and casualty ultimate losses are estimated on premiums earned and the average loss ratios for property and casualty reinsurance are inherently higher than loss ratios on the reinsurance of GSE-sponsored mortgage risk share transactions. Reinsurance reserves as of September 30, 2026 and 2025 were $57.5 million and $153 thousand,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are the components of other underwriting and operating expenses for Reinsurance segment for the periods indicated:</w:t>
      </w:r>
    </w:p>
    <w:tbl>
      <w:tblPr>
        <w:tblW w:w="10869" w:type="dxa"/>
        <w:jc w:val="left"/>
        <w:tblInd w:w="0" w:type="dxa"/>
        <w:tblLayout w:type="fixed"/>
        <w:tblCellMar>
          <w:top w:w="28" w:type="dxa"/>
          <w:left w:w="28" w:type="dxa"/>
          <w:bottom w:w="28" w:type="dxa"/>
          <w:right w:w="28" w:type="dxa"/>
        </w:tblCellMar>
      </w:tblPr>
      <w:tblGrid>
        <w:gridCol w:w="472"/>
        <w:gridCol w:w="415"/>
        <w:gridCol w:w="419"/>
        <w:gridCol w:w="109"/>
        <w:gridCol w:w="109"/>
        <w:gridCol w:w="109"/>
        <w:gridCol w:w="211"/>
        <w:gridCol w:w="721"/>
        <w:gridCol w:w="109"/>
        <w:gridCol w:w="109"/>
        <w:gridCol w:w="109"/>
        <w:gridCol w:w="109"/>
        <w:gridCol w:w="233"/>
        <w:gridCol w:w="233"/>
        <w:gridCol w:w="271"/>
        <w:gridCol w:w="109"/>
        <w:gridCol w:w="109"/>
        <w:gridCol w:w="109"/>
        <w:gridCol w:w="211"/>
        <w:gridCol w:w="616"/>
        <w:gridCol w:w="109"/>
        <w:gridCol w:w="109"/>
        <w:gridCol w:w="109"/>
        <w:gridCol w:w="109"/>
        <w:gridCol w:w="233"/>
        <w:gridCol w:w="233"/>
        <w:gridCol w:w="271"/>
        <w:gridCol w:w="109"/>
        <w:gridCol w:w="109"/>
        <w:gridCol w:w="109"/>
        <w:gridCol w:w="211"/>
        <w:gridCol w:w="721"/>
        <w:gridCol w:w="109"/>
        <w:gridCol w:w="109"/>
        <w:gridCol w:w="109"/>
        <w:gridCol w:w="109"/>
        <w:gridCol w:w="233"/>
        <w:gridCol w:w="233"/>
        <w:gridCol w:w="271"/>
        <w:gridCol w:w="109"/>
        <w:gridCol w:w="109"/>
        <w:gridCol w:w="109"/>
        <w:gridCol w:w="211"/>
        <w:gridCol w:w="616"/>
        <w:gridCol w:w="109"/>
        <w:gridCol w:w="109"/>
        <w:gridCol w:w="109"/>
        <w:gridCol w:w="109"/>
        <w:gridCol w:w="233"/>
        <w:gridCol w:w="233"/>
        <w:gridCol w:w="316"/>
      </w:tblGrid>
      <w:t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number of employees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factors contributing to the change in other underwriting and operating expenses are:</w:t>
      </w:r>
    </w:p>
    <w:p>
      <w:pPr>
        <w:pStyle w:val="TextBody"/>
        <w:bidi w:val="0"/>
        <w:spacing w:before="0" w:after="0"/>
        <w:ind w:left="0" w:right="0" w:firstLine="495"/>
        <w:jc w:val="left"/>
      </w:pPr>
      <w:r/>
    </w:p>
    <w:p>
      <w:pPr>
        <w:pStyle w:val="TextBody"/>
        <w:bidi w:val="0"/>
        <w:spacing w:lineRule="auto" w:line="288" w:before="0" w:after="0"/>
        <w:ind w:left="0" w:right="0" w:hanging="270"/>
        <w:jc w:val="left"/>
      </w:pPr>
      <w:r>
        <w:rPr>
          <w:color w:val="000000"/>
        </w:rPr>
        <w:t>•</w:t>
      </w:r>
      <w:r>
        <w:rPr>
          <w:rFonts w:ascii="Times New Roman;serif" w:hAnsi="Times New Roman;serif"/>
          <w:b w:val="false"/>
          <w:color w:val="000000"/>
          <w:sz w:val="20"/>
        </w:rPr>
        <w:t>Compensation and benefits increased for the three and nine month periods ended September 30, 2026 compared to the same periods in 2025 primarily due to an increase in headcount and incentive compensation. Compensation and benefits includes salaries, wages and bonus, stock compensation expense, benefits and payroll taxes.</w:t>
      </w:r>
    </w:p>
    <w:p>
      <w:pPr>
        <w:pStyle w:val="TextBody"/>
        <w:bidi w:val="0"/>
        <w:spacing w:before="0" w:after="0"/>
        <w:ind w:left="0" w:right="0" w:firstLine="90"/>
        <w:jc w:val="left"/>
      </w:pPr>
      <w:r/>
    </w:p>
    <w:p>
      <w:pPr>
        <w:pStyle w:val="TextBody"/>
        <w:bidi w:val="0"/>
        <w:spacing w:lineRule="auto" w:line="288" w:before="0" w:after="0"/>
        <w:ind w:left="0" w:right="0" w:hanging="270"/>
        <w:jc w:val="left"/>
      </w:pPr>
      <w:r>
        <w:rPr>
          <w:color w:val="000000"/>
        </w:rPr>
        <w:t>•</w:t>
      </w:r>
      <w:r>
        <w:rPr>
          <w:rFonts w:ascii="Times New Roman;serif" w:hAnsi="Times New Roman;serif"/>
          <w:b w:val="false"/>
          <w:color w:val="000000"/>
          <w:sz w:val="20"/>
        </w:rPr>
        <w:t>Premium and other taxes within the Reinsurance segment relate to federal excise taxes paid on certain mortgage reinsurance premiums.</w:t>
      </w:r>
    </w:p>
    <w:p>
      <w:pPr>
        <w:pStyle w:val="TextBody"/>
        <w:bidi w:val="0"/>
        <w:spacing w:before="0" w:after="0"/>
        <w:ind w:left="0" w:right="0" w:firstLine="90"/>
        <w:jc w:val="left"/>
      </w:pPr>
      <w:r/>
    </w:p>
    <w:p>
      <w:pPr>
        <w:pStyle w:val="TextBody"/>
        <w:bidi w:val="0"/>
        <w:spacing w:lineRule="auto" w:line="288" w:before="0" w:after="0"/>
        <w:ind w:left="0" w:right="0" w:hanging="270"/>
        <w:jc w:val="left"/>
      </w:pPr>
      <w:r>
        <w:rPr>
          <w:color w:val="000000"/>
        </w:rPr>
        <w:t>•</w:t>
      </w:r>
      <w:r>
        <w:rPr>
          <w:rFonts w:ascii="Times New Roman;serif" w:hAnsi="Times New Roman;serif"/>
          <w:b w:val="false"/>
          <w:color w:val="000000"/>
          <w:sz w:val="20"/>
        </w:rPr>
        <w:t xml:space="preserve">The increase in acquisition costs for the three and nine month periods ended September 30, 2026 compared to the same periods in 2025 is primarily due to ceding and brokerage commissions and acquisition costs incurred on property and casualty risks that Essent Re began reinsuring effective January 1, 2026. </w:t>
      </w:r>
    </w:p>
    <w:p>
      <w:pPr>
        <w:pStyle w:val="TextBody"/>
        <w:bidi w:val="0"/>
        <w:spacing w:before="0" w:after="0"/>
        <w:ind w:left="0" w:right="0" w:firstLine="90"/>
        <w:jc w:val="left"/>
      </w:pPr>
      <w:r/>
    </w:p>
    <w:p>
      <w:pPr>
        <w:pStyle w:val="TextBody"/>
        <w:bidi w:val="0"/>
        <w:spacing w:lineRule="auto" w:line="288" w:before="0" w:after="0"/>
        <w:ind w:left="0" w:right="0" w:hanging="270"/>
        <w:jc w:val="left"/>
      </w:pPr>
      <w:r>
        <w:rPr>
          <w:color w:val="000000"/>
        </w:rPr>
        <w:t>•</w:t>
      </w:r>
      <w:r>
        <w:rPr>
          <w:rFonts w:ascii="Times New Roman;serif" w:hAnsi="Times New Roman;serif"/>
          <w:b w:val="false"/>
          <w:color w:val="000000"/>
          <w:sz w:val="20"/>
        </w:rPr>
        <w:t xml:space="preserve">Other expenses increased for the three and nine month periods ended September 30, 2026 compared to the same periods in 2025 as a result of increased professional fees incurred with the reinsurance of property and casualty risks beginning in the first quarter of 2026. Other expenses include professional fees, travel, marketing, hardware, software, rent, depreciation and amortization and other facilities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Results of Operations: Corporate &amp; Other </w:t>
      </w:r>
    </w:p>
    <w:p>
      <w:pPr>
        <w:pStyle w:val="TextBody"/>
        <w:bidi w:val="0"/>
        <w:spacing w:before="0" w:after="0"/>
        <w:jc w:val="left"/>
      </w:pPr>
      <w:r/>
    </w:p>
    <w:tbl>
      <w:tblPr>
        <w:tblW w:w="10110" w:type="dxa"/>
        <w:jc w:val="left"/>
        <w:tblInd w:w="0" w:type="dxa"/>
        <w:tblLayout w:type="fixed"/>
        <w:tblCellMar>
          <w:top w:w="28" w:type="dxa"/>
          <w:left w:w="28" w:type="dxa"/>
          <w:bottom w:w="28" w:type="dxa"/>
          <w:right w:w="28" w:type="dxa"/>
        </w:tblCellMar>
      </w:tblPr>
      <w:tblGrid>
        <w:gridCol w:w="1340"/>
        <w:gridCol w:w="1182"/>
        <w:gridCol w:w="1183"/>
        <w:gridCol w:w="109"/>
        <w:gridCol w:w="109"/>
        <w:gridCol w:w="109"/>
        <w:gridCol w:w="235"/>
        <w:gridCol w:w="803"/>
        <w:gridCol w:w="121"/>
        <w:gridCol w:w="121"/>
        <w:gridCol w:w="121"/>
        <w:gridCol w:w="121"/>
        <w:gridCol w:w="235"/>
        <w:gridCol w:w="803"/>
        <w:gridCol w:w="121"/>
        <w:gridCol w:w="109"/>
        <w:gridCol w:w="109"/>
        <w:gridCol w:w="109"/>
        <w:gridCol w:w="220"/>
        <w:gridCol w:w="753"/>
        <w:gridCol w:w="113"/>
        <w:gridCol w:w="113"/>
        <w:gridCol w:w="113"/>
        <w:gridCol w:w="113"/>
        <w:gridCol w:w="220"/>
        <w:gridCol w:w="831"/>
        <w:gridCol w:w="113"/>
        <w:gridCol w:w="109"/>
        <w:gridCol w:w="109"/>
        <w:gridCol w:w="109"/>
        <w:gridCol w:w="154"/>
      </w:tblGrid>
      <w:tr>
        <w:tc>
          <w:tcPr>
            <w:tcW w:w="134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expenses before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expenses after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Three and Nine Months Ended September 30, 2026 Compared to the Three and Nine Months Ended September 30, 2025 </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Net Premiums Earned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premiums earned reported in Corporate &amp; Other relate to premiums earned by our title insurance operations. The increase in net premiums earned is due to an increase in title insurance policies issued in the three and nine month periods ended September 30, 2026 compared to the same periods in 2025.</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Losses &amp; LAE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for losses reported in Corporate &amp; Other relates to loss provisions recorded by our title insurance operations. The increase in provision for the three months ended September 30, 2026 compared to same period in 2025 is the result of an increase in title insurance policies issued. The decrease in provision for the nine months ended September 30, 2026 compared to same period in 2025 is primarily due to the impact of industry experience and trends on our IBNR reserves for the nine months ended September 30, 2025. Title insurance reserves were $16.9 million at both September 30, 2026 and December 31, 2025.</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Following are the components of other underwriting and operating expenses for the Corporate &amp; Other category for the periods indicated:</w:t>
      </w:r>
    </w:p>
    <w:tbl>
      <w:tblPr>
        <w:tblW w:w="11289" w:type="dxa"/>
        <w:jc w:val="left"/>
        <w:tblInd w:w="0" w:type="dxa"/>
        <w:tblLayout w:type="fixed"/>
        <w:tblCellMar>
          <w:top w:w="28" w:type="dxa"/>
          <w:left w:w="28" w:type="dxa"/>
          <w:bottom w:w="28" w:type="dxa"/>
          <w:right w:w="28" w:type="dxa"/>
        </w:tblCellMar>
      </w:tblPr>
      <w:tblGrid>
        <w:gridCol w:w="472"/>
        <w:gridCol w:w="415"/>
        <w:gridCol w:w="419"/>
        <w:gridCol w:w="109"/>
        <w:gridCol w:w="109"/>
        <w:gridCol w:w="109"/>
        <w:gridCol w:w="211"/>
        <w:gridCol w:w="721"/>
        <w:gridCol w:w="109"/>
        <w:gridCol w:w="109"/>
        <w:gridCol w:w="109"/>
        <w:gridCol w:w="109"/>
        <w:gridCol w:w="231"/>
        <w:gridCol w:w="235"/>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31"/>
        <w:gridCol w:w="235"/>
        <w:gridCol w:w="271"/>
        <w:gridCol w:w="109"/>
        <w:gridCol w:w="109"/>
        <w:gridCol w:w="109"/>
        <w:gridCol w:w="211"/>
        <w:gridCol w:w="826"/>
        <w:gridCol w:w="109"/>
        <w:gridCol w:w="109"/>
        <w:gridCol w:w="109"/>
        <w:gridCol w:w="109"/>
        <w:gridCol w:w="231"/>
        <w:gridCol w:w="235"/>
        <w:gridCol w:w="316"/>
      </w:tblGrid>
      <w:t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underwriting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Average number of employees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factors contributing to the change in other underwriting and operating expenses are: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hanging="270"/>
        <w:jc w:val="left"/>
      </w:pPr>
      <w:r>
        <w:rPr>
          <w:color w:val="000000"/>
        </w:rPr>
        <w:t>•</w:t>
      </w:r>
      <w:r>
        <w:rPr>
          <w:rFonts w:ascii="Times New Roman;serif" w:hAnsi="Times New Roman;serif"/>
          <w:b w:val="false"/>
          <w:color w:val="000000"/>
          <w:sz w:val="20"/>
        </w:rPr>
        <w:t xml:space="preserve">Compensation and benefits increased in the three months ended September 30, 2026 compared to the same period in 2025 primarily due to an increase in the average number of employees and an increase in incentive compensation. Compensation and benefits includes salaries, wages and bonus, stock compensation expense, benefits and payroll taxes. </w:t>
      </w:r>
    </w:p>
    <w:p>
      <w:pPr>
        <w:pStyle w:val="TextBody"/>
        <w:bidi w:val="0"/>
        <w:spacing w:lineRule="auto" w:line="288" w:before="160" w:after="160"/>
        <w:ind w:left="0" w:right="0" w:hanging="270"/>
        <w:jc w:val="left"/>
      </w:pPr>
      <w:r>
        <w:rPr>
          <w:color w:val="000000"/>
        </w:rPr>
        <w:t>•</w:t>
      </w:r>
      <w:r>
        <w:rPr>
          <w:rFonts w:ascii="Times New Roman;serif" w:hAnsi="Times New Roman;serif"/>
          <w:b w:val="false"/>
          <w:color w:val="000000"/>
          <w:sz w:val="20"/>
        </w:rPr>
        <w:t xml:space="preserve">Premium taxes decreased during the nine months ended September 30, 2026 compared to the same period in 2025 primarily due to $1.0 million of net expense associated with prior year premium tax returns incurred during the first quarter of 2025, partially offset by an increase in premium taxes incurred resulting from an increase in policies issued. </w:t>
      </w:r>
    </w:p>
    <w:p>
      <w:pPr>
        <w:pStyle w:val="TextBody"/>
        <w:bidi w:val="0"/>
        <w:spacing w:lineRule="auto" w:line="288" w:before="160" w:after="160"/>
        <w:ind w:left="0" w:right="0" w:hanging="270"/>
        <w:jc w:val="left"/>
      </w:pPr>
      <w:r>
        <w:rPr>
          <w:color w:val="000000"/>
        </w:rPr>
        <w:t>•</w:t>
      </w:r>
      <w:r>
        <w:rPr>
          <w:rFonts w:ascii="Times New Roman;serif" w:hAnsi="Times New Roman;serif"/>
          <w:b w:val="false"/>
          <w:color w:val="000000"/>
          <w:sz w:val="20"/>
        </w:rPr>
        <w:t xml:space="preserve">Other expenses include title and settlement services direct costs,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Other expenses increased in the three and nine months ended September 30, 2026 compared to the same periods in 2025 primarily due to an increase in title expenses associated with an increase in title policies issued as well as increased professional fees.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sources of funds consist primarily of:</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investment portfolio and interest income on the portfolio;</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net premiums that we will receive from our existing IIF as well as policies that we write in the future;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borrowings under our Revolving Credit Facility; and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issuance of capital shares.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obligations consist primarily of:</w:t>
      </w:r>
    </w:p>
    <w:p>
      <w:pPr>
        <w:pStyle w:val="TextBody"/>
        <w:bidi w:val="0"/>
        <w:spacing w:before="0" w:after="0"/>
        <w:ind w:left="0" w:right="0" w:firstLine="72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claim payments under our policies;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interest payments and repayment of borrowings under our Senior Notes and Revolving Credit Facility;</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other costs and operating expenses of our business;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the repurchase of common shares under the share repurchase plan approved by our Board of Directors; and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payment of dividends on our common shares.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substantial liquidity with cash of $160.7 million, short-term investments of $504.1 million and fixed maturity investments of $5.4 billion. We also had $500 million available capacity under our Revolving Credit Facility. Cash and investments available for sale at the holding companies totaled $1.0 billion at September 30, 2026.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2026.</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At the operating subsidiary level, liquidity could be impacted by any one of the following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significant decline in the value of our investments;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inability to sell investment assets to provide cash to fund operating needs;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decline in expected revenues generated from operations;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increase in expected claim payments related to our IIF; or</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increase in operating expenses.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U.S. insurance subsidiaries are subject to certain capital and dividend rules and regulations prescribed by jurisdictions in which they are authorized to operate and, in the case of Essent Guaranty,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September 30, 2026, Essent Guaranty had unassigned surplus of approximately $323.8 million. As of September 30, 2026, Essent Guaranty could pay additional ordinary dividends in 2026 of $323.8 million.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$100.0 million. As of September 30, 2026, Essent Re had total equity of $1.7 billion. In connection with its insurance and reinsurance activities, Essent Re is required to maintain assets in trusts for the benefit of its contractual counterparties. See Note 3 to our condensed consolidated financial statements. As of September 30, 2026, Essent Re could pay additional dividends in 2026 of $223.8 million without prior approval from the BMA.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2026, our insurance subsidiaries were in compliance with these rules, regulations and agreements.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p>
      <w:pPr>
        <w:pStyle w:val="TextBody"/>
        <w:bidi w:val="0"/>
        <w:spacing w:lineRule="auto" w:line="288" w:before="0" w:after="0"/>
        <w:ind w:left="0" w:right="0" w:firstLine="720"/>
        <w:jc w:val="left"/>
        <w:rPr>
          <w:color w:val="000000"/>
        </w:rPr>
      </w:pPr>
      <w:r>
        <w:rPr>
          <w:color w:val="000000"/>
        </w:rPr>
        <w:t> </w:t>
      </w:r>
    </w:p>
    <w:tbl>
      <w:tblPr>
        <w:tblW w:w="6456"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826"/>
        <w:gridCol w:w="109"/>
        <w:gridCol w:w="109"/>
        <w:gridCol w:w="109"/>
        <w:gridCol w:w="109"/>
        <w:gridCol w:w="211"/>
        <w:gridCol w:w="826"/>
        <w:gridCol w:w="154"/>
      </w:tblGrid>
      <w:t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totaled $628.1 million for the nine months ended September 30, 2026, as compared to $627.0 million for the nine months ended September 30, 2025. The increase in cash flows provided by operating activities was due to a decrease in prepaid federal income taxes, partially offset by the timing of certain premium collections and an increase in claims paid during the nine months ended September 30, 2026 compared to the same period in 2025.</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used in investing activities totaled $58.1 million for the nine months ended September 30, 2026 compared to $112.9 million for the nine months ended September 30, 2025. The decrease in cash flows used in investing activities in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nine months ended September 30, 2026 compared to nine months ended September 30, 2025 was largely due to an increase in proceeds from available-for-sale and short-term investments partially offset by an increase in purchases of investments available for sale.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totaled $532.5 million and $554.1 million for the nine months ended September 30, 2026 and 2025, respectively. Cash flows used in financing activities relates to the quarterly cash dividends paid, repurchases of common stock under our share repurchase plans and treasury stock acquired from employees to satisfy tax withholding obligations.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Insurance Company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compute a risk-to-capital ratio for our U.S. mortgage insurance company on a separate company statutory basis.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no capital contributions were made to our U.S. mortgage insurance subsidiary and Essent Guaranty paid dividends to Essent US Holdings, Inc. of $115 million and $215 million, respectively. In October 2026, Essent Guaranty paid a dividend to Essent US Holdings, Inc. of $85 million. During the nine months ended September 30, 2026, and 2025, no capital contributions were made to Essent Title Insurance.</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has entered into reinsurance agreements that provide excess of loss reinsurance coverage for new defaults on portfolios of mortgage insurance policies issued from January 1, 2019 through August 31, 2019 and April 1, 2021 through December 31, 2026. The aggregate excess of loss reinsurance coverages decrease over a ten-year period as the underlying covered mortgages amortize. In March 2026, Essent Guaranty entered into an excess of loss reinsurance transaction covering all eligible new insurance written for 2027, effective July 1, 2027.</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has entered into a quota share reinsurance agreement with a panel of third-party reinsurers ("QSR agreement"). Each of the third-party reinsurers has a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 net risk in force and PMIERs Minimum Required Assets. See Note 4 to our condensed consolidated financial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quota share reinsurance agreements as of September 30, 2026:</w:t>
      </w:r>
    </w:p>
    <w:p>
      <w:pPr>
        <w:pStyle w:val="TextBody"/>
        <w:bidi w:val="0"/>
        <w:spacing w:before="0" w:after="0"/>
        <w:ind w:left="0" w:right="0" w:firstLine="450"/>
        <w:jc w:val="center"/>
      </w:pPr>
      <w:r/>
    </w:p>
    <w:tbl>
      <w:tblPr>
        <w:tblW w:w="6817" w:type="dxa"/>
        <w:jc w:val="center"/>
        <w:tblInd w:w="0" w:type="dxa"/>
        <w:tblLayout w:type="fixed"/>
        <w:tblCellMar>
          <w:top w:w="28" w:type="dxa"/>
          <w:left w:w="28" w:type="dxa"/>
          <w:bottom w:w="28" w:type="dxa"/>
          <w:right w:w="28" w:type="dxa"/>
        </w:tblCellMar>
      </w:tblPr>
      <w:tblGrid>
        <w:gridCol w:w="473"/>
        <w:gridCol w:w="414"/>
        <w:gridCol w:w="417"/>
        <w:gridCol w:w="109"/>
        <w:gridCol w:w="109"/>
        <w:gridCol w:w="109"/>
        <w:gridCol w:w="1113"/>
        <w:gridCol w:w="1113"/>
        <w:gridCol w:w="1118"/>
        <w:gridCol w:w="109"/>
        <w:gridCol w:w="109"/>
        <w:gridCol w:w="109"/>
        <w:gridCol w:w="443"/>
        <w:gridCol w:w="443"/>
        <w:gridCol w:w="629"/>
      </w:tblGrid>
      <w:t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2019 -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r>
      <w:t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2026 -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ind w:left="0" w:right="0" w:hanging="270"/>
        <w:jc w:val="left"/>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Under QSR-2019, Essent Guaranty cedes 36% of premiums on singles policies and 18% on all other policies.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Essent Guaranty entered into a forward quota share agreement with highly rated third-party reinsurers ceding 20% of the risk on all eligible policies written by Essent Guaranty in calendar year 2027.</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risk-to-capital calculation for Essent Guaranty was as follows:</w:t>
      </w:r>
    </w:p>
    <w:p>
      <w:pPr>
        <w:pStyle w:val="TextBody"/>
        <w:bidi w:val="0"/>
        <w:spacing w:lineRule="auto" w:line="288" w:before="0" w:after="0"/>
        <w:ind w:left="0" w:right="0" w:firstLine="720"/>
        <w:jc w:val="left"/>
        <w:rPr>
          <w:color w:val="000000"/>
        </w:rPr>
      </w:pPr>
      <w:r>
        <w:rPr>
          <w:color w:val="000000"/>
        </w:rPr>
        <w:t> </w:t>
      </w:r>
    </w:p>
    <w:tbl>
      <w:tblPr>
        <w:tblW w:w="3945" w:type="dxa"/>
        <w:jc w:val="left"/>
        <w:tblInd w:w="0" w:type="dxa"/>
        <w:tblLayout w:type="fixed"/>
        <w:tblCellMar>
          <w:top w:w="28" w:type="dxa"/>
          <w:left w:w="28" w:type="dxa"/>
          <w:bottom w:w="28" w:type="dxa"/>
          <w:right w:w="28" w:type="dxa"/>
        </w:tblCellMar>
      </w:tblPr>
      <w:tblGrid>
        <w:gridCol w:w="701"/>
        <w:gridCol w:w="616"/>
        <w:gridCol w:w="618"/>
        <w:gridCol w:w="293"/>
        <w:gridCol w:w="1503"/>
        <w:gridCol w:w="214"/>
      </w:tblGrid>
      <w:t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Statutory capital:</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r>
      <w:t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Policyholders’ surplus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1,029,134 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reserves</w:t>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capital</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3,716,901 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 in force</w:t>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30,369,106 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Risk-to-capital ratio</w:t>
            </w:r>
          </w:p>
        </w:tc>
        <w:tc>
          <w:tcPr>
            <w:tcW w:w="20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regulatory capital, see Note 14 to our condensed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Re has entered into GSE and other risk share transactions, including insurance and reinsurance transactions with Freddie Mac and Fannie Mae. Essent Guaranty also reinsures new insurance written ("NIW") to Essent Re. The following table summarizes the quota share reinsurance coverage that Essent Re has provided to Essent Guaranty for the respective NIW periods:</w:t>
      </w:r>
    </w:p>
    <w:tbl>
      <w:tblPr>
        <w:tblW w:w="5081" w:type="dxa"/>
        <w:jc w:val="left"/>
        <w:tblInd w:w="0" w:type="dxa"/>
        <w:tblLayout w:type="fixed"/>
        <w:tblCellMar>
          <w:top w:w="28" w:type="dxa"/>
          <w:left w:w="28" w:type="dxa"/>
          <w:bottom w:w="28" w:type="dxa"/>
          <w:right w:w="28" w:type="dxa"/>
        </w:tblCellMar>
      </w:tblPr>
      <w:tblGrid>
        <w:gridCol w:w="1170"/>
        <w:gridCol w:w="1028"/>
        <w:gridCol w:w="1041"/>
        <w:gridCol w:w="109"/>
        <w:gridCol w:w="109"/>
        <w:gridCol w:w="109"/>
        <w:gridCol w:w="443"/>
        <w:gridCol w:w="443"/>
        <w:gridCol w:w="629"/>
      </w:tblGrid>
      <w:tr>
        <w:tc>
          <w:tcPr>
            <w:tcW w:w="1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to Present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2021 to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 to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and 2025, Essent Re paid $200 million and $340 million in dividends to Essent Group, respectively. Essent Group made no capital contributions to Essent Re during the nine months ended September 30, 2026 and 2025. As of September 30, 2026, Essent Re had total stockholders’ equity of $1.7 billion.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Financial Strength Ratings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strength rating of Essent Guaranty, our principal mortgage insurance subsidiary, is rated A2 with a stable outlook by Moody’s Ratings (“Moody's”), A- with a stable outlook by S&amp;P and A (Excellent) with stable outlook by AM Best. The financial strength rating of Essent Re is A- with a stable outlook by S&amp;P and A (Excellent) with stable outlook by AM Best. On October 26, 2026, S&amp;P affirmed the A- financial strength rating of Essent Guaranty, Inc. and raised the outlook to positive from stable.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Private Mortgage Insurer Eligibility Requirements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September 30, 2026, Essent Guaranty, our GSE-approved mortgage insurance company, was in compliance with the PMIERs. As of September 30, 2026, Essent Guaranty's Available Assets were $3.7 billion or 177% of its Minimum Required Assets of $2.1 billion based on our interpretation of the PMIERs.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PMIERs guidance issued by the GSEs effective June 30, 2020, Essent will apply a 0.30 multiplier to the risk-based required asset amount factor for each insured loan in default backed by a property located in a FEMA Declared Major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2024, the GSEs issued updates to the PMIERs calculation of Available Assets. The updated PMIERs Available Asset requirements were subject to a phased-in implementation beginning with the quarter ending March 31, 2025, and became fully effective on September 30, 2026. Essent remains in full compliance with the PMIERs requirements.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stockholders’ equity was $5.6 billion, compared to $5.8 billion as of December 31, 2025. Stockholders' equity decreased primarily due the repurchase of common shares under our share repurchase plan, an increase in accumulated other comprehensive loss related to an increase in our net unrealized investment losses, and dividends paid partially offset by net income generated in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investments totaled $6.3 billion and $6.5 billion, respectively. In addition, our total cash was $160.7 million as of September 30, 2026, compared to $123.0 million as of December 31, 2025.</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Investments Available for Sale by Asset Class</w:t>
      </w:r>
    </w:p>
    <w:p>
      <w:pPr>
        <w:pStyle w:val="TextBody"/>
        <w:bidi w:val="0"/>
        <w:spacing w:lineRule="auto" w:line="288" w:before="0" w:after="0"/>
        <w:jc w:val="center"/>
        <w:rPr>
          <w:color w:val="000000"/>
        </w:rPr>
      </w:pPr>
      <w:r>
        <w:rPr>
          <w:color w:val="000000"/>
        </w:rPr>
        <w:t> </w:t>
      </w:r>
    </w:p>
    <w:tbl>
      <w:tblPr>
        <w:tblW w:w="9896" w:type="dxa"/>
        <w:jc w:val="left"/>
        <w:tblInd w:w="0" w:type="dxa"/>
        <w:tblLayout w:type="fixed"/>
        <w:tblCellMar>
          <w:top w:w="28" w:type="dxa"/>
          <w:left w:w="28" w:type="dxa"/>
          <w:bottom w:w="28" w:type="dxa"/>
          <w:right w:w="28" w:type="dxa"/>
        </w:tblCellMar>
      </w:tblPr>
      <w:tblGrid>
        <w:gridCol w:w="1449"/>
        <w:gridCol w:w="1271"/>
        <w:gridCol w:w="1285"/>
        <w:gridCol w:w="109"/>
        <w:gridCol w:w="109"/>
        <w:gridCol w:w="109"/>
        <w:gridCol w:w="211"/>
        <w:gridCol w:w="991"/>
        <w:gridCol w:w="109"/>
        <w:gridCol w:w="109"/>
        <w:gridCol w:w="109"/>
        <w:gridCol w:w="109"/>
        <w:gridCol w:w="283"/>
        <w:gridCol w:w="288"/>
        <w:gridCol w:w="385"/>
        <w:gridCol w:w="109"/>
        <w:gridCol w:w="109"/>
        <w:gridCol w:w="109"/>
        <w:gridCol w:w="211"/>
        <w:gridCol w:w="991"/>
        <w:gridCol w:w="109"/>
        <w:gridCol w:w="109"/>
        <w:gridCol w:w="109"/>
        <w:gridCol w:w="109"/>
        <w:gridCol w:w="283"/>
        <w:gridCol w:w="288"/>
        <w:gridCol w:w="434"/>
      </w:tblGrid>
      <w:t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5,871,983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6,104,085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70"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310"/>
        <w:gridCol w:w="261"/>
        <w:gridCol w:w="632"/>
        <w:gridCol w:w="109"/>
        <w:gridCol w:w="109"/>
        <w:gridCol w:w="109"/>
        <w:gridCol w:w="284"/>
        <w:gridCol w:w="287"/>
        <w:gridCol w:w="677"/>
      </w:tblGrid>
      <w:t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pPr>
      <w:r/>
    </w:p>
    <w:tbl>
      <w:tblPr>
        <w:tblW w:w="8085"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310"/>
        <w:gridCol w:w="261"/>
        <w:gridCol w:w="632"/>
        <w:gridCol w:w="109"/>
        <w:gridCol w:w="109"/>
        <w:gridCol w:w="109"/>
        <w:gridCol w:w="284"/>
        <w:gridCol w:w="287"/>
        <w:gridCol w:w="677"/>
      </w:tblGrid>
      <w:t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cyclical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Investments Available for Sale by Rating</w:t>
      </w:r>
    </w:p>
    <w:p>
      <w:pPr>
        <w:pStyle w:val="TextBody"/>
        <w:bidi w:val="0"/>
        <w:spacing w:lineRule="auto" w:line="288" w:before="0" w:after="0"/>
        <w:jc w:val="center"/>
        <w:rPr>
          <w:color w:val="000000"/>
        </w:rPr>
      </w:pPr>
      <w:r>
        <w:rPr>
          <w:color w:val="000000"/>
        </w:rPr>
        <w:t> </w:t>
      </w:r>
    </w:p>
    <w:tbl>
      <w:tblPr>
        <w:tblW w:w="7166" w:type="dxa"/>
        <w:jc w:val="left"/>
        <w:tblInd w:w="0" w:type="dxa"/>
        <w:tblLayout w:type="fixed"/>
        <w:tblCellMar>
          <w:top w:w="28" w:type="dxa"/>
          <w:left w:w="28" w:type="dxa"/>
          <w:bottom w:w="28" w:type="dxa"/>
          <w:right w:w="28" w:type="dxa"/>
        </w:tblCellMar>
      </w:tblPr>
      <w:tblGrid>
        <w:gridCol w:w="461"/>
        <w:gridCol w:w="405"/>
        <w:gridCol w:w="409"/>
        <w:gridCol w:w="109"/>
        <w:gridCol w:w="109"/>
        <w:gridCol w:w="109"/>
        <w:gridCol w:w="211"/>
        <w:gridCol w:w="991"/>
        <w:gridCol w:w="109"/>
        <w:gridCol w:w="109"/>
        <w:gridCol w:w="109"/>
        <w:gridCol w:w="109"/>
        <w:gridCol w:w="284"/>
        <w:gridCol w:w="287"/>
        <w:gridCol w:w="385"/>
        <w:gridCol w:w="109"/>
        <w:gridCol w:w="109"/>
        <w:gridCol w:w="109"/>
        <w:gridCol w:w="211"/>
        <w:gridCol w:w="991"/>
        <w:gridCol w:w="109"/>
        <w:gridCol w:w="109"/>
        <w:gridCol w:w="109"/>
        <w:gridCol w:w="109"/>
        <w:gridCol w:w="284"/>
        <w:gridCol w:w="287"/>
        <w:gridCol w:w="434"/>
      </w:tblGrid>
      <w:t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Rating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Baa3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5,367,841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5,455,593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ratings issued by Moody’s, if available. S&amp;P or Fitch Ratings ("Fitch") rating utilized if Moody’s not available.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(2)Excludes $504,142 and $648,492 of money market funds at September 30, 2026 and December 31, 2025, respectively.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Investments Available for Sale by Effective Duration</w:t>
      </w:r>
    </w:p>
    <w:p>
      <w:pPr>
        <w:pStyle w:val="TextBody"/>
        <w:bidi w:val="0"/>
        <w:spacing w:lineRule="auto" w:line="288" w:before="0" w:after="0"/>
        <w:jc w:val="center"/>
        <w:rPr>
          <w:color w:val="000000"/>
        </w:rPr>
      </w:pPr>
      <w:r>
        <w:rPr>
          <w:color w:val="000000"/>
        </w:rPr>
        <w:t> </w:t>
      </w:r>
    </w:p>
    <w:tbl>
      <w:tblPr>
        <w:tblW w:w="9100"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991"/>
        <w:gridCol w:w="109"/>
        <w:gridCol w:w="109"/>
        <w:gridCol w:w="109"/>
        <w:gridCol w:w="109"/>
        <w:gridCol w:w="284"/>
        <w:gridCol w:w="287"/>
        <w:gridCol w:w="385"/>
        <w:gridCol w:w="109"/>
        <w:gridCol w:w="109"/>
        <w:gridCol w:w="109"/>
        <w:gridCol w:w="211"/>
        <w:gridCol w:w="991"/>
        <w:gridCol w:w="109"/>
        <w:gridCol w:w="109"/>
        <w:gridCol w:w="109"/>
        <w:gridCol w:w="109"/>
        <w:gridCol w:w="284"/>
        <w:gridCol w:w="287"/>
        <w:gridCol w:w="434"/>
      </w:tblGrid>
      <w:t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Effective Duration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&lt;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to &lt;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to &lt; 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to &lt;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or more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5,871,983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6,104,085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pPr>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2026, our estimated off-balance sheet maximum exposure to loss from the Radnor Re entities was $0.1 million, representing the estimated net present value of investment earnings on the assets in the reinsurance trusts. See Note 4 to our condensed consolidated financial statements for additional information.</w:t>
      </w:r>
    </w:p>
    <w:p>
      <w:pPr>
        <w:pStyle w:val="TextBody"/>
        <w:bidi w:val="0"/>
        <w:spacing w:before="0" w:after="0"/>
        <w:jc w:val="left"/>
      </w:pPr>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filing date of this report, there were no significant changes in our critical accounting policies from those discussed in our 2025 Form 10-K. See Note 2 to our condensed consolidated financial statements for recently issued accounting standards adopted or under 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Changes to the level of interest rates. </w:t>
      </w:r>
      <w:r>
        <w:rPr>
          <w:color w:val="000000"/>
        </w:rPr>
        <w:t xml:space="preserve"> </w:t>
      </w:r>
      <w:r>
        <w:rPr>
          <w:rFonts w:ascii="Times New Roman;serif" w:hAnsi="Times New Roman;serif"/>
          <w:b w:val="false"/>
          <w:color w:val="000000"/>
          <w:sz w:val="20"/>
        </w:rPr>
        <w:t>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Changes to the term structure of interest rates. </w:t>
      </w:r>
      <w:r>
        <w:rPr>
          <w:color w:val="000000"/>
        </w:rPr>
        <w:t xml:space="preserve"> </w:t>
      </w:r>
      <w:r>
        <w:rPr>
          <w:rFonts w:ascii="Times New Roman;serif" w:hAnsi="Times New Roman;serif"/>
          <w:b w:val="false"/>
          <w:color w:val="000000"/>
          <w:sz w:val="20"/>
        </w:rPr>
        <w:t>Rising or falling rates typically change by different amounts along the yield curve. These changes may have unforeseen impacts on the value of certain assets.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Market volatility/changes in the real or perceived credit quality of investments. </w:t>
      </w:r>
      <w:r>
        <w:rPr>
          <w:color w:val="000000"/>
        </w:rPr>
        <w:t xml:space="preserve"> </w:t>
      </w:r>
      <w:r>
        <w:rPr>
          <w:rFonts w:ascii="Times New Roman;serif" w:hAnsi="Times New Roman;serif"/>
          <w:b w:val="false"/>
          <w:color w:val="000000"/>
          <w:sz w:val="20"/>
        </w:rPr>
        <w:t>Deterioration in the quality of investments, identified through changes to our own or third-party (e.g., rating agency) assessments, will reduce the value and potentially the liquidity of investments.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Concentration Risk. </w:t>
      </w:r>
      <w:r>
        <w:rPr>
          <w:color w:val="000000"/>
        </w:rPr>
        <w:t xml:space="preserve"> </w:t>
      </w:r>
      <w:r>
        <w:rPr>
          <w:rFonts w:ascii="Times New Roman;serif" w:hAnsi="Times New Roman;serif"/>
          <w:b w:val="false"/>
          <w:color w:val="000000"/>
          <w:sz w:val="20"/>
        </w:rPr>
        <w:t>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Prepayment Risk. </w:t>
      </w:r>
      <w:r>
        <w:rPr>
          <w:color w:val="000000"/>
        </w:rPr>
        <w:t xml:space="preserve"> </w:t>
      </w:r>
      <w:r>
        <w:rPr>
          <w:rFonts w:ascii="Times New Roman;serif" w:hAnsi="Times New Roman;serif"/>
          <w:b w:val="false"/>
          <w:color w:val="000000"/>
          <w:sz w:val="20"/>
        </w:rPr>
        <w:t>Bonds may have call provisions that permit debtors to repay prior to maturity when it is to their advantage. This typically occurs when rates fall below the interest rate of the debt.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2026,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2026, the end of the period covered by this Quarterly Report.</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currently subject to any material legal proceedings.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“Risk Factors” in our Annual Report on Form 10-K for the year ended December 31, 2025.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Item 2.</w:t>
      </w:r>
      <w:r>
        <w:rPr>
          <w:color w:val="000000"/>
        </w:rPr>
        <w:t>    </w:t>
      </w:r>
      <w:r>
        <w:rPr>
          <w:rFonts w:ascii="Times New Roman;serif" w:hAnsi="Times New Roman;serif"/>
          <w:b/>
          <w:color w:val="000000"/>
          <w:sz w:val="20"/>
        </w:rPr>
        <w:t>Unregistered Sales of Equity Securities and Use of Proceeds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Repurchases of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information regarding repurchases of our common shares during the three months ended September 30, 2026:</w:t>
      </w:r>
    </w:p>
    <w:tbl>
      <w:tblPr>
        <w:tblW w:w="10088" w:type="dxa"/>
        <w:jc w:val="left"/>
        <w:tblInd w:w="0" w:type="dxa"/>
        <w:tblLayout w:type="fixed"/>
        <w:tblCellMar>
          <w:top w:w="28" w:type="dxa"/>
          <w:left w:w="28" w:type="dxa"/>
          <w:bottom w:w="28" w:type="dxa"/>
          <w:right w:w="28" w:type="dxa"/>
        </w:tblCellMar>
      </w:tblPr>
      <w:tblGrid>
        <w:gridCol w:w="1163"/>
        <w:gridCol w:w="1021"/>
        <w:gridCol w:w="1026"/>
        <w:gridCol w:w="109"/>
        <w:gridCol w:w="109"/>
        <w:gridCol w:w="109"/>
        <w:gridCol w:w="488"/>
        <w:gridCol w:w="488"/>
        <w:gridCol w:w="296"/>
        <w:gridCol w:w="109"/>
        <w:gridCol w:w="109"/>
        <w:gridCol w:w="109"/>
        <w:gridCol w:w="270"/>
        <w:gridCol w:w="790"/>
        <w:gridCol w:w="141"/>
        <w:gridCol w:w="109"/>
        <w:gridCol w:w="109"/>
        <w:gridCol w:w="109"/>
        <w:gridCol w:w="488"/>
        <w:gridCol w:w="488"/>
        <w:gridCol w:w="486"/>
        <w:gridCol w:w="109"/>
        <w:gridCol w:w="109"/>
        <w:gridCol w:w="109"/>
        <w:gridCol w:w="289"/>
        <w:gridCol w:w="1134"/>
        <w:gridCol w:w="212"/>
      </w:tblGrid>
      <w:t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br/>
              <w:t>($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 that</w:t>
              <w:br/>
              <w:t>May Yet Be</w:t>
              <w:br/>
              <w:t>Purchased Under</w:t>
              <w:br/>
              <w:t>the Plans or</w:t>
              <w:br/>
              <w:t>Programs (1)</w:t>
            </w:r>
          </w:p>
        </w:tc>
      </w:tr>
      <w:t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967,178 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967,178 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1,108,009 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1,107,848 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148,827 </w:t>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September 30, 2026, the Company repurchased 1,107,848 common shares at a total cost of $74.5 million. The remaining $148.8 million in the table represents the amount available to repurchase shares under the November 2025 share repurchase authorization as of September 30, 2026. In October 2026, we repurchased 801,728 shares for $50.8 million, leaving approximately $98.0 million remaining for repurchases as of October 31, 2026.</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Trading Plans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 2026, Christopher G. Curran, President of Essent Guaranty, Inc., entered into a 10b5-1 sales plan (the “Plan”) intended to satisfy the affirmative defense of Rule 10b5-1(c) under the Exchange Act. The Plan provides for the sale of up to an aggregate of 75,000 shares of the Company’s common stock beneficially owned by Mr. Curran during the term of the Plan and will be in effect until the earlier of (1) December 15, 2027, and (2) the date on which an aggregate of 75,000 shares of the Company’s common shares have been sold under the Plan.</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8, 2026, Mary L. Gibbons, SVP and Chief Legal Officer, entered into a 10b5-1 sales plan (the “Plan”) intended to satisfy the affirmative defense of Rule 10b5-1(c) under the Exchange Act. The Plan provides for the sale of up to an aggregate of 48,367 shares of the Company’s common stock beneficially owned by Ms. Gibbons during the term of the Plan and will be in effect until the earlier of (1) December 15, 2027, and (2) the date on which an aggregate of 48,367 shares of the Company’s common shares have been sold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3"/>
        <w:gridCol w:w="2693"/>
        <w:gridCol w:w="3846"/>
      </w:tblGrid>
      <w:t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a93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required by Rule 13a-14(a) or Rule 15d-14(a) of the Securities Exchange Act of 1934, as adopted pursuant to Section 302 of the Sarbanes-Oxley Act of 2002</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93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required by Rule 13a-14(a) or Rule 15d-14(a) of the Securities Exchange Act of 1934, as adopted pursuant to Section 302 of the Sarbanes-Oxley Act of 2002</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93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1350, as adopted pursuant to Section 906 of the Sarbanes-Oxley Act of 2002</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this Quarterly Report on Form 10-Q for the quarter ended September 30, 2026,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tc>
      </w:tr>
      <w:tr>
        <w:tc>
          <w:tcPr>
            <w:tcW w:w="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c>
          <w:tcPr>
            <w:tcW w:w="646" w:type="dxa"/>
            <w:gridSpan w:val="3"/>
            <w:tcBorders/>
            <w:vAlign w:val="center"/>
          </w:tcPr>
          <w:p>
            <w:pPr>
              <w:pStyle w:val="TableContents"/>
              <w:bidi w:val="0"/>
              <w:spacing w:before="0" w:after="283"/>
              <w:jc w:val="left"/>
              <w:rPr>
                <w:sz w:val="4"/>
                <w:szCs w:val="4"/>
              </w:rPr>
            </w:pPr>
            <w:r>
              <w:rPr>
                <w:sz w:val="4"/>
                <w:szCs w:val="4"/>
              </w:rPr>
            </w:r>
          </w:p>
        </w:tc>
        <w:tc>
          <w:tcPr>
            <w:tcW w:w="9559"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pPr>
      <w:hyperlink w:anchor="i3a1382e9723d49c9849ee0377c0af9c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the date indicated.</w:t>
      </w:r>
    </w:p>
    <w:p>
      <w:pPr>
        <w:pStyle w:val="TextBody"/>
        <w:bidi w:val="0"/>
        <w:spacing w:lineRule="auto" w:line="288" w:before="0" w:after="0"/>
        <w:jc w:val="center"/>
        <w:rPr>
          <w:color w:val="000000"/>
        </w:rPr>
      </w:pPr>
      <w:r>
        <w:rPr>
          <w:color w:val="000000"/>
        </w:rPr>
        <w:t> </w:t>
      </w:r>
    </w:p>
    <w:tbl>
      <w:tblPr>
        <w:tblW w:w="656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212"/>
        <w:gridCol w:w="1212"/>
        <w:gridCol w:w="1715"/>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ESSENT GROUP LTD.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CASALE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Casale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br/>
              <w:t>(Principal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 WEINSTOCK</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 Weinstock</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br/>
              <w:t>(Principal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A. Casale,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2026 </w:t>
      </w:r>
    </w:p>
    <w:tbl>
      <w:tblPr>
        <w:tblW w:w="4436" w:type="dxa"/>
        <w:jc w:val="left"/>
        <w:tblInd w:w="0" w:type="dxa"/>
        <w:tblLayout w:type="fixed"/>
        <w:tblCellMar>
          <w:top w:w="28" w:type="dxa"/>
          <w:left w:w="28" w:type="dxa"/>
          <w:bottom w:w="28" w:type="dxa"/>
          <w:right w:w="28" w:type="dxa"/>
        </w:tblCellMar>
      </w:tblPr>
      <w:tblGrid>
        <w:gridCol w:w="751"/>
        <w:gridCol w:w="658"/>
        <w:gridCol w:w="658"/>
        <w:gridCol w:w="658"/>
        <w:gridCol w:w="658"/>
        <w:gridCol w:w="681"/>
        <w:gridCol w:w="109"/>
        <w:gridCol w:w="109"/>
        <w:gridCol w:w="154"/>
      </w:tblGrid>
      <w:tr>
        <w:tc>
          <w:tcPr>
            <w:tcW w:w="7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B. Weinstock,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2026 </w:t>
      </w:r>
    </w:p>
    <w:tbl>
      <w:tblPr>
        <w:tblW w:w="4479" w:type="dxa"/>
        <w:jc w:val="left"/>
        <w:tblInd w:w="0" w:type="dxa"/>
        <w:tblLayout w:type="fixed"/>
        <w:tblCellMar>
          <w:top w:w="28" w:type="dxa"/>
          <w:left w:w="28" w:type="dxa"/>
          <w:bottom w:w="28" w:type="dxa"/>
          <w:right w:w="28" w:type="dxa"/>
        </w:tblCellMar>
      </w:tblPr>
      <w:tblGrid>
        <w:gridCol w:w="758"/>
        <w:gridCol w:w="669"/>
        <w:gridCol w:w="669"/>
        <w:gridCol w:w="669"/>
        <w:gridCol w:w="669"/>
        <w:gridCol w:w="673"/>
        <w:gridCol w:w="109"/>
        <w:gridCol w:w="109"/>
        <w:gridCol w:w="154"/>
      </w:tblGrid>
      <w:tr>
        <w:tc>
          <w:tcPr>
            <w:tcW w:w="75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 PURSUANT TO 18 U.S.C. SECTION 1350, 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Quarterly Report on Form 10-Q of the Company for the quarter ended September 30, 2026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2026 </w:t>
      </w:r>
    </w:p>
    <w:p>
      <w:pPr>
        <w:pStyle w:val="TextBody"/>
        <w:bidi w:val="0"/>
        <w:spacing w:lineRule="auto" w:line="288" w:before="0" w:after="0"/>
        <w:jc w:val="left"/>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1487"/>
        <w:gridCol w:w="1307"/>
        <w:gridCol w:w="1315"/>
        <w:gridCol w:w="109"/>
        <w:gridCol w:w="109"/>
        <w:gridCol w:w="154"/>
      </w:tblGrid>
      <w:t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29948</Words>
  <Characters>166520</Characters>
  <CharactersWithSpaces>194727</CharactersWithSpaces>
  <Paragraphs>4777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