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3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108585</wp:posOffset>
            </wp:positionV>
            <wp:extent cx="3069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81280</wp:posOffset>
            </wp:positionV>
            <wp:extent cx="3069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pacing w:after="0" w:line="3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4" w:lineRule="exact"/>
        <w:rPr>
          <w:sz w:val="24"/>
          <w:szCs w:val="24"/>
          <w:color w:val="auto"/>
        </w:rPr>
      </w:pPr>
    </w:p>
    <w:p>
      <w:pPr>
        <w:ind w:left="780" w:hanging="455"/>
        <w:spacing w:after="0"/>
        <w:tabs>
          <w:tab w:leader="none" w:pos="7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period ended March 31, 2025</w:t>
      </w:r>
    </w:p>
    <w:p>
      <w:pPr>
        <w:spacing w:after="0" w:line="130" w:lineRule="exact"/>
        <w:rPr>
          <w:sz w:val="24"/>
          <w:szCs w:val="24"/>
          <w:color w:val="auto"/>
        </w:rPr>
      </w:pPr>
    </w:p>
    <w:p>
      <w:pPr>
        <w:ind w:left="800" w:hanging="475"/>
        <w:spacing w:after="0"/>
        <w:tabs>
          <w:tab w:leader="none" w:pos="8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6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75" w:lineRule="exact"/>
        <w:rPr>
          <w:sz w:val="24"/>
          <w:szCs w:val="24"/>
          <w:color w:val="auto"/>
        </w:rPr>
      </w:pPr>
    </w:p>
    <w:p>
      <w:pPr>
        <w:sectPr>
          <w:pgSz w:w="11900" w:h="16838" w:orient="portrait"/>
          <w:cols w:equalWidth="0" w:num="2">
            <w:col w:w="6040" w:space="560"/>
            <w:col w:w="4640"/>
          </w:cols>
          <w:pgMar w:left="320" w:top="227" w:right="3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128270</wp:posOffset>
            </wp:positionV>
            <wp:extent cx="3069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959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p>
      <w:pPr>
        <w:spacing w:after="0" w:line="257" w:lineRule="exact"/>
        <w:rPr>
          <w:sz w:val="24"/>
          <w:szCs w:val="24"/>
          <w:color w:val="auto"/>
        </w:rPr>
      </w:pPr>
    </w:p>
    <w:tbl>
      <w:tblPr>
        <w:tblLayout w:type="fixed"/>
        <w:tblInd w:w="1740" w:type="dxa"/>
        <w:tblCellMar>
          <w:top w:w="0" w:type="dxa"/>
          <w:left w:w="0" w:type="dxa"/>
          <w:bottom w:w="0" w:type="dxa"/>
          <w:right w:w="0" w:type="dxa"/>
        </w:tblCellMar>
      </w:tblPr>
      <w:tr>
        <w:trPr>
          <w:trHeight w:val="369"/>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20" w:type="dxa"/>
            <w:vAlign w:val="bottom"/>
            <w:gridSpan w:val="2"/>
          </w:tcPr>
          <w:p>
            <w:pPr>
              <w:jc w:val="center"/>
              <w:ind w:right="1820"/>
              <w:spacing w:after="0"/>
              <w:rPr>
                <w:sz w:val="20"/>
                <w:szCs w:val="20"/>
                <w:color w:val="auto"/>
              </w:rPr>
            </w:pPr>
            <w:r>
              <w:rPr>
                <w:rFonts w:ascii="Times New Roman" w:cs="Times New Roman" w:eastAsia="Times New Roman" w:hAnsi="Times New Roman"/>
                <w:sz w:val="28"/>
                <w:szCs w:val="28"/>
                <w:b w:val="1"/>
                <w:bCs w:val="1"/>
                <w:color w:val="auto"/>
              </w:rPr>
              <w:t>ESSENT GROUP LTD.</w:t>
            </w:r>
          </w:p>
        </w:tc>
      </w:tr>
      <w:tr>
        <w:trPr>
          <w:trHeight w:val="208"/>
        </w:trPr>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20" w:type="dxa"/>
            <w:vAlign w:val="bottom"/>
            <w:gridSpan w:val="2"/>
          </w:tcPr>
          <w:p>
            <w:pPr>
              <w:jc w:val="center"/>
              <w:ind w:right="180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r>
      <w:tr>
        <w:trPr>
          <w:trHeight w:val="164"/>
        </w:trPr>
        <w:tc>
          <w:tcPr>
            <w:tcW w:w="1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320"/>
        </w:trPr>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Bermuda</w:t>
            </w:r>
          </w:p>
        </w:tc>
        <w:tc>
          <w:tcPr>
            <w:tcW w:w="5420" w:type="dxa"/>
            <w:vAlign w:val="bottom"/>
            <w:gridSpan w:val="2"/>
          </w:tcPr>
          <w:p>
            <w:pPr>
              <w:jc w:val="center"/>
              <w:ind w:left="3850"/>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64"/>
        </w:trPr>
        <w:tc>
          <w:tcPr>
            <w:tcW w:w="2080" w:type="dxa"/>
            <w:vAlign w:val="bottom"/>
            <w:gridSpan w:val="2"/>
          </w:tcPr>
          <w:p>
            <w:pPr>
              <w:jc w:val="center"/>
              <w:ind w:right="160"/>
              <w:spacing w:after="0" w:line="165" w:lineRule="exact"/>
              <w:rPr>
                <w:sz w:val="20"/>
                <w:szCs w:val="20"/>
                <w:color w:val="auto"/>
              </w:rPr>
            </w:pPr>
            <w:r>
              <w:rPr>
                <w:rFonts w:ascii="Times New Roman" w:cs="Times New Roman" w:eastAsia="Times New Roman" w:hAnsi="Times New Roman"/>
                <w:sz w:val="16"/>
                <w:szCs w:val="16"/>
                <w:color w:val="auto"/>
                <w:w w:val="99"/>
              </w:rPr>
              <w:t>(State or other jurisdiction of</w:t>
            </w:r>
          </w:p>
        </w:tc>
        <w:tc>
          <w:tcPr>
            <w:tcW w:w="5420" w:type="dxa"/>
            <w:vAlign w:val="bottom"/>
            <w:gridSpan w:val="2"/>
          </w:tcPr>
          <w:p>
            <w:pPr>
              <w:jc w:val="center"/>
              <w:ind w:left="3850"/>
              <w:spacing w:after="0" w:line="165"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8"/>
        </w:trPr>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5420" w:type="dxa"/>
            <w:vAlign w:val="bottom"/>
            <w:gridSpan w:val="2"/>
          </w:tcPr>
          <w:p>
            <w:pPr>
              <w:jc w:val="center"/>
              <w:ind w:left="3850"/>
              <w:spacing w:after="0"/>
              <w:rPr>
                <w:sz w:val="20"/>
                <w:szCs w:val="20"/>
                <w:color w:val="auto"/>
              </w:rPr>
            </w:pPr>
            <w:r>
              <w:rPr>
                <w:rFonts w:ascii="Times New Roman" w:cs="Times New Roman" w:eastAsia="Times New Roman" w:hAnsi="Times New Roman"/>
                <w:sz w:val="16"/>
                <w:szCs w:val="16"/>
                <w:color w:val="auto"/>
                <w:w w:val="99"/>
              </w:rPr>
              <w:t>Identification Number)</w:t>
            </w:r>
          </w:p>
        </w:tc>
      </w:tr>
      <w:tr>
        <w:trPr>
          <w:trHeight w:val="278"/>
        </w:trPr>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20" w:type="dxa"/>
            <w:vAlign w:val="bottom"/>
            <w:gridSpan w:val="2"/>
          </w:tcPr>
          <w:p>
            <w:pPr>
              <w:jc w:val="center"/>
              <w:ind w:right="1820"/>
              <w:spacing w:after="0"/>
              <w:rPr>
                <w:sz w:val="20"/>
                <w:szCs w:val="20"/>
                <w:color w:val="auto"/>
              </w:rPr>
            </w:pPr>
            <w:r>
              <w:rPr>
                <w:rFonts w:ascii="Times New Roman" w:cs="Times New Roman" w:eastAsia="Times New Roman" w:hAnsi="Times New Roman"/>
                <w:sz w:val="16"/>
                <w:szCs w:val="16"/>
                <w:b w:val="1"/>
                <w:bCs w:val="1"/>
                <w:color w:val="auto"/>
              </w:rPr>
              <w:t>Clarendon House</w:t>
            </w:r>
          </w:p>
        </w:tc>
      </w:tr>
    </w:tbl>
    <w:p>
      <w:pPr>
        <w:jc w:val="center"/>
        <w:spacing w:after="0"/>
        <w:rPr>
          <w:sz w:val="20"/>
          <w:szCs w:val="20"/>
          <w:color w:val="auto"/>
        </w:rPr>
      </w:pPr>
      <w:r>
        <w:rPr>
          <w:rFonts w:ascii="Times New Roman" w:cs="Times New Roman" w:eastAsia="Times New Roman" w:hAnsi="Times New Roman"/>
          <w:sz w:val="16"/>
          <w:szCs w:val="16"/>
          <w:b w:val="1"/>
          <w:bCs w:val="1"/>
          <w:color w:val="auto"/>
        </w:rPr>
        <w:t>2 Church Street</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Hamilton HM11, Bermuda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(441) 297-9901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2"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0" w:lineRule="exact"/>
        <w:rPr>
          <w:sz w:val="24"/>
          <w:szCs w:val="24"/>
          <w:color w:val="auto"/>
        </w:rPr>
      </w:pPr>
    </w:p>
    <w:tbl>
      <w:tblPr>
        <w:tblLayout w:type="fixed"/>
        <w:tblInd w:w="50" w:type="dxa"/>
        <w:tblCellMar>
          <w:top w:w="0" w:type="dxa"/>
          <w:left w:w="0" w:type="dxa"/>
          <w:bottom w:w="0" w:type="dxa"/>
          <w:right w:w="0" w:type="dxa"/>
        </w:tblCellMar>
      </w:tblPr>
      <w:tr>
        <w:trPr>
          <w:trHeight w:val="225"/>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20"/>
        </w:trPr>
        <w:tc>
          <w:tcPr>
            <w:tcW w:w="41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Shares, $0.015 par value</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ESNT</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314" w:lineRule="exact"/>
        <w:rPr>
          <w:sz w:val="24"/>
          <w:szCs w:val="24"/>
          <w:color w:val="auto"/>
        </w:rPr>
      </w:pPr>
    </w:p>
    <w:p>
      <w:pPr>
        <w:jc w:val="both"/>
        <w:ind w:right="240" w:firstLine="55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right="100" w:firstLine="55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ind w:right="140" w:firstLine="558"/>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44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6"/>
        </w:trPr>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34" w:lineRule="exact"/>
        <w:rPr>
          <w:sz w:val="24"/>
          <w:szCs w:val="24"/>
          <w:color w:val="auto"/>
        </w:rPr>
      </w:pPr>
    </w:p>
    <w:p>
      <w:pPr>
        <w:ind w:right="120" w:firstLine="558"/>
        <w:spacing w:after="0" w:line="22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60" w:right="1580"/>
        <w:spacing w:after="0" w:line="21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common shares outstanding as of April 30, 2025 was 101,401,546.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535940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78"/>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Essent Group Ltd. and Subsidiaries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60" w:type="dxa"/>
            <w:vAlign w:val="bottom"/>
            <w:gridSpan w:val="9"/>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17"/>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80" w:type="dxa"/>
            <w:vAlign w:val="bottom"/>
          </w:tcPr>
          <w:p>
            <w:pPr>
              <w:spacing w:after="0"/>
              <w:rPr>
                <w:sz w:val="24"/>
                <w:szCs w:val="24"/>
                <w:color w:val="auto"/>
              </w:rPr>
            </w:pPr>
          </w:p>
        </w:tc>
        <w:tc>
          <w:tcPr>
            <w:tcW w:w="900" w:type="dxa"/>
            <w:vAlign w:val="bottom"/>
            <w:gridSpan w:val="5"/>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 (Unaudited)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(Unaudited)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(Unaudited)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Changes in Stockholders’ Equity (Unaudited)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7"/>
              </w:rPr>
              <w:t>Condensed Consolidated Statements of Cash Flows (Unaudited)</w:t>
            </w:r>
          </w:p>
        </w:tc>
        <w:tc>
          <w:tcPr>
            <w:tcW w:w="1600" w:type="dxa"/>
            <w:vAlign w:val="bottom"/>
            <w:gridSpan w:val="3"/>
          </w:tcPr>
          <w:p>
            <w:pPr>
              <w:spacing w:after="0"/>
              <w:rPr>
                <w:sz w:val="24"/>
                <w:szCs w:val="24"/>
                <w:color w:val="auto"/>
              </w:rPr>
            </w:pPr>
          </w:p>
        </w:tc>
        <w:tc>
          <w:tcPr>
            <w:tcW w:w="1680" w:type="dxa"/>
            <w:vAlign w:val="bottom"/>
            <w:gridSpan w:val="2"/>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 (Unaudited)</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60" w:type="dxa"/>
            <w:vAlign w:val="bottom"/>
            <w:gridSpan w:val="4"/>
          </w:tcPr>
          <w:p>
            <w:pPr>
              <w:spacing w:after="0"/>
              <w:rPr>
                <w:sz w:val="24"/>
                <w:szCs w:val="24"/>
                <w:color w:val="auto"/>
              </w:rPr>
            </w:pPr>
          </w:p>
        </w:tc>
        <w:tc>
          <w:tcPr>
            <w:tcW w:w="6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7"/>
              </w:rPr>
              <w:t>Management’s Discussion and Analysis of Financial Condition and Results of Operations</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432"/>
        </w:trPr>
        <w:tc>
          <w:tcPr>
            <w:tcW w:w="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60" w:type="dxa"/>
            <w:vAlign w:val="bottom"/>
            <w:gridSpan w:val="4"/>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432"/>
        </w:trPr>
        <w:tc>
          <w:tcPr>
            <w:tcW w:w="20" w:type="dxa"/>
            <w:vAlign w:val="bottom"/>
          </w:tcPr>
          <w:p>
            <w:pPr>
              <w:spacing w:after="0"/>
              <w:rPr>
                <w:sz w:val="24"/>
                <w:szCs w:val="24"/>
                <w:color w:val="auto"/>
              </w:rPr>
            </w:pPr>
          </w:p>
        </w:tc>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4.</w:t>
            </w:r>
          </w:p>
        </w:tc>
        <w:tc>
          <w:tcPr>
            <w:tcW w:w="120" w:type="dxa"/>
            <w:vAlign w:val="bottom"/>
            <w:tcBorders>
              <w:top w:val="single" w:sz="8" w:color="0000FF"/>
            </w:tcBorders>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18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Controls and Procedures</w:t>
            </w:r>
          </w:p>
        </w:tc>
        <w:tc>
          <w:tcPr>
            <w:tcW w:w="2700" w:type="dxa"/>
            <w:vAlign w:val="bottom"/>
            <w:tcBorders>
              <w:top w:val="single" w:sz="8" w:color="0000FF"/>
            </w:tcBorders>
            <w:gridSpan w:val="6"/>
          </w:tcPr>
          <w:p>
            <w:pPr>
              <w:spacing w:after="0"/>
              <w:rPr>
                <w:sz w:val="24"/>
                <w:szCs w:val="24"/>
                <w:color w:val="auto"/>
              </w:rPr>
            </w:pPr>
          </w:p>
        </w:tc>
        <w:tc>
          <w:tcPr>
            <w:tcW w:w="352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r>
      <w:tr>
        <w:trPr>
          <w:trHeight w:val="432"/>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432"/>
        </w:trPr>
        <w:tc>
          <w:tcPr>
            <w:tcW w:w="20" w:type="dxa"/>
            <w:vAlign w:val="bottom"/>
          </w:tcPr>
          <w:p>
            <w:pPr>
              <w:spacing w:after="0"/>
              <w:rPr>
                <w:sz w:val="24"/>
                <w:szCs w:val="24"/>
                <w:color w:val="auto"/>
              </w:rPr>
            </w:pPr>
          </w:p>
        </w:tc>
        <w:tc>
          <w:tcPr>
            <w:tcW w:w="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20" w:type="dxa"/>
            <w:vAlign w:val="bottom"/>
            <w:tcBorders>
              <w:top w:val="single" w:sz="8" w:color="0000FF"/>
            </w:tcBorders>
          </w:tcPr>
          <w:p>
            <w:pPr>
              <w:spacing w:after="0"/>
              <w:rPr>
                <w:sz w:val="24"/>
                <w:szCs w:val="24"/>
                <w:color w:val="auto"/>
              </w:rPr>
            </w:pPr>
          </w:p>
        </w:tc>
        <w:tc>
          <w:tcPr>
            <w:tcW w:w="840" w:type="dxa"/>
            <w:vAlign w:val="bottom"/>
            <w:gridSpan w:val="3"/>
          </w:tcPr>
          <w:p>
            <w:pPr>
              <w:spacing w:after="0"/>
              <w:rPr>
                <w:sz w:val="24"/>
                <w:szCs w:val="24"/>
                <w:color w:val="auto"/>
              </w:rPr>
            </w:pPr>
          </w:p>
        </w:tc>
        <w:tc>
          <w:tcPr>
            <w:tcW w:w="13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6"/>
              </w:rPr>
              <w:t>Legal Proceedings</w:t>
            </w:r>
          </w:p>
        </w:tc>
        <w:tc>
          <w:tcPr>
            <w:tcW w:w="600" w:type="dxa"/>
            <w:vAlign w:val="bottom"/>
            <w:tcBorders>
              <w:top w:val="single" w:sz="8" w:color="0000FF"/>
            </w:tcBorders>
            <w:gridSpan w:val="2"/>
          </w:tcPr>
          <w:p>
            <w:pPr>
              <w:spacing w:after="0"/>
              <w:rPr>
                <w:sz w:val="24"/>
                <w:szCs w:val="24"/>
                <w:color w:val="auto"/>
              </w:rPr>
            </w:pPr>
          </w:p>
        </w:tc>
        <w:tc>
          <w:tcPr>
            <w:tcW w:w="6120" w:type="dxa"/>
            <w:vAlign w:val="bottom"/>
            <w:gridSpan w:val="11"/>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432"/>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51</w:t>
            </w: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6"/>
              </w:rPr>
              <w:t>Item 2.</w:t>
            </w:r>
          </w:p>
        </w:tc>
        <w:tc>
          <w:tcPr>
            <w:tcW w:w="120" w:type="dxa"/>
            <w:vAlign w:val="bottom"/>
            <w:gridSpan w:val="2"/>
          </w:tcPr>
          <w:p>
            <w:pPr>
              <w:spacing w:after="0"/>
              <w:rPr>
                <w:sz w:val="24"/>
                <w:szCs w:val="24"/>
                <w:color w:val="auto"/>
              </w:rPr>
            </w:pPr>
          </w:p>
        </w:tc>
        <w:tc>
          <w:tcPr>
            <w:tcW w:w="860" w:type="dxa"/>
            <w:vAlign w:val="bottom"/>
            <w:gridSpan w:val="4"/>
          </w:tcPr>
          <w:p>
            <w:pPr>
              <w:spacing w:after="0"/>
              <w:rPr>
                <w:sz w:val="24"/>
                <w:szCs w:val="24"/>
                <w:color w:val="auto"/>
              </w:rPr>
            </w:pPr>
          </w:p>
        </w:tc>
        <w:tc>
          <w:tcPr>
            <w:tcW w:w="4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7"/>
              </w:rPr>
              <w:t>Unregistered Sales of Equity Securities and Use of Proceeds</w:t>
            </w:r>
          </w:p>
        </w:tc>
        <w:tc>
          <w:tcPr>
            <w:tcW w:w="3600" w:type="dxa"/>
            <w:vAlign w:val="bottom"/>
            <w:gridSpan w:val="7"/>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6.</w:t>
            </w:r>
          </w:p>
        </w:tc>
        <w:tc>
          <w:tcPr>
            <w:tcW w:w="980" w:type="dxa"/>
            <w:vAlign w:val="bottom"/>
            <w:gridSpan w:val="6"/>
          </w:tcPr>
          <w:p>
            <w:pPr>
              <w:spacing w:after="0"/>
              <w:rPr>
                <w:sz w:val="24"/>
                <w:szCs w:val="24"/>
                <w:color w:val="auto"/>
              </w:rPr>
            </w:pPr>
          </w:p>
        </w:tc>
        <w:tc>
          <w:tcPr>
            <w:tcW w:w="81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the context otherwise indicates or requires, the terms “we,” “our,” “us,” “Essent,” and the “Company,” as used in this Quarterly Report on</w:t>
      </w:r>
    </w:p>
    <w:p>
      <w:pPr>
        <w:spacing w:after="0" w:line="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0" w:lineRule="exact"/>
        <w:rPr>
          <w:sz w:val="20"/>
          <w:szCs w:val="20"/>
          <w:color w:val="auto"/>
        </w:rPr>
      </w:pPr>
    </w:p>
    <w:p>
      <w:pPr>
        <w:ind w:right="20" w:firstLine="638"/>
        <w:spacing w:after="0" w:line="269" w:lineRule="auto"/>
        <w:rPr>
          <w:sz w:val="20"/>
          <w:szCs w:val="20"/>
          <w:color w:val="auto"/>
        </w:rPr>
      </w:pPr>
      <w:r>
        <w:rPr>
          <w:rFonts w:ascii="Times New Roman" w:cs="Times New Roman" w:eastAsia="Times New Roman" w:hAnsi="Times New Roman"/>
          <w:sz w:val="17"/>
          <w:szCs w:val="17"/>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73" w:lineRule="exact"/>
        <w:rPr>
          <w:sz w:val="20"/>
          <w:szCs w:val="20"/>
          <w:color w:val="auto"/>
        </w:rPr>
      </w:pPr>
    </w:p>
    <w:p>
      <w:pPr>
        <w:ind w:right="20" w:firstLine="638"/>
        <w:spacing w:after="0" w:line="250"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2024 filed with the Securities and Exchange Commission. These factors include, without limitation, the following:</w:t>
      </w:r>
    </w:p>
    <w:p>
      <w:pPr>
        <w:spacing w:after="0" w:line="188" w:lineRule="exact"/>
        <w:rPr>
          <w:sz w:val="20"/>
          <w:szCs w:val="20"/>
          <w:color w:val="auto"/>
        </w:rPr>
      </w:pPr>
    </w:p>
    <w:p>
      <w:pPr>
        <w:ind w:left="640" w:right="220" w:hanging="315"/>
        <w:spacing w:after="0" w:line="27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to Fannie Mae and Freddie Mac, which we refer to collectively as the GSEs, whether through Federal legislation, restructurings or a shift in business practices;</w:t>
      </w:r>
    </w:p>
    <w:p>
      <w:pPr>
        <w:spacing w:after="0" w:line="18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meet the mortgage insurer eligibility requirements of the GSEs;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customers or the loss of a significant customer;</w:t>
      </w:r>
    </w:p>
    <w:p>
      <w:pPr>
        <w:spacing w:after="0" w:line="217"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or investors seeking alternatives to private mortgage insurance;</w:t>
      </w:r>
    </w:p>
    <w:p>
      <w:pPr>
        <w:spacing w:after="0" w:line="244" w:lineRule="exact"/>
        <w:rPr>
          <w:rFonts w:ascii="Times New Roman" w:cs="Times New Roman" w:eastAsia="Times New Roman" w:hAnsi="Times New Roman"/>
          <w:sz w:val="18"/>
          <w:szCs w:val="18"/>
          <w:color w:val="auto"/>
        </w:rPr>
      </w:pPr>
    </w:p>
    <w:p>
      <w:pPr>
        <w:ind w:left="640" w:right="140" w:hanging="315"/>
        <w:spacing w:after="0" w:line="27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number of loans insured through Federal government mortgage insurance programs, including those offered by the Federal Housing Administration;</w:t>
      </w:r>
    </w:p>
    <w:p>
      <w:pPr>
        <w:spacing w:after="0" w:line="18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the volume of low down payment mortgage originations;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loss reserve estimates;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length of time our insurance policies are in force;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enacted U.S. Federal tax reform and its impact on us, our shareholders and our operations;</w:t>
      </w:r>
    </w:p>
    <w:p>
      <w:pPr>
        <w:spacing w:after="0" w:line="244" w:lineRule="exact"/>
        <w:rPr>
          <w:rFonts w:ascii="Times New Roman" w:cs="Times New Roman" w:eastAsia="Times New Roman" w:hAnsi="Times New Roman"/>
          <w:sz w:val="18"/>
          <w:szCs w:val="18"/>
          <w:color w:val="auto"/>
        </w:rPr>
      </w:pPr>
    </w:p>
    <w:p>
      <w:pPr>
        <w:ind w:left="640" w:right="420" w:hanging="315"/>
        <w:spacing w:after="0" w:line="27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Mortgage” reducing the size of the mortgage origination market or creating incentives to use government mortgage insurance programs;</w:t>
      </w:r>
    </w:p>
    <w:p>
      <w:pPr>
        <w:spacing w:after="0" w:line="189" w:lineRule="exact"/>
        <w:rPr>
          <w:rFonts w:ascii="Times New Roman" w:cs="Times New Roman" w:eastAsia="Times New Roman" w:hAnsi="Times New Roman"/>
          <w:sz w:val="18"/>
          <w:szCs w:val="18"/>
          <w:color w:val="auto"/>
        </w:rPr>
      </w:pPr>
    </w:p>
    <w:p>
      <w:pPr>
        <w:ind w:left="640" w:right="100" w:hanging="315"/>
        <w:spacing w:after="0" w:line="27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“Qualified Residential Mortgage” reducing the number of low down payment loans or lenders and investors seeking alternatives to private mortgage insurance;</w:t>
      </w:r>
    </w:p>
    <w:p>
      <w:pPr>
        <w:spacing w:after="0" w:line="189"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Basel III Capital Accord, which may discourage the use of private mortgage insurance;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risk in our investment portfolio;</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the premiums we charge to compensate for our losses incurred;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management team and qualified personnel;</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disturbance to our information technology systems;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our customers’ capital requirements discouraging the use of mortgage insurance;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value of borrowers’ homes;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capital or reinsurance;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claims arise under and risks associated with our contract underwriting program;</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practice that loss reserves are established only upon a loan default;</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mortgage loan servicing;</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future legal proceedings;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technological demands;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operations becoming subject to U.S. Federal income taxation;</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considered a passive foreign investment company for U.S. Federal income tax purposes; and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restrictions on the ability of our insurance subsidiaries to pay dividends.</w:t>
      </w:r>
    </w:p>
    <w:p>
      <w:pPr>
        <w:spacing w:after="0" w:line="218"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778"/>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800" w:type="dxa"/>
            <w:vAlign w:val="bottom"/>
            <w:gridSpan w:val="2"/>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7"/>
              </w:rPr>
              <w:t>PART I — FINANCIAL INFORMATION</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5"/>
        </w:trPr>
        <w:tc>
          <w:tcPr>
            <w:tcW w:w="8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5"/>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0" w:type="dxa"/>
            <w:vAlign w:val="bottom"/>
            <w:gridSpan w:val="2"/>
          </w:tcPr>
          <w:p>
            <w:pPr>
              <w:jc w:val="center"/>
              <w:ind w:left="1851"/>
              <w:spacing w:after="0"/>
              <w:rPr>
                <w:sz w:val="20"/>
                <w:szCs w:val="20"/>
                <w:color w:val="auto"/>
              </w:rPr>
            </w:pPr>
            <w:r>
              <w:rPr>
                <w:rFonts w:ascii="Times New Roman" w:cs="Times New Roman" w:eastAsia="Times New Roman" w:hAnsi="Times New Roman"/>
                <w:sz w:val="18"/>
                <w:szCs w:val="18"/>
                <w:b w:val="1"/>
                <w:bCs w:val="1"/>
                <w:color w:val="auto"/>
                <w:w w:val="98"/>
              </w:rPr>
              <w:t>Essent Group Ltd. and Subsidiaries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0" w:type="dxa"/>
            <w:vAlign w:val="bottom"/>
            <w:gridSpan w:val="2"/>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8"/>
              </w:rPr>
              <w:t>Condensed Consolidated Balance Sheets (Unaudited)</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1"/>
                <w:szCs w:val="21"/>
                <w:color w:val="auto"/>
              </w:rPr>
            </w:pPr>
          </w:p>
        </w:tc>
        <w:tc>
          <w:tcPr>
            <w:tcW w:w="134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40" w:type="dxa"/>
            <w:vAlign w:val="bottom"/>
          </w:tcPr>
          <w:p>
            <w:pPr>
              <w:spacing w:after="0"/>
              <w:rPr>
                <w:sz w:val="20"/>
                <w:szCs w:val="20"/>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260" w:type="dxa"/>
            <w:vAlign w:val="bottom"/>
          </w:tcPr>
          <w:p>
            <w:pPr>
              <w:spacing w:after="0"/>
              <w:rPr>
                <w:sz w:val="20"/>
                <w:szCs w:val="20"/>
                <w:color w:val="auto"/>
              </w:rPr>
            </w:pPr>
          </w:p>
        </w:tc>
        <w:tc>
          <w:tcPr>
            <w:tcW w:w="128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9"/>
        </w:trPr>
        <w:tc>
          <w:tcPr>
            <w:tcW w:w="40" w:type="dxa"/>
            <w:vAlign w:val="bottom"/>
          </w:tcPr>
          <w:p>
            <w:pPr>
              <w:spacing w:after="0"/>
              <w:rPr>
                <w:sz w:val="19"/>
                <w:szCs w:val="19"/>
                <w:color w:val="auto"/>
              </w:rPr>
            </w:pPr>
          </w:p>
        </w:tc>
        <w:tc>
          <w:tcPr>
            <w:tcW w:w="79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8020" w:type="dxa"/>
            <w:vAlign w:val="bottom"/>
            <w:gridSpan w:val="3"/>
            <w:shd w:val="clear" w:color="auto" w:fill="CCEEFF"/>
          </w:tcPr>
          <w:p>
            <w:pPr>
              <w:ind w:left="260"/>
              <w:spacing w:after="0" w:line="173" w:lineRule="exact"/>
              <w:rPr>
                <w:sz w:val="20"/>
                <w:szCs w:val="20"/>
                <w:color w:val="auto"/>
              </w:rPr>
            </w:pPr>
            <w:r>
              <w:rPr>
                <w:rFonts w:ascii="Times New Roman" w:cs="Times New Roman" w:eastAsia="Times New Roman" w:hAnsi="Times New Roman"/>
                <w:sz w:val="18"/>
                <w:szCs w:val="18"/>
                <w:color w:val="auto"/>
              </w:rPr>
              <w:t>Fixed maturities available for sale, at fair value (amortized cost: 2025 — $5,616,705;</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8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2024 — $5,467,238)</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5,112,697</w:t>
            </w:r>
          </w:p>
        </w:tc>
      </w:tr>
      <w:tr>
        <w:trPr>
          <w:trHeight w:val="173"/>
        </w:trPr>
        <w:tc>
          <w:tcPr>
            <w:tcW w:w="40" w:type="dxa"/>
            <w:vAlign w:val="bottom"/>
          </w:tcPr>
          <w:p>
            <w:pPr>
              <w:spacing w:after="0"/>
              <w:rPr>
                <w:sz w:val="15"/>
                <w:szCs w:val="15"/>
                <w:color w:val="auto"/>
              </w:rPr>
            </w:pPr>
          </w:p>
        </w:tc>
        <w:tc>
          <w:tcPr>
            <w:tcW w:w="8020" w:type="dxa"/>
            <w:vAlign w:val="bottom"/>
            <w:gridSpan w:val="3"/>
          </w:tcPr>
          <w:p>
            <w:pPr>
              <w:ind w:left="260"/>
              <w:spacing w:after="0" w:line="173" w:lineRule="exact"/>
              <w:rPr>
                <w:sz w:val="20"/>
                <w:szCs w:val="20"/>
                <w:color w:val="auto"/>
              </w:rPr>
            </w:pPr>
            <w:r>
              <w:rPr>
                <w:rFonts w:ascii="Times New Roman" w:cs="Times New Roman" w:eastAsia="Times New Roman" w:hAnsi="Times New Roman"/>
                <w:sz w:val="18"/>
                <w:szCs w:val="18"/>
                <w:color w:val="auto"/>
              </w:rPr>
              <w:t>Short-term investments available for sale, at fair value (amortized cost: 2025 —</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8020" w:type="dxa"/>
            <w:vAlign w:val="bottom"/>
            <w:tcBorders>
              <w:bottom w:val="single" w:sz="8" w:color="CCEEFF"/>
            </w:tcBorders>
            <w:gridSpan w:val="3"/>
          </w:tcPr>
          <w:p>
            <w:pPr>
              <w:ind w:left="460"/>
              <w:spacing w:after="0"/>
              <w:rPr>
                <w:sz w:val="20"/>
                <w:szCs w:val="20"/>
                <w:color w:val="auto"/>
              </w:rPr>
            </w:pPr>
            <w:r>
              <w:rPr>
                <w:rFonts w:ascii="Times New Roman" w:cs="Times New Roman" w:eastAsia="Times New Roman" w:hAnsi="Times New Roman"/>
                <w:sz w:val="18"/>
                <w:szCs w:val="18"/>
                <w:color w:val="auto"/>
              </w:rPr>
              <w:t>$536,919; 2024 — $763,780)</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536,950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764,024</w:t>
            </w:r>
          </w:p>
        </w:tc>
      </w:tr>
      <w:tr>
        <w:trPr>
          <w:trHeight w:val="219"/>
        </w:trPr>
        <w:tc>
          <w:tcPr>
            <w:tcW w:w="40" w:type="dxa"/>
            <w:vAlign w:val="bottom"/>
          </w:tcPr>
          <w:p>
            <w:pPr>
              <w:spacing w:after="0"/>
              <w:rPr>
                <w:sz w:val="19"/>
                <w:szCs w:val="19"/>
                <w:color w:val="auto"/>
              </w:rPr>
            </w:pPr>
          </w:p>
        </w:tc>
        <w:tc>
          <w:tcPr>
            <w:tcW w:w="80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r>
      <w:tr>
        <w:trPr>
          <w:trHeight w:val="226"/>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8"/>
                <w:szCs w:val="18"/>
                <w:color w:val="auto"/>
              </w:rPr>
              <w:t>Other invested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303,900</w:t>
            </w:r>
          </w:p>
        </w:tc>
      </w:tr>
      <w:tr>
        <w:trPr>
          <w:trHeight w:val="219"/>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6,180,621</w:t>
            </w:r>
          </w:p>
        </w:tc>
      </w:tr>
      <w:tr>
        <w:trPr>
          <w:trHeight w:val="226"/>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131,480</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43,732</w:t>
            </w:r>
          </w:p>
        </w:tc>
      </w:tr>
      <w:tr>
        <w:trPr>
          <w:trHeight w:val="226"/>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55,564</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r>
      <w:tr>
        <w:trPr>
          <w:trHeight w:val="173"/>
        </w:trPr>
        <w:tc>
          <w:tcPr>
            <w:tcW w:w="40" w:type="dxa"/>
            <w:vAlign w:val="bottom"/>
          </w:tcPr>
          <w:p>
            <w:pPr>
              <w:spacing w:after="0"/>
              <w:rPr>
                <w:sz w:val="15"/>
                <w:szCs w:val="15"/>
                <w:color w:val="auto"/>
              </w:rPr>
            </w:pPr>
          </w:p>
        </w:tc>
        <w:tc>
          <w:tcPr>
            <w:tcW w:w="802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Property and equipment (at cost, less accumulated depreciation of $73,293 in 2025 and</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80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$72,270 in 2024)</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41,871</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federal income tax</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489,600</w:t>
            </w:r>
          </w:p>
        </w:tc>
      </w:tr>
      <w:tr>
        <w:trPr>
          <w:trHeight w:val="226"/>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 and acquired intangible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79,556</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79,572</w:t>
            </w:r>
          </w:p>
        </w:tc>
      </w:tr>
      <w:tr>
        <w:trPr>
          <w:trHeight w:val="21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r>
      <w:tr>
        <w:trPr>
          <w:trHeight w:val="20"/>
        </w:trPr>
        <w:tc>
          <w:tcPr>
            <w:tcW w:w="4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26"/>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Stockholders’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Reserve for losses and LAE</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328,866</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premium reserve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115,983</w:t>
            </w:r>
          </w:p>
        </w:tc>
      </w:tr>
      <w:tr>
        <w:trPr>
          <w:trHeight w:val="226"/>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392,428</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493,959</w:t>
            </w:r>
          </w:p>
        </w:tc>
      </w:tr>
      <w:tr>
        <w:trPr>
          <w:trHeight w:val="226"/>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171,280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176,755</w:t>
            </w:r>
          </w:p>
        </w:tc>
      </w:tr>
      <w:tr>
        <w:trPr>
          <w:trHeight w:val="21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1,545,405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1,507,991</w:t>
            </w:r>
          </w:p>
        </w:tc>
      </w:tr>
      <w:tr>
        <w:trPr>
          <w:trHeight w:val="206"/>
        </w:trPr>
        <w:tc>
          <w:tcPr>
            <w:tcW w:w="40" w:type="dxa"/>
            <w:vAlign w:val="bottom"/>
          </w:tcPr>
          <w:p>
            <w:pPr>
              <w:spacing w:after="0"/>
              <w:rPr>
                <w:sz w:val="17"/>
                <w:szCs w:val="17"/>
                <w:color w:val="auto"/>
              </w:rPr>
            </w:pPr>
          </w:p>
        </w:tc>
        <w:tc>
          <w:tcPr>
            <w:tcW w:w="8020" w:type="dxa"/>
            <w:vAlign w:val="bottom"/>
            <w:gridSpan w:val="3"/>
          </w:tcPr>
          <w:p>
            <w:pPr>
              <w:ind w:left="20"/>
              <w:spacing w:after="0" w:line="206" w:lineRule="exact"/>
              <w:rPr>
                <w:sz w:val="20"/>
                <w:szCs w:val="20"/>
                <w:color w:val="auto"/>
              </w:rPr>
            </w:pPr>
            <w:r>
              <w:rPr>
                <w:rFonts w:ascii="Times New Roman" w:cs="Times New Roman" w:eastAsia="Times New Roman" w:hAnsi="Times New Roman"/>
                <w:sz w:val="18"/>
                <w:szCs w:val="18"/>
                <w:color w:val="auto"/>
              </w:rPr>
              <w:t>Commitments and contingencies (see Note 7)</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Common shares, $0.015 par value: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8020" w:type="dxa"/>
            <w:vAlign w:val="bottom"/>
            <w:gridSpan w:val="3"/>
            <w:shd w:val="clear" w:color="auto" w:fill="CCEEFF"/>
          </w:tcPr>
          <w:p>
            <w:pPr>
              <w:ind w:left="420"/>
              <w:spacing w:after="0" w:line="173" w:lineRule="exact"/>
              <w:rPr>
                <w:sz w:val="20"/>
                <w:szCs w:val="20"/>
                <w:color w:val="auto"/>
              </w:rPr>
            </w:pPr>
            <w:r>
              <w:rPr>
                <w:rFonts w:ascii="Times New Roman" w:cs="Times New Roman" w:eastAsia="Times New Roman" w:hAnsi="Times New Roman"/>
                <w:sz w:val="18"/>
                <w:szCs w:val="18"/>
                <w:color w:val="auto"/>
              </w:rPr>
              <w:t>Authorized - 233,333; issued and outstanding - 102,495 shares in 2025 and 105,015</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80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in 2024</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26"/>
        </w:trPr>
        <w:tc>
          <w:tcPr>
            <w:tcW w:w="40" w:type="dxa"/>
            <w:vAlign w:val="bottom"/>
          </w:tcPr>
          <w:p>
            <w:pPr>
              <w:spacing w:after="0"/>
              <w:rPr>
                <w:sz w:val="19"/>
                <w:szCs w:val="19"/>
                <w:color w:val="auto"/>
              </w:rPr>
            </w:pPr>
          </w:p>
        </w:tc>
        <w:tc>
          <w:tcPr>
            <w:tcW w:w="8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r>
      <w:tr>
        <w:trPr>
          <w:trHeight w:val="226"/>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(303,984)</w:t>
            </w:r>
          </w:p>
        </w:tc>
      </w:tr>
      <w:tr>
        <w:trPr>
          <w:trHeight w:val="226"/>
        </w:trPr>
        <w:tc>
          <w:tcPr>
            <w:tcW w:w="40" w:type="dxa"/>
            <w:vAlign w:val="bottom"/>
          </w:tcPr>
          <w:p>
            <w:pPr>
              <w:spacing w:after="0"/>
              <w:rPr>
                <w:sz w:val="19"/>
                <w:szCs w:val="19"/>
                <w:color w:val="auto"/>
              </w:rPr>
            </w:pPr>
          </w:p>
        </w:tc>
        <w:tc>
          <w:tcPr>
            <w:tcW w:w="80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4,834,675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4,691,111</w:t>
            </w:r>
          </w:p>
        </w:tc>
      </w:tr>
      <w:tr>
        <w:trPr>
          <w:trHeight w:val="219"/>
        </w:trPr>
        <w:tc>
          <w:tcPr>
            <w:tcW w:w="40" w:type="dxa"/>
            <w:vAlign w:val="bottom"/>
          </w:tcPr>
          <w:p>
            <w:pPr>
              <w:spacing w:after="0"/>
              <w:rPr>
                <w:sz w:val="19"/>
                <w:szCs w:val="19"/>
                <w:color w:val="auto"/>
              </w:rPr>
            </w:pPr>
          </w:p>
        </w:tc>
        <w:tc>
          <w:tcPr>
            <w:tcW w:w="8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5,603,658</w:t>
            </w:r>
          </w:p>
        </w:tc>
      </w:tr>
      <w:tr>
        <w:trPr>
          <w:trHeight w:val="219"/>
        </w:trPr>
        <w:tc>
          <w:tcPr>
            <w:tcW w:w="40" w:type="dxa"/>
            <w:vAlign w:val="bottom"/>
          </w:tcPr>
          <w:p>
            <w:pPr>
              <w:spacing w:after="0"/>
              <w:rPr>
                <w:sz w:val="19"/>
                <w:szCs w:val="19"/>
                <w:color w:val="auto"/>
              </w:rPr>
            </w:pPr>
          </w:p>
        </w:tc>
        <w:tc>
          <w:tcPr>
            <w:tcW w:w="8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7,204,711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7,111,649</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238,271</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238,540</w:t>
            </w: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9"/>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245,590</w:t>
            </w: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52,085</w:t>
            </w:r>
          </w:p>
        </w:tc>
        <w:tc>
          <w:tcPr>
            <w:tcW w:w="0" w:type="dxa"/>
            <w:vAlign w:val="bottom"/>
          </w:tcPr>
          <w:p>
            <w:pPr>
              <w:spacing w:after="0"/>
              <w:rPr>
                <w:sz w:val="1"/>
                <w:szCs w:val="1"/>
                <w:color w:val="auto"/>
              </w:rPr>
            </w:pPr>
          </w:p>
        </w:tc>
      </w:tr>
      <w:tr>
        <w:trPr>
          <w:trHeight w:val="22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losses, net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26"/>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298,357</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losses and LAE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0" w:type="dxa"/>
            <w:vAlign w:val="bottom"/>
          </w:tcPr>
          <w:p>
            <w:pPr>
              <w:spacing w:after="0"/>
              <w:rPr>
                <w:sz w:val="1"/>
                <w:szCs w:val="1"/>
                <w:color w:val="auto"/>
              </w:rPr>
            </w:pPr>
          </w:p>
        </w:tc>
      </w:tr>
      <w:tr>
        <w:trPr>
          <w:trHeight w:val="226"/>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losses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84,615</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213,742</w:t>
            </w:r>
          </w:p>
        </w:tc>
        <w:tc>
          <w:tcPr>
            <w:tcW w:w="0" w:type="dxa"/>
            <w:vAlign w:val="bottom"/>
          </w:tcPr>
          <w:p>
            <w:pPr>
              <w:spacing w:after="0"/>
              <w:rPr>
                <w:sz w:val="1"/>
                <w:szCs w:val="1"/>
                <w:color w:val="auto"/>
              </w:rPr>
            </w:pPr>
          </w:p>
        </w:tc>
      </w:tr>
      <w:tr>
        <w:trPr>
          <w:trHeight w:val="226"/>
        </w:trPr>
        <w:tc>
          <w:tcPr>
            <w:tcW w:w="8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105,697</w:t>
            </w: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106,770</w:t>
            </w:r>
          </w:p>
        </w:tc>
        <w:tc>
          <w:tcPr>
            <w:tcW w:w="0" w:type="dxa"/>
            <w:vAlign w:val="bottom"/>
          </w:tcPr>
          <w:p>
            <w:pPr>
              <w:spacing w:after="0"/>
              <w:rPr>
                <w:sz w:val="1"/>
                <w:szCs w:val="1"/>
                <w:color w:val="auto"/>
              </w:rPr>
            </w:pPr>
          </w:p>
        </w:tc>
      </w:tr>
      <w:tr>
        <w:trPr>
          <w:trHeight w:val="252"/>
        </w:trPr>
        <w:tc>
          <w:tcPr>
            <w:tcW w:w="8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181,719</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340" w:type="dxa"/>
            <w:vAlign w:val="bottom"/>
            <w:gridSpan w:val="2"/>
          </w:tcPr>
          <w:p>
            <w:pPr>
              <w:ind w:left="320"/>
              <w:spacing w:after="0" w:line="173" w:lineRule="exact"/>
              <w:rPr>
                <w:sz w:val="20"/>
                <w:szCs w:val="20"/>
                <w:color w:val="auto"/>
              </w:rPr>
            </w:pPr>
            <w:r>
              <w:rPr>
                <w:rFonts w:ascii="Times New Roman" w:cs="Times New Roman" w:eastAsia="Times New Roman" w:hAnsi="Times New Roman"/>
                <w:sz w:val="18"/>
                <w:szCs w:val="18"/>
                <w:color w:val="auto"/>
              </w:rPr>
              <w:t>Change in unrealized appreciation (depreciation) of investments, net of tax expense (benefit) of $11,295 and</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($3,122) in the three months ended March 31, 2025 and 2024, respectively.</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0" w:type="dxa"/>
            <w:vAlign w:val="bottom"/>
          </w:tcPr>
          <w:p>
            <w:pPr>
              <w:spacing w:after="0"/>
              <w:rPr>
                <w:sz w:val="1"/>
                <w:szCs w:val="1"/>
                <w:color w:val="auto"/>
              </w:rPr>
            </w:pPr>
          </w:p>
        </w:tc>
      </w:tr>
      <w:tr>
        <w:trPr>
          <w:trHeight w:val="219"/>
        </w:trPr>
        <w:tc>
          <w:tcPr>
            <w:tcW w:w="8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0" w:type="dxa"/>
            <w:vAlign w:val="bottom"/>
          </w:tcPr>
          <w:p>
            <w:pPr>
              <w:spacing w:after="0"/>
              <w:rPr>
                <w:sz w:val="1"/>
                <w:szCs w:val="1"/>
                <w:color w:val="auto"/>
              </w:rPr>
            </w:pPr>
          </w:p>
        </w:tc>
      </w:tr>
      <w:tr>
        <w:trPr>
          <w:trHeight w:val="219"/>
        </w:trPr>
        <w:tc>
          <w:tcPr>
            <w:tcW w:w="8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247,171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159,953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373"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6"/>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1,214,956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1,299,869</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6"/>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Issuance of management incentive shares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Forfeiture of management incentive shares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6"/>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0" w:type="dxa"/>
            <w:vAlign w:val="bottom"/>
          </w:tcPr>
          <w:p>
            <w:pPr>
              <w:spacing w:after="0"/>
              <w:rPr>
                <w:sz w:val="1"/>
                <w:szCs w:val="1"/>
                <w:color w:val="auto"/>
              </w:rPr>
            </w:pPr>
          </w:p>
        </w:tc>
      </w:tr>
      <w:tr>
        <w:trPr>
          <w:trHeight w:val="21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1,293,424</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(280,496)</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0" w:type="dxa"/>
            <w:vAlign w:val="bottom"/>
          </w:tcPr>
          <w:p>
            <w:pPr>
              <w:spacing w:after="0"/>
              <w:rPr>
                <w:sz w:val="1"/>
                <w:szCs w:val="1"/>
                <w:color w:val="auto"/>
              </w:rPr>
            </w:pPr>
          </w:p>
        </w:tc>
      </w:tr>
      <w:tr>
        <w:trPr>
          <w:trHeight w:val="21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4,691,111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4,081,578</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181,719</w:t>
            </w: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Dividends and dividend equivalents declared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(29,906)</w:t>
            </w:r>
          </w:p>
        </w:tc>
        <w:tc>
          <w:tcPr>
            <w:tcW w:w="0" w:type="dxa"/>
            <w:vAlign w:val="bottom"/>
          </w:tcPr>
          <w:p>
            <w:pPr>
              <w:spacing w:after="0"/>
              <w:rPr>
                <w:sz w:val="1"/>
                <w:szCs w:val="1"/>
                <w:color w:val="auto"/>
              </w:rPr>
            </w:pPr>
          </w:p>
        </w:tc>
      </w:tr>
      <w:tr>
        <w:trPr>
          <w:trHeight w:val="219"/>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4,834,675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4,233,391</w:t>
            </w:r>
          </w:p>
        </w:tc>
        <w:tc>
          <w:tcPr>
            <w:tcW w:w="0" w:type="dxa"/>
            <w:vAlign w:val="bottom"/>
          </w:tcPr>
          <w:p>
            <w:pPr>
              <w:spacing w:after="0"/>
              <w:rPr>
                <w:sz w:val="1"/>
                <w:szCs w:val="1"/>
                <w:color w:val="auto"/>
              </w:rPr>
            </w:pPr>
          </w:p>
        </w:tc>
      </w:tr>
      <w:tr>
        <w:trPr>
          <w:trHeight w:val="22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Treasury stock acquired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0" w:type="dxa"/>
            <w:vAlign w:val="bottom"/>
          </w:tcPr>
          <w:p>
            <w:pPr>
              <w:spacing w:after="0"/>
              <w:rPr>
                <w:sz w:val="1"/>
                <w:szCs w:val="1"/>
                <w:color w:val="auto"/>
              </w:rPr>
            </w:pPr>
          </w:p>
        </w:tc>
      </w:tr>
      <w:tr>
        <w:trPr>
          <w:trHeight w:val="226"/>
        </w:trPr>
        <w:tc>
          <w:tcPr>
            <w:tcW w:w="8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Cancellation of 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0" w:type="dxa"/>
            <w:vAlign w:val="bottom"/>
          </w:tcPr>
          <w:p>
            <w:pPr>
              <w:spacing w:after="0"/>
              <w:rPr>
                <w:sz w:val="1"/>
                <w:szCs w:val="1"/>
                <w:color w:val="auto"/>
              </w:rPr>
            </w:pPr>
          </w:p>
        </w:tc>
      </w:tr>
      <w:tr>
        <w:trPr>
          <w:trHeight w:val="219"/>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5,659,306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2"/>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175,433</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181,719</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Distribution of income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6,820</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10"/>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Deferred policy acquisition costs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federal income tax</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0" w:type="dxa"/>
            <w:vAlign w:val="bottom"/>
          </w:tcPr>
          <w:p>
            <w:pPr>
              <w:spacing w:after="0"/>
              <w:rPr>
                <w:sz w:val="1"/>
                <w:szCs w:val="1"/>
                <w:color w:val="auto"/>
              </w:rPr>
            </w:pPr>
          </w:p>
        </w:tc>
      </w:tr>
      <w:tr>
        <w:trPr>
          <w:trHeight w:val="210"/>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(3,882)</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Reserve for losses and LAE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10"/>
        </w:trPr>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Unearned premium reserve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0" w:type="dxa"/>
            <w:vAlign w:val="bottom"/>
          </w:tcPr>
          <w:p>
            <w:pPr>
              <w:spacing w:after="0"/>
              <w:rPr>
                <w:sz w:val="1"/>
                <w:szCs w:val="1"/>
                <w:color w:val="auto"/>
              </w:rPr>
            </w:pPr>
          </w:p>
        </w:tc>
      </w:tr>
      <w:tr>
        <w:trPr>
          <w:trHeight w:val="204"/>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221,567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216,935</w:t>
            </w:r>
          </w:p>
        </w:tc>
        <w:tc>
          <w:tcPr>
            <w:tcW w:w="0" w:type="dxa"/>
            <w:vAlign w:val="bottom"/>
          </w:tcPr>
          <w:p>
            <w:pPr>
              <w:spacing w:after="0"/>
              <w:rPr>
                <w:sz w:val="1"/>
                <w:szCs w:val="1"/>
                <w:color w:val="auto"/>
              </w:rPr>
            </w:pPr>
          </w:p>
        </w:tc>
      </w:tr>
      <w:tr>
        <w:trPr>
          <w:trHeight w:val="88"/>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(268,106)</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Purchase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(349,690)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(63,092)</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maturity and paydowns of investments available for sale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113,323</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sales of investments available for sale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77,182</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other invested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0" w:type="dxa"/>
            <w:vAlign w:val="bottom"/>
          </w:tcPr>
          <w:p>
            <w:pPr>
              <w:spacing w:after="0"/>
              <w:rPr>
                <w:sz w:val="1"/>
                <w:szCs w:val="1"/>
                <w:color w:val="auto"/>
              </w:rPr>
            </w:pPr>
          </w:p>
        </w:tc>
      </w:tr>
      <w:tr>
        <w:trPr>
          <w:trHeight w:val="210"/>
        </w:trPr>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Return of investment from other invested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0" w:type="dxa"/>
            <w:vAlign w:val="bottom"/>
          </w:tcPr>
          <w:p>
            <w:pPr>
              <w:spacing w:after="0"/>
              <w:rPr>
                <w:sz w:val="1"/>
                <w:szCs w:val="1"/>
                <w:color w:val="auto"/>
              </w:rPr>
            </w:pPr>
          </w:p>
        </w:tc>
      </w:tr>
      <w:tr>
        <w:trPr>
          <w:trHeight w:val="204"/>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(151,298)</w:t>
            </w:r>
          </w:p>
        </w:tc>
        <w:tc>
          <w:tcPr>
            <w:tcW w:w="0" w:type="dxa"/>
            <w:vAlign w:val="bottom"/>
          </w:tcPr>
          <w:p>
            <w:pPr>
              <w:spacing w:after="0"/>
              <w:rPr>
                <w:sz w:val="1"/>
                <w:szCs w:val="1"/>
                <w:color w:val="auto"/>
              </w:rPr>
            </w:pPr>
          </w:p>
        </w:tc>
      </w:tr>
      <w:tr>
        <w:trPr>
          <w:trHeight w:val="88"/>
        </w:trPr>
        <w:tc>
          <w:tcPr>
            <w:tcW w:w="7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acquired</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(13,552)</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(29,617)</w:t>
            </w:r>
          </w:p>
        </w:tc>
        <w:tc>
          <w:tcPr>
            <w:tcW w:w="0" w:type="dxa"/>
            <w:vAlign w:val="bottom"/>
          </w:tcPr>
          <w:p>
            <w:pPr>
              <w:spacing w:after="0"/>
              <w:rPr>
                <w:sz w:val="1"/>
                <w:szCs w:val="1"/>
                <w:color w:val="auto"/>
              </w:rPr>
            </w:pPr>
          </w:p>
        </w:tc>
      </w:tr>
      <w:tr>
        <w:trPr>
          <w:trHeight w:val="206"/>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(200,514)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(43,169)</w:t>
            </w:r>
          </w:p>
        </w:tc>
        <w:tc>
          <w:tcPr>
            <w:tcW w:w="0" w:type="dxa"/>
            <w:vAlign w:val="bottom"/>
          </w:tcPr>
          <w:p>
            <w:pPr>
              <w:spacing w:after="0"/>
              <w:rPr>
                <w:sz w:val="1"/>
                <w:szCs w:val="1"/>
                <w:color w:val="auto"/>
              </w:rPr>
            </w:pPr>
          </w:p>
        </w:tc>
      </w:tr>
      <w:tr>
        <w:trPr>
          <w:trHeight w:val="88"/>
        </w:trPr>
        <w:tc>
          <w:tcPr>
            <w:tcW w:w="7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22,468</w:t>
            </w: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at beginning of year</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131,480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141,787</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period</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208,066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164,255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7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payments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payments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0" w:type="dxa"/>
            <w:vAlign w:val="bottom"/>
          </w:tcPr>
          <w:p>
            <w:pPr>
              <w:spacing w:after="0"/>
              <w:rPr>
                <w:sz w:val="1"/>
                <w:szCs w:val="1"/>
                <w:color w:val="auto"/>
              </w:rPr>
            </w:pPr>
          </w:p>
        </w:tc>
      </w:tr>
      <w:tr>
        <w:trPr>
          <w:trHeight w:val="106"/>
        </w:trPr>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w:t>
            </w:r>
          </w:p>
        </w:tc>
        <w:tc>
          <w:tcPr>
            <w:tcW w:w="12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60" w:firstLine="638"/>
        <w:spacing w:after="0" w:line="275" w:lineRule="auto"/>
        <w:rPr>
          <w:sz w:val="20"/>
          <w:szCs w:val="20"/>
          <w:color w:val="auto"/>
        </w:rPr>
      </w:pPr>
      <w:r>
        <w:rPr>
          <w:rFonts w:ascii="Times New Roman" w:cs="Times New Roman" w:eastAsia="Times New Roman" w:hAnsi="Times New Roman"/>
          <w:sz w:val="18"/>
          <w:szCs w:val="18"/>
          <w:color w:val="auto"/>
        </w:rPr>
        <w:t>In these notes to condensed consolidated financial statements, “Essent”, “Company”, “we”, “us”, and “our” refer to Essent Group Ltd. and its subsidiaries, unless the context otherwise requires.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20" w:lineRule="exact"/>
        <w:rPr>
          <w:sz w:val="20"/>
          <w:szCs w:val="20"/>
          <w:color w:val="auto"/>
        </w:rPr>
      </w:pPr>
    </w:p>
    <w:p>
      <w:pPr>
        <w:ind w:right="40" w:firstLine="638"/>
        <w:spacing w:after="0" w:line="255" w:lineRule="auto"/>
        <w:rPr>
          <w:sz w:val="20"/>
          <w:szCs w:val="20"/>
          <w:color w:val="auto"/>
        </w:rPr>
      </w:pPr>
      <w:r>
        <w:rPr>
          <w:rFonts w:ascii="Times New Roman" w:cs="Times New Roman" w:eastAsia="Times New Roman" w:hAnsi="Times New Roman"/>
          <w:sz w:val="18"/>
          <w:szCs w:val="18"/>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9" w:lineRule="exact"/>
        <w:rPr>
          <w:sz w:val="20"/>
          <w:szCs w:val="20"/>
          <w:color w:val="auto"/>
        </w:rPr>
      </w:pPr>
    </w:p>
    <w:p>
      <w:pPr>
        <w:ind w:right="260" w:firstLine="638"/>
        <w:spacing w:after="0" w:line="283" w:lineRule="auto"/>
        <w:rPr>
          <w:sz w:val="20"/>
          <w:szCs w:val="20"/>
          <w:color w:val="auto"/>
        </w:rPr>
      </w:pPr>
      <w:r>
        <w:rPr>
          <w:rFonts w:ascii="Times New Roman" w:cs="Times New Roman" w:eastAsia="Times New Roman" w:hAnsi="Times New Roman"/>
          <w:sz w:val="17"/>
          <w:szCs w:val="17"/>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5" w:lineRule="exact"/>
        <w:rPr>
          <w:sz w:val="20"/>
          <w:szCs w:val="20"/>
          <w:color w:val="auto"/>
        </w:rPr>
      </w:pPr>
    </w:p>
    <w:p>
      <w:pPr>
        <w:ind w:right="20" w:firstLine="638"/>
        <w:spacing w:after="0" w:line="248" w:lineRule="auto"/>
        <w:rPr>
          <w:sz w:val="20"/>
          <w:szCs w:val="20"/>
          <w:color w:val="auto"/>
        </w:rPr>
      </w:pPr>
      <w:r>
        <w:rPr>
          <w:rFonts w:ascii="Times New Roman" w:cs="Times New Roman" w:eastAsia="Times New Roman" w:hAnsi="Times New Roman"/>
          <w:sz w:val="18"/>
          <w:szCs w:val="18"/>
          <w:color w:val="auto"/>
        </w:rPr>
        <w:t>Essent Guaranty reinsures new insurance written ("NIW") to Essent Reinsurance Ltd. (“Essent Re”), an affiliated Bermuda domiciled Class 3B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Prior to December 31, 2024, Essent Guaranty also reinsured that portion of the risk that is in excess of 25% of the mortgage balance with respect to any loan insured prior to April 1, 2019, after consideration of other reinsurance, to Essent Guaranty of PA, Inc. (“Essent PA”), an affiliate domiciled in the state of Pennsylvania.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4" w:lineRule="exact"/>
        <w:rPr>
          <w:sz w:val="20"/>
          <w:szCs w:val="20"/>
          <w:color w:val="auto"/>
        </w:rPr>
      </w:pPr>
    </w:p>
    <w:p>
      <w:pPr>
        <w:ind w:right="420" w:firstLine="638"/>
        <w:spacing w:after="0" w:line="248" w:lineRule="auto"/>
        <w:rPr>
          <w:sz w:val="20"/>
          <w:szCs w:val="20"/>
          <w:color w:val="auto"/>
        </w:rPr>
      </w:pPr>
      <w:r>
        <w:rPr>
          <w:rFonts w:ascii="Times New Roman" w:cs="Times New Roman" w:eastAsia="Times New Roman" w:hAnsi="Times New Roman"/>
          <w:sz w:val="18"/>
          <w:szCs w:val="18"/>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121" w:lineRule="exact"/>
        <w:rPr>
          <w:sz w:val="20"/>
          <w:szCs w:val="20"/>
          <w:color w:val="auto"/>
        </w:rPr>
      </w:pPr>
    </w:p>
    <w:p>
      <w:pPr>
        <w:ind w:right="80" w:firstLine="398"/>
        <w:spacing w:after="0" w:line="260" w:lineRule="auto"/>
        <w:rPr>
          <w:sz w:val="20"/>
          <w:szCs w:val="20"/>
          <w:color w:val="auto"/>
        </w:rPr>
      </w:pPr>
      <w:r>
        <w:rPr>
          <w:rFonts w:ascii="Times New Roman" w:cs="Times New Roman" w:eastAsia="Times New Roman" w:hAnsi="Times New Roman"/>
          <w:sz w:val="18"/>
          <w:szCs w:val="18"/>
          <w:color w:val="auto"/>
        </w:rPr>
        <w:t>As a result of our acquisitions of Agents National Title Insurance Company (renamed Essent Title Insurance, Inc. effective January 1, 2025) and Boston National Holdings LLC on July 1, 2023, we now offer title insurance products and title and settlement services. Our title insurance operations are headquartered in Radnor, Pennsylvania, with additional locations in Charlotte, North Carolina, Columbia, Missouri and Pittsburgh, Pennsylvania.</w:t>
      </w:r>
    </w:p>
    <w:p>
      <w:pPr>
        <w:spacing w:after="0" w:line="98"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risk share”) and provide underwriting consulting services to third-party reinsurers.</w:t>
      </w:r>
    </w:p>
    <w:p>
      <w:pPr>
        <w:spacing w:after="0" w:line="118" w:lineRule="exact"/>
        <w:rPr>
          <w:sz w:val="20"/>
          <w:szCs w:val="20"/>
          <w:color w:val="auto"/>
        </w:rPr>
      </w:pPr>
    </w:p>
    <w:p>
      <w:pPr>
        <w:ind w:right="40" w:firstLine="638"/>
        <w:spacing w:after="0" w:line="251" w:lineRule="auto"/>
        <w:rPr>
          <w:sz w:val="20"/>
          <w:szCs w:val="20"/>
          <w:color w:val="auto"/>
        </w:rPr>
      </w:pPr>
      <w:r>
        <w:rPr>
          <w:rFonts w:ascii="Times New Roman" w:cs="Times New Roman" w:eastAsia="Times New Roman" w:hAnsi="Times New Roman"/>
          <w:sz w:val="18"/>
          <w:szCs w:val="18"/>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2024, which discloses the principles of</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8"/>
          <w:szCs w:val="18"/>
          <w:color w:val="auto"/>
        </w:rPr>
        <w:t>consolidation and a summary of significant accounting policies. The results of operations for the interim periods are not necessarily indicative of the results for the full year. We evaluated the need to recognize or disclose events that occurred subsequent to March 31, 2025 prior to the issuance of these condensed consolidated financial statements.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prior years have been reclassified to conform to the current year presentation.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54" w:lineRule="exact"/>
        <w:rPr>
          <w:sz w:val="20"/>
          <w:szCs w:val="20"/>
          <w:color w:val="auto"/>
        </w:rPr>
      </w:pPr>
    </w:p>
    <w:p>
      <w:pPr>
        <w:ind w:right="60" w:firstLine="398"/>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standard requires disaggregated information about a reporting entity’s effective tax rate reconciliation as well as information on income taxes paid, including taxes paid by jurisdiction. The ASU will be effective for annual periods beginning after December 15, 2024. The guidance will be applied on a prospective basis with the option to apply the standard retrospectively, with early adoption permitted. The Company is currently evaluating the impact that the ASU will have on our consolidated financial statements.</w:t>
      </w:r>
    </w:p>
    <w:p>
      <w:pPr>
        <w:spacing w:after="0" w:line="118" w:lineRule="exact"/>
        <w:rPr>
          <w:sz w:val="20"/>
          <w:szCs w:val="20"/>
          <w:color w:val="auto"/>
        </w:rPr>
      </w:pPr>
    </w:p>
    <w:p>
      <w:pPr>
        <w:ind w:firstLine="398"/>
        <w:spacing w:after="0" w:line="249"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included in certain expense captions in the Consolidated Statements of Operations, as well as qualitatively describe remaining amounts included in those captions. ASU 2024-03 will also require the Company to disclose both the amount and the Company’s definition of selling expenses. The ASU is effective for annual reporting periods beginning after December 15, 2026 and interim reporting periods within annual reporting periods beginning after December 15, 2027. The Company is currently evaluating the impact that the ASU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Investments available for sale consist of the following:</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 (In thousands)</w:t>
            </w:r>
          </w:p>
        </w:tc>
        <w:tc>
          <w:tcPr>
            <w:tcW w:w="280" w:type="dxa"/>
            <w:vAlign w:val="bottom"/>
          </w:tcPr>
          <w:p>
            <w:pPr>
              <w:spacing w:after="0"/>
              <w:rPr>
                <w:sz w:val="13"/>
                <w:szCs w:val="13"/>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3"/>
        </w:trPr>
        <w:tc>
          <w:tcPr>
            <w:tcW w:w="48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6"/>
        </w:trPr>
        <w:tc>
          <w:tcPr>
            <w:tcW w:w="4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5,882,359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2"/>
        </w:trPr>
        <w:tc>
          <w:tcPr>
            <w:tcW w:w="48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5"/>
        </w:trPr>
        <w:tc>
          <w:tcPr>
            <w:tcW w:w="47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 (1)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(2)</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6,231,018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4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20" w:type="dxa"/>
            <w:vAlign w:val="bottom"/>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4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non-cyclical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cyclical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Materials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20" w:firstLine="638"/>
        <w:spacing w:after="0" w:line="255" w:lineRule="auto"/>
        <w:rPr>
          <w:sz w:val="20"/>
          <w:szCs w:val="20"/>
          <w:color w:val="auto"/>
        </w:rPr>
      </w:pPr>
      <w:r>
        <w:rPr>
          <w:rFonts w:ascii="Times New Roman" w:cs="Times New Roman" w:eastAsia="Times New Roman" w:hAnsi="Times New Roman"/>
          <w:sz w:val="18"/>
          <w:szCs w:val="18"/>
          <w:color w:val="auto"/>
        </w:rPr>
        <w:t>The amortized cost and fair value of investments available for sale at March 31, 2025,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3"/>
                <w:szCs w:val="13"/>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60" w:type="dxa"/>
            <w:vAlign w:val="bottom"/>
          </w:tcPr>
          <w:p>
            <w:pPr>
              <w:spacing w:after="0"/>
              <w:rPr>
                <w:sz w:val="13"/>
                <w:szCs w:val="13"/>
                <w:color w:val="auto"/>
              </w:rPr>
            </w:pPr>
          </w:p>
        </w:tc>
        <w:tc>
          <w:tcPr>
            <w:tcW w:w="148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3"/>
        </w:trPr>
        <w:tc>
          <w:tcPr>
            <w:tcW w:w="72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6"/>
                <w:szCs w:val="16"/>
                <w:color w:val="auto"/>
              </w:rPr>
            </w:pPr>
          </w:p>
        </w:tc>
        <w:tc>
          <w:tcPr>
            <w:tcW w:w="148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6"/>
        </w:trPr>
        <w:tc>
          <w:tcPr>
            <w:tcW w:w="7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245,299</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268,123</w:t>
            </w: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554,597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545,262</w:t>
            </w:r>
          </w:p>
        </w:tc>
        <w:tc>
          <w:tcPr>
            <w:tcW w:w="0" w:type="dxa"/>
            <w:vAlign w:val="bottom"/>
          </w:tcPr>
          <w:p>
            <w:pPr>
              <w:spacing w:after="0"/>
              <w:rPr>
                <w:sz w:val="1"/>
                <w:szCs w:val="1"/>
                <w:color w:val="auto"/>
              </w:rPr>
            </w:pPr>
          </w:p>
        </w:tc>
      </w:tr>
      <w:tr>
        <w:trPr>
          <w:trHeight w:val="206"/>
        </w:trPr>
        <w:tc>
          <w:tcPr>
            <w:tcW w:w="722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Municipal debt securities: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31,022</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163,972</w:t>
            </w: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281,001</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116,566</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592,561</w:t>
            </w:r>
          </w:p>
        </w:tc>
        <w:tc>
          <w:tcPr>
            <w:tcW w:w="0" w:type="dxa"/>
            <w:vAlign w:val="bottom"/>
          </w:tcPr>
          <w:p>
            <w:pPr>
              <w:spacing w:after="0"/>
              <w:rPr>
                <w:sz w:val="1"/>
                <w:szCs w:val="1"/>
                <w:color w:val="auto"/>
              </w:rPr>
            </w:pPr>
          </w:p>
        </w:tc>
      </w:tr>
      <w:tr>
        <w:trPr>
          <w:trHeight w:val="206"/>
        </w:trPr>
        <w:tc>
          <w:tcPr>
            <w:tcW w:w="722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Non-U.S. government securities: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31,168</w:t>
            </w: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13,348</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0" w:type="dxa"/>
            <w:vAlign w:val="bottom"/>
          </w:tcPr>
          <w:p>
            <w:pPr>
              <w:spacing w:after="0"/>
              <w:rPr>
                <w:sz w:val="1"/>
                <w:szCs w:val="1"/>
                <w:color w:val="auto"/>
              </w:rPr>
            </w:pPr>
          </w:p>
        </w:tc>
      </w:tr>
      <w:tr>
        <w:trPr>
          <w:trHeight w:val="206"/>
        </w:trPr>
        <w:tc>
          <w:tcPr>
            <w:tcW w:w="7220" w:type="dxa"/>
            <w:vAlign w:val="bottom"/>
            <w:gridSpan w:val="2"/>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Corporate debt securities:</w:t>
            </w: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in 1 year</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206,923</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 but within 5 years</w:t>
            </w: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608,427</w:t>
            </w:r>
          </w:p>
        </w:tc>
        <w:tc>
          <w:tcPr>
            <w:tcW w:w="0" w:type="dxa"/>
            <w:vAlign w:val="bottom"/>
          </w:tcPr>
          <w:p>
            <w:pPr>
              <w:spacing w:after="0"/>
              <w:rPr>
                <w:sz w:val="1"/>
                <w:szCs w:val="1"/>
                <w:color w:val="auto"/>
              </w:rPr>
            </w:pPr>
          </w:p>
        </w:tc>
      </w:tr>
      <w:tr>
        <w:trPr>
          <w:trHeight w:val="226"/>
        </w:trPr>
        <w:tc>
          <w:tcPr>
            <w:tcW w:w="7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Due after 5 but within 10 years</w:t>
            </w: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968,511</w:t>
            </w:r>
          </w:p>
        </w:tc>
        <w:tc>
          <w:tcPr>
            <w:tcW w:w="0" w:type="dxa"/>
            <w:vAlign w:val="bottom"/>
          </w:tcPr>
          <w:p>
            <w:pPr>
              <w:spacing w:after="0"/>
              <w:rPr>
                <w:sz w:val="1"/>
                <w:szCs w:val="1"/>
                <w:color w:val="auto"/>
              </w:rPr>
            </w:pPr>
          </w:p>
        </w:tc>
      </w:tr>
      <w:tr>
        <w:trPr>
          <w:trHeight w:val="226"/>
        </w:trPr>
        <w:tc>
          <w:tcPr>
            <w:tcW w:w="72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Due after 10 years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83,630</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Subtotal</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1,945,158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1,867,491</w:t>
            </w:r>
          </w:p>
        </w:tc>
        <w:tc>
          <w:tcPr>
            <w:tcW w:w="0" w:type="dxa"/>
            <w:vAlign w:val="bottom"/>
          </w:tcPr>
          <w:p>
            <w:pPr>
              <w:spacing w:after="0"/>
              <w:rPr>
                <w:sz w:val="1"/>
                <w:szCs w:val="1"/>
                <w:color w:val="auto"/>
              </w:rPr>
            </w:pP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1,254,479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1,165,643</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470,481</w:t>
            </w:r>
          </w:p>
        </w:tc>
        <w:tc>
          <w:tcPr>
            <w:tcW w:w="0" w:type="dxa"/>
            <w:vAlign w:val="bottom"/>
          </w:tcPr>
          <w:p>
            <w:pPr>
              <w:spacing w:after="0"/>
              <w:rPr>
                <w:sz w:val="1"/>
                <w:szCs w:val="1"/>
                <w:color w:val="auto"/>
              </w:rPr>
            </w:pPr>
          </w:p>
        </w:tc>
      </w:tr>
      <w:tr>
        <w:trPr>
          <w:trHeight w:val="219"/>
        </w:trPr>
        <w:tc>
          <w:tcPr>
            <w:tcW w:w="7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746,519</w:t>
            </w:r>
          </w:p>
        </w:tc>
        <w:tc>
          <w:tcPr>
            <w:tcW w:w="0" w:type="dxa"/>
            <w:vAlign w:val="bottom"/>
          </w:tcPr>
          <w:p>
            <w:pPr>
              <w:spacing w:after="0"/>
              <w:rPr>
                <w:sz w:val="1"/>
                <w:szCs w:val="1"/>
                <w:color w:val="auto"/>
              </w:rPr>
            </w:pPr>
          </w:p>
        </w:tc>
      </w:tr>
      <w:tr>
        <w:trPr>
          <w:trHeight w:val="219"/>
        </w:trPr>
        <w:tc>
          <w:tcPr>
            <w:tcW w:w="7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available for sale</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6,153,624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5,882,359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realized investment (losses) gains, net on the condensed consolidated statements of comprehensive income were as follows:</w:t>
      </w:r>
    </w:p>
    <w:p>
      <w:pPr>
        <w:spacing w:after="0" w:line="345"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7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gross gains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gross losses</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80" w:firstLine="638"/>
        <w:spacing w:after="0" w:line="275" w:lineRule="auto"/>
        <w:rPr>
          <w:sz w:val="20"/>
          <w:szCs w:val="20"/>
          <w:color w:val="auto"/>
        </w:rPr>
      </w:pPr>
      <w:r>
        <w:rPr>
          <w:rFonts w:ascii="Times New Roman" w:cs="Times New Roman" w:eastAsia="Times New Roman" w:hAnsi="Times New Roman"/>
          <w:sz w:val="18"/>
          <w:szCs w:val="18"/>
          <w:color w:val="auto"/>
        </w:rPr>
        <w:t>The fair value of investments available for sale in an unrealized loss position and the related unrealized losses for which no allowance for credit loss has been recorded were as follows: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16"/>
                <w:szCs w:val="16"/>
                <w:color w:val="auto"/>
              </w:rPr>
            </w:pPr>
          </w:p>
        </w:tc>
        <w:tc>
          <w:tcPr>
            <w:tcW w:w="12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6"/>
              <w:spacing w:after="0" w:line="126"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6"/>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76"/>
              <w:spacing w:after="0" w:line="126"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 (In thousands)</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3"/>
        </w:trPr>
        <w:tc>
          <w:tcPr>
            <w:tcW w:w="3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226"/>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(43,206)</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(81,479)</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(35,948)</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0" w:type="dxa"/>
            <w:vAlign w:val="bottom"/>
          </w:tcPr>
          <w:p>
            <w:pPr>
              <w:spacing w:after="0"/>
              <w:rPr>
                <w:sz w:val="1"/>
                <w:szCs w:val="1"/>
                <w:color w:val="auto"/>
              </w:rPr>
            </w:pPr>
          </w:p>
        </w:tc>
      </w:tr>
      <w:tr>
        <w:trPr>
          <w:trHeight w:val="21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1,579,473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2,454,644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(257,009)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4,034,117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(282,386)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24"/>
                <w:szCs w:val="24"/>
                <w:color w:val="auto"/>
              </w:rPr>
            </w:pPr>
          </w:p>
        </w:tc>
        <w:tc>
          <w:tcPr>
            <w:tcW w:w="22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40" w:type="dxa"/>
            <w:vAlign w:val="bottom"/>
          </w:tcPr>
          <w:p>
            <w:pPr>
              <w:spacing w:after="0"/>
              <w:rPr>
                <w:sz w:val="24"/>
                <w:szCs w:val="24"/>
                <w:color w:val="auto"/>
              </w:rPr>
            </w:pPr>
          </w:p>
        </w:tc>
        <w:tc>
          <w:tcPr>
            <w:tcW w:w="120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6"/>
              <w:spacing w:after="0" w:line="128"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96"/>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6"/>
              <w:spacing w:after="0" w:line="12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4"/>
        </w:trPr>
        <w:tc>
          <w:tcPr>
            <w:tcW w:w="3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6"/>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4"/>
        </w:trPr>
        <w:tc>
          <w:tcPr>
            <w:tcW w:w="3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225"/>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(123,865)</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(105,665)</w:t>
            </w:r>
          </w:p>
        </w:tc>
        <w:tc>
          <w:tcPr>
            <w:tcW w:w="0" w:type="dxa"/>
            <w:vAlign w:val="bottom"/>
          </w:tcPr>
          <w:p>
            <w:pPr>
              <w:spacing w:after="0"/>
              <w:rPr>
                <w:sz w:val="1"/>
                <w:szCs w:val="1"/>
                <w:color w:val="auto"/>
              </w:rPr>
            </w:pP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0" w:type="dxa"/>
            <w:vAlign w:val="bottom"/>
          </w:tcPr>
          <w:p>
            <w:pPr>
              <w:spacing w:after="0"/>
              <w:rPr>
                <w:sz w:val="1"/>
                <w:szCs w:val="1"/>
                <w:color w:val="auto"/>
              </w:rPr>
            </w:pPr>
          </w:p>
        </w:tc>
      </w:tr>
      <w:tr>
        <w:trPr>
          <w:trHeight w:val="22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188,475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219"/>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1,954,295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2,567,865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4,522,160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(358,452)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40" w:firstLine="638"/>
        <w:spacing w:after="0" w:line="250" w:lineRule="auto"/>
        <w:rPr>
          <w:sz w:val="20"/>
          <w:szCs w:val="20"/>
          <w:color w:val="auto"/>
        </w:rPr>
      </w:pPr>
      <w:r>
        <w:rPr>
          <w:rFonts w:ascii="Times New Roman" w:cs="Times New Roman" w:eastAsia="Times New Roman" w:hAnsi="Times New Roman"/>
          <w:sz w:val="18"/>
          <w:szCs w:val="18"/>
          <w:color w:val="auto"/>
        </w:rPr>
        <w:t>At March 31, 2025 and December 31, 2024, we held 2,294 and 2,481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March 31, 2025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99% of the securities at March 31, 2025 had investment-grade ratings. We concluded that gross unrealized losses noted above were primarily associated with the changes in interest rates subsequent to purchase rather than due to credit impairment. There were no impairments recorded in the three months ended March 31, 2025 or 2024.</w:t>
      </w:r>
    </w:p>
    <w:p>
      <w:pPr>
        <w:spacing w:after="0" w:line="214" w:lineRule="exact"/>
        <w:rPr>
          <w:sz w:val="20"/>
          <w:szCs w:val="20"/>
          <w:color w:val="auto"/>
        </w:rPr>
      </w:pPr>
    </w:p>
    <w:p>
      <w:pPr>
        <w:ind w:right="20" w:firstLine="638"/>
        <w:spacing w:after="0" w:line="269" w:lineRule="auto"/>
        <w:rPr>
          <w:sz w:val="20"/>
          <w:szCs w:val="20"/>
          <w:color w:val="auto"/>
        </w:rPr>
      </w:pPr>
      <w:r>
        <w:rPr>
          <w:rFonts w:ascii="Times New Roman" w:cs="Times New Roman" w:eastAsia="Times New Roman" w:hAnsi="Times New Roman"/>
          <w:sz w:val="17"/>
          <w:szCs w:val="17"/>
          <w:color w:val="auto"/>
        </w:rPr>
        <w:t>The Company's other invested assets at March 31, 2025 and December 31, 2024 totaled $321.9 million and $303.9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 value of the underlying assets of these entities. Due to the timing of receiving financial information from these partnerships, the results are generally reported on a one month or quarter lag.</w:t>
      </w:r>
    </w:p>
    <w:p>
      <w:pPr>
        <w:spacing w:after="0" w:line="199" w:lineRule="exact"/>
        <w:rPr>
          <w:sz w:val="20"/>
          <w:szCs w:val="20"/>
          <w:color w:val="auto"/>
        </w:rPr>
      </w:pPr>
    </w:p>
    <w:p>
      <w:pPr>
        <w:ind w:right="40" w:firstLine="638"/>
        <w:spacing w:after="0" w:line="260" w:lineRule="auto"/>
        <w:rPr>
          <w:sz w:val="20"/>
          <w:szCs w:val="20"/>
          <w:color w:val="auto"/>
        </w:rPr>
      </w:pPr>
      <w:r>
        <w:rPr>
          <w:rFonts w:ascii="Times New Roman" w:cs="Times New Roman" w:eastAsia="Times New Roman" w:hAnsi="Times New Roman"/>
          <w:sz w:val="18"/>
          <w:szCs w:val="18"/>
          <w:color w:val="auto"/>
        </w:rPr>
        <w:t>Other invested assets that are accounted for at fair value using the net asset value (or its equivalent) as a practical expedient totaled $180.7 million as of March 31, 2025 and $171.7 million as of December 31, 2024. The majority of these investments were in limited partnerships invested in real estate or consumer credit. At March 31, 2025, maximum future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funding commitments were $42.3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09" w:lineRule="exact"/>
        <w:rPr>
          <w:sz w:val="20"/>
          <w:szCs w:val="20"/>
          <w:color w:val="auto"/>
        </w:rPr>
      </w:pPr>
    </w:p>
    <w:p>
      <w:pPr>
        <w:ind w:right="20" w:firstLine="638"/>
        <w:spacing w:after="0" w:line="253" w:lineRule="auto"/>
        <w:rPr>
          <w:sz w:val="20"/>
          <w:szCs w:val="20"/>
          <w:color w:val="auto"/>
        </w:rPr>
      </w:pPr>
      <w:r>
        <w:rPr>
          <w:rFonts w:ascii="Times New Roman" w:cs="Times New Roman" w:eastAsia="Times New Roman" w:hAnsi="Times New Roman"/>
          <w:sz w:val="18"/>
          <w:szCs w:val="18"/>
          <w:color w:val="auto"/>
        </w:rPr>
        <w:t>The fair value of investments deposited with insurance regulatory authorities to meet statutory requirements was $8.6 million at March 31, 2025 and $9.3 million at December 31, 2024. In connection with its insurance and reinsurance activities, Essent Re is required to maintain assets in trusts for the benefit of its contractual counterparties. The fair value of the investments on deposit in these trusts was $1.0 billion at March 31, 2025 and $983.5 million at December 31, 2024. Essent Guaranty is also required to maintain assets on deposit for the benefit of the sponsor of a fixed income investment commitment. The fair value of the assets on deposit was $5.0 million at March 31, 2025 and $9.3 million at December 31, 2024.</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investment income consists of:</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7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46,288</w:t>
            </w:r>
          </w:p>
        </w:tc>
        <w:tc>
          <w:tcPr>
            <w:tcW w:w="0" w:type="dxa"/>
            <w:vAlign w:val="bottom"/>
          </w:tcPr>
          <w:p>
            <w:pPr>
              <w:spacing w:after="0"/>
              <w:rPr>
                <w:sz w:val="1"/>
                <w:szCs w:val="1"/>
                <w:color w:val="auto"/>
              </w:rPr>
            </w:pPr>
          </w:p>
        </w:tc>
      </w:tr>
      <w:tr>
        <w:trPr>
          <w:trHeight w:val="226"/>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0" w:type="dxa"/>
            <w:vAlign w:val="bottom"/>
          </w:tcPr>
          <w:p>
            <w:pPr>
              <w:spacing w:after="0"/>
              <w:rPr>
                <w:sz w:val="1"/>
                <w:szCs w:val="1"/>
                <w:color w:val="auto"/>
              </w:rPr>
            </w:pPr>
          </w:p>
        </w:tc>
      </w:tr>
      <w:tr>
        <w:trPr>
          <w:trHeight w:val="21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0" w:type="dxa"/>
            <w:vAlign w:val="bottom"/>
          </w:tcPr>
          <w:p>
            <w:pPr>
              <w:spacing w:after="0"/>
              <w:rPr>
                <w:sz w:val="1"/>
                <w:szCs w:val="1"/>
                <w:color w:val="auto"/>
              </w:rPr>
            </w:pPr>
          </w:p>
        </w:tc>
      </w:tr>
      <w:tr>
        <w:trPr>
          <w:trHeight w:val="226"/>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Reinsurance</w:t>
      </w:r>
    </w:p>
    <w:p>
      <w:pPr>
        <w:spacing w:after="0" w:line="220" w:lineRule="exact"/>
        <w:rPr>
          <w:sz w:val="20"/>
          <w:szCs w:val="20"/>
          <w:color w:val="auto"/>
        </w:rPr>
      </w:pPr>
    </w:p>
    <w:p>
      <w:pPr>
        <w:ind w:right="120" w:firstLine="63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effect of reinsurance on net premiums written and earned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1"/>
        </w:trPr>
        <w:tc>
          <w:tcPr>
            <w:tcW w:w="218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3"/>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1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r>
      <w:tr>
        <w:trPr>
          <w:trHeight w:val="226"/>
        </w:trPr>
        <w:tc>
          <w:tcPr>
            <w:tcW w:w="8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272,394</w:t>
            </w:r>
          </w:p>
        </w:tc>
        <w:tc>
          <w:tcPr>
            <w:tcW w:w="100" w:type="dxa"/>
            <w:vAlign w:val="bottom"/>
          </w:tcPr>
          <w:p>
            <w:pPr>
              <w:spacing w:after="0"/>
              <w:rPr>
                <w:sz w:val="19"/>
                <w:szCs w:val="19"/>
                <w:color w:val="auto"/>
              </w:rPr>
            </w:pPr>
          </w:p>
        </w:tc>
        <w:tc>
          <w:tcPr>
            <w:tcW w:w="58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268,931</w:t>
            </w:r>
          </w:p>
        </w:tc>
      </w:tr>
      <w:tr>
        <w:trPr>
          <w:trHeight w:val="226"/>
        </w:trPr>
        <w:tc>
          <w:tcPr>
            <w:tcW w:w="8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(34,123)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(30,391)</w:t>
            </w:r>
          </w:p>
        </w:tc>
      </w:tr>
      <w:tr>
        <w:trPr>
          <w:trHeight w:val="219"/>
        </w:trPr>
        <w:tc>
          <w:tcPr>
            <w:tcW w:w="82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Net premiums written</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238,271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238,540</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2"/>
        </w:trPr>
        <w:tc>
          <w:tcPr>
            <w:tcW w:w="2180" w:type="dxa"/>
            <w:vAlign w:val="bottom"/>
            <w:shd w:val="clear" w:color="auto" w:fill="CCEEFF"/>
          </w:tcPr>
          <w:p>
            <w:pPr>
              <w:spacing w:after="0"/>
              <w:rPr>
                <w:sz w:val="20"/>
                <w:szCs w:val="20"/>
                <w:color w:val="auto"/>
              </w:rPr>
            </w:pPr>
          </w:p>
        </w:tc>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6"/>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6"/>
        </w:trPr>
        <w:tc>
          <w:tcPr>
            <w:tcW w:w="8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279,971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275,981</w:t>
            </w:r>
          </w:p>
        </w:tc>
      </w:tr>
      <w:tr>
        <w:trPr>
          <w:trHeight w:val="226"/>
        </w:trPr>
        <w:tc>
          <w:tcPr>
            <w:tcW w:w="82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Ceded (1)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7"/>
              </w:rPr>
              <w:t>(34,123)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7"/>
              </w:rPr>
              <w:t>(30,391)</w:t>
            </w:r>
          </w:p>
        </w:tc>
      </w:tr>
      <w:tr>
        <w:trPr>
          <w:trHeight w:val="244"/>
        </w:trPr>
        <w:tc>
          <w:tcPr>
            <w:tcW w:w="82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245,848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245,590</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2180" w:type="dxa"/>
            <w:vAlign w:val="bottom"/>
            <w:tcBorders>
              <w:bottom w:val="single" w:sz="8" w:color="auto"/>
            </w:tcBorders>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Net of profit commission.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Quota Share Reinsurance</w:t>
      </w:r>
    </w:p>
    <w:p>
      <w:pPr>
        <w:spacing w:after="0" w:line="247" w:lineRule="exact"/>
        <w:rPr>
          <w:sz w:val="20"/>
          <w:szCs w:val="20"/>
          <w:color w:val="auto"/>
        </w:rPr>
      </w:pPr>
    </w:p>
    <w:p>
      <w:pPr>
        <w:ind w:right="380" w:firstLine="177"/>
        <w:spacing w:after="0" w:line="255" w:lineRule="auto"/>
        <w:rPr>
          <w:sz w:val="20"/>
          <w:szCs w:val="20"/>
          <w:color w:val="auto"/>
        </w:rPr>
      </w:pPr>
      <w:r>
        <w:rPr>
          <w:rFonts w:ascii="Times New Roman" w:cs="Times New Roman" w:eastAsia="Times New Roman" w:hAnsi="Times New Roman"/>
          <w:sz w:val="18"/>
          <w:szCs w:val="18"/>
          <w:color w:val="auto"/>
        </w:rPr>
        <w:t>Essent Guaranty has entered into quota share reinsurance agreements with panels of third-party reinsurers ("QSR" agreements). Each of the third-party reinsurers has an insurer financial strength rating of A- or better by S&amp;P Global Ratings, A.M. Best Ratings Services, Inc. or both. Under each QSR agreement, Essent Guaranty will cede premiums earned on all eligible policies written during a specified period, in exchange for reimbursement of ceded claims and claims expenses 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March 31, 2025:</w:t>
      </w:r>
    </w:p>
    <w:p>
      <w:pPr>
        <w:spacing w:after="0" w:line="263"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QSR Agreement</w:t>
            </w:r>
          </w:p>
        </w:tc>
        <w:tc>
          <w:tcPr>
            <w:tcW w:w="8080" w:type="dxa"/>
            <w:vAlign w:val="bottom"/>
            <w:gridSpan w:val="3"/>
            <w:vMerge w:val="restart"/>
          </w:tcPr>
          <w:p>
            <w:pPr>
              <w:ind w:left="3480"/>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Ceding</w:t>
            </w:r>
          </w:p>
        </w:tc>
        <w:tc>
          <w:tcPr>
            <w:tcW w:w="0" w:type="dxa"/>
            <w:vAlign w:val="bottom"/>
          </w:tcPr>
          <w:p>
            <w:pPr>
              <w:spacing w:after="0"/>
              <w:rPr>
                <w:sz w:val="1"/>
                <w:szCs w:val="1"/>
                <w:color w:val="auto"/>
              </w:rPr>
            </w:pPr>
          </w:p>
        </w:tc>
      </w:tr>
      <w:tr>
        <w:trPr>
          <w:trHeight w:val="192"/>
        </w:trPr>
        <w:tc>
          <w:tcPr>
            <w:tcW w:w="1800" w:type="dxa"/>
            <w:vAlign w:val="bottom"/>
            <w:gridSpan w:val="2"/>
            <w:vMerge w:val="continue"/>
          </w:tcPr>
          <w:p>
            <w:pPr>
              <w:spacing w:after="0"/>
              <w:rPr>
                <w:sz w:val="16"/>
                <w:szCs w:val="16"/>
                <w:color w:val="auto"/>
              </w:rPr>
            </w:pPr>
          </w:p>
        </w:tc>
        <w:tc>
          <w:tcPr>
            <w:tcW w:w="8080" w:type="dxa"/>
            <w:vAlign w:val="bottom"/>
            <w:gridSpan w:val="3"/>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25"/>
        </w:trPr>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00" w:type="dxa"/>
            <w:vAlign w:val="bottom"/>
            <w:tcBorders>
              <w:top w:val="single" w:sz="8" w:color="CCEEFF"/>
            </w:tcBorders>
            <w:shd w:val="clear" w:color="auto" w:fill="CCEEFF"/>
          </w:tcPr>
          <w:p>
            <w:pPr>
              <w:spacing w:after="0"/>
              <w:rPr>
                <w:sz w:val="19"/>
                <w:szCs w:val="19"/>
                <w:color w:val="auto"/>
              </w:rPr>
            </w:pPr>
          </w:p>
        </w:tc>
        <w:tc>
          <w:tcPr>
            <w:tcW w:w="3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1, 2019</w:t>
            </w:r>
          </w:p>
        </w:tc>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6"/>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QSR-2022</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2022 -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6"/>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QSR-2023</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2023 -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0" w:type="dxa"/>
            <w:vAlign w:val="bottom"/>
          </w:tcPr>
          <w:p>
            <w:pPr>
              <w:spacing w:after="0"/>
              <w:rPr>
                <w:sz w:val="1"/>
                <w:szCs w:val="1"/>
                <w:color w:val="auto"/>
              </w:rPr>
            </w:pPr>
          </w:p>
        </w:tc>
      </w:tr>
      <w:tr>
        <w:trPr>
          <w:trHeight w:val="226"/>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QSR-2024</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2024 -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6"/>
        </w:trPr>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QSR-2025</w:t>
            </w:r>
          </w:p>
        </w:tc>
        <w:tc>
          <w:tcPr>
            <w:tcW w:w="3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1, 2025 -</w:t>
            </w: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2"/>
        </w:trPr>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QSR-2026</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1, 2026 -</w:t>
            </w: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2026</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3" w:lineRule="exact"/>
        <w:rPr>
          <w:sz w:val="20"/>
          <w:szCs w:val="20"/>
          <w:color w:val="auto"/>
        </w:rPr>
      </w:pPr>
    </w:p>
    <w:p>
      <w:pPr>
        <w:ind w:right="3180" w:firstLine="6"/>
        <w:spacing w:after="0" w:line="251" w:lineRule="auto"/>
        <w:tabs>
          <w:tab w:leader="none" w:pos="3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QSR-2019, Essent Guaranty cedes 40% of premiums on singles policies and 20% on all other policies. Total risk in force (RIF) ceded under the QSR agreements was $9.0 billion as of March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of Loss Reinsurance</w:t>
      </w:r>
    </w:p>
    <w:p>
      <w:pPr>
        <w:spacing w:after="0" w:line="247" w:lineRule="exact"/>
        <w:rPr>
          <w:sz w:val="20"/>
          <w:szCs w:val="20"/>
          <w:color w:val="auto"/>
        </w:rPr>
      </w:pPr>
    </w:p>
    <w:p>
      <w:pPr>
        <w:ind w:right="200" w:firstLine="638"/>
        <w:spacing w:after="0" w:line="249"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 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14" w:lineRule="exact"/>
        <w:rPr>
          <w:sz w:val="20"/>
          <w:szCs w:val="20"/>
          <w:color w:val="auto"/>
        </w:rPr>
      </w:pPr>
    </w:p>
    <w:p>
      <w:pPr>
        <w:ind w:right="120" w:firstLine="398"/>
        <w:spacing w:after="0" w:line="253" w:lineRule="auto"/>
        <w:rPr>
          <w:sz w:val="20"/>
          <w:szCs w:val="20"/>
          <w:color w:val="auto"/>
        </w:rPr>
      </w:pPr>
      <w:r>
        <w:rPr>
          <w:rFonts w:ascii="Times New Roman" w:cs="Times New Roman" w:eastAsia="Times New Roman" w:hAnsi="Times New Roman"/>
          <w:sz w:val="18"/>
          <w:szCs w:val="18"/>
          <w:color w:val="auto"/>
        </w:rPr>
        <w:t>Essent Guaranty has entered into reinsurance agreements with panels of reinsurers that provide excess of loss coverage on new insurance written from January 1, 2018 through August 31, 2019 and from October 1, 2021 through December 31, 2024. For the reinsurance coverage periods, Essent Guaranty and its affiliates retain the first layer of the respective aggregate losses, and the reinsurance panels will then provide second layer coverage up to the outstanding reinsurance coverage amounts. Essent Guaranty and its affiliates retain losses in excess of the outstanding reinsurance coverage amounts. Essent Guaranty has rights to terminate these reinsurance agreements.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Essent Guaranty's excess of loss coverages and retentions provided by insurance linked notes as of March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3"/>
                <w:szCs w:val="13"/>
                <w:color w:val="auto"/>
              </w:rPr>
            </w:pPr>
          </w:p>
        </w:tc>
        <w:tc>
          <w:tcPr>
            <w:tcW w:w="1040" w:type="dxa"/>
            <w:vAlign w:val="bottom"/>
          </w:tcPr>
          <w:p>
            <w:pPr>
              <w:jc w:val="center"/>
              <w:ind w:right="97"/>
              <w:spacing w:after="0" w:line="15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w w:val="95"/>
              </w:rPr>
              <w:t>Risk</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200" w:type="dxa"/>
            <w:vAlign w:val="bottom"/>
          </w:tcPr>
          <w:p>
            <w:pPr>
              <w:spacing w:after="0"/>
              <w:rPr>
                <w:sz w:val="12"/>
                <w:szCs w:val="12"/>
                <w:color w:val="auto"/>
              </w:rPr>
            </w:pPr>
          </w:p>
        </w:tc>
        <w:tc>
          <w:tcPr>
            <w:tcW w:w="1040" w:type="dxa"/>
            <w:vAlign w:val="bottom"/>
          </w:tcPr>
          <w:p>
            <w:pPr>
              <w:jc w:val="center"/>
              <w:ind w:right="117"/>
              <w:spacing w:after="0" w:line="144" w:lineRule="exact"/>
              <w:rPr>
                <w:sz w:val="20"/>
                <w:szCs w:val="20"/>
                <w:color w:val="auto"/>
              </w:rPr>
            </w:pPr>
            <w:r>
              <w:rPr>
                <w:rFonts w:ascii="Times New Roman" w:cs="Times New Roman" w:eastAsia="Times New Roman" w:hAnsi="Times New Roman"/>
                <w:sz w:val="14"/>
                <w:szCs w:val="14"/>
                <w:b w:val="1"/>
                <w:bCs w:val="1"/>
                <w:color w:val="auto"/>
                <w:w w:val="99"/>
              </w:rPr>
              <w:t>First Layer</w:t>
            </w: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93"/>
        </w:trPr>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Deal Name</w:t>
            </w:r>
          </w:p>
        </w:tc>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Retention</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Radnor Re 2021-1</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Aug. 2020 - Mar. 2021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22,498,132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6,194,669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277,360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June 26, 2028</w:t>
            </w:r>
          </w:p>
        </w:tc>
        <w:tc>
          <w:tcPr>
            <w:tcW w:w="0" w:type="dxa"/>
            <w:vAlign w:val="bottom"/>
          </w:tcPr>
          <w:p>
            <w:pPr>
              <w:spacing w:after="0"/>
              <w:rPr>
                <w:sz w:val="1"/>
                <w:szCs w:val="1"/>
                <w:color w:val="auto"/>
              </w:rPr>
            </w:pPr>
          </w:p>
        </w:tc>
      </w:tr>
      <w:tr>
        <w:trPr>
          <w:trHeight w:val="22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Radnor Re 2021-2</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Apr. 2021 - Sep. 2021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28,457,873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274,846</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25, 2027</w:t>
            </w:r>
          </w:p>
        </w:tc>
        <w:tc>
          <w:tcPr>
            <w:tcW w:w="0" w:type="dxa"/>
            <w:vAlign w:val="bottom"/>
          </w:tcPr>
          <w:p>
            <w:pPr>
              <w:spacing w:after="0"/>
              <w:rPr>
                <w:sz w:val="1"/>
                <w:szCs w:val="1"/>
                <w:color w:val="auto"/>
              </w:rPr>
            </w:pPr>
          </w:p>
        </w:tc>
      </w:tr>
      <w:tr>
        <w:trPr>
          <w:trHeight w:val="226"/>
        </w:trPr>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Radnor Re 2022-1</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Oct. 2021 - Jul. 2022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298,719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25, 2028</w:t>
            </w:r>
          </w:p>
        </w:tc>
        <w:tc>
          <w:tcPr>
            <w:tcW w:w="0" w:type="dxa"/>
            <w:vAlign w:val="bottom"/>
          </w:tcPr>
          <w:p>
            <w:pPr>
              <w:spacing w:after="0"/>
              <w:rPr>
                <w:sz w:val="1"/>
                <w:szCs w:val="1"/>
                <w:color w:val="auto"/>
              </w:rPr>
            </w:pPr>
          </w:p>
        </w:tc>
      </w:tr>
      <w:tr>
        <w:trPr>
          <w:trHeight w:val="226"/>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Radnor Re 2023-1</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Aug. 2022 - Jun. 2023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27,368,762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279,930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25, 2028</w:t>
            </w:r>
          </w:p>
        </w:tc>
        <w:tc>
          <w:tcPr>
            <w:tcW w:w="0" w:type="dxa"/>
            <w:vAlign w:val="bottom"/>
          </w:tcPr>
          <w:p>
            <w:pPr>
              <w:spacing w:after="0"/>
              <w:rPr>
                <w:sz w:val="1"/>
                <w:szCs w:val="1"/>
                <w:color w:val="auto"/>
              </w:rPr>
            </w:pPr>
          </w:p>
        </w:tc>
      </w:tr>
      <w:tr>
        <w:trPr>
          <w:trHeight w:val="226"/>
        </w:trPr>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Radnor Re 2024-1</w:t>
            </w:r>
          </w:p>
        </w:tc>
        <w:tc>
          <w:tcPr>
            <w:tcW w:w="2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Jul. 2023 - Jul. 2024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28,317,296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7,832,167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September 25, 2029</w:t>
            </w:r>
          </w:p>
        </w:tc>
        <w:tc>
          <w:tcPr>
            <w:tcW w:w="0" w:type="dxa"/>
            <w:vAlign w:val="bottom"/>
          </w:tcPr>
          <w:p>
            <w:pPr>
              <w:spacing w:after="0"/>
              <w:rPr>
                <w:sz w:val="1"/>
                <w:szCs w:val="1"/>
                <w:color w:val="auto"/>
              </w:rPr>
            </w:pPr>
          </w:p>
        </w:tc>
      </w:tr>
      <w:tr>
        <w:trPr>
          <w:trHeight w:val="219"/>
        </w:trPr>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Total</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133,639,340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36,880,250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1,387,350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Essent Guaranty's excess of loss reinsurance coverages and retentions provided by panels of reinsurers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3"/>
                <w:szCs w:val="13"/>
                <w:color w:val="auto"/>
              </w:rPr>
            </w:pPr>
          </w:p>
        </w:tc>
        <w:tc>
          <w:tcPr>
            <w:tcW w:w="1300" w:type="dxa"/>
            <w:vAlign w:val="bottom"/>
            <w:gridSpan w:val="2"/>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3"/>
                <w:szCs w:val="13"/>
                <w:color w:val="auto"/>
              </w:rPr>
            </w:pPr>
          </w:p>
        </w:tc>
        <w:tc>
          <w:tcPr>
            <w:tcW w:w="1040" w:type="dxa"/>
            <w:vAlign w:val="bottom"/>
          </w:tcPr>
          <w:p>
            <w:pPr>
              <w:jc w:val="center"/>
              <w:ind w:right="98"/>
              <w:spacing w:after="0" w:line="15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8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Deal Name</w:t>
            </w:r>
          </w:p>
        </w:tc>
        <w:tc>
          <w:tcPr>
            <w:tcW w:w="2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Vintage</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w w:val="95"/>
              </w:rPr>
              <w:t>Risk</w:t>
            </w: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Reinsurance in</w:t>
            </w:r>
          </w:p>
        </w:tc>
        <w:tc>
          <w:tcPr>
            <w:tcW w:w="200" w:type="dxa"/>
            <w:vAlign w:val="bottom"/>
          </w:tcPr>
          <w:p>
            <w:pPr>
              <w:spacing w:after="0"/>
              <w:rPr>
                <w:sz w:val="11"/>
                <w:szCs w:val="11"/>
                <w:color w:val="auto"/>
              </w:rPr>
            </w:pPr>
          </w:p>
        </w:tc>
        <w:tc>
          <w:tcPr>
            <w:tcW w:w="104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w w:val="99"/>
              </w:rPr>
              <w:t>First Layer</w:t>
            </w:r>
          </w:p>
        </w:tc>
        <w:tc>
          <w:tcPr>
            <w:tcW w:w="10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 Termination Date</w:t>
            </w:r>
          </w:p>
        </w:tc>
        <w:tc>
          <w:tcPr>
            <w:tcW w:w="0" w:type="dxa"/>
            <w:vAlign w:val="bottom"/>
          </w:tcPr>
          <w:p>
            <w:pPr>
              <w:spacing w:after="0"/>
              <w:rPr>
                <w:sz w:val="1"/>
                <w:szCs w:val="1"/>
                <w:color w:val="auto"/>
              </w:rPr>
            </w:pPr>
          </w:p>
        </w:tc>
      </w:tr>
      <w:tr>
        <w:trPr>
          <w:trHeight w:val="186"/>
        </w:trPr>
        <w:tc>
          <w:tcPr>
            <w:tcW w:w="1380" w:type="dxa"/>
            <w:vAlign w:val="bottom"/>
            <w:vMerge w:val="continue"/>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Force</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200" w:type="dxa"/>
            <w:vAlign w:val="bottom"/>
          </w:tcPr>
          <w:p>
            <w:pPr>
              <w:spacing w:after="0"/>
              <w:rPr>
                <w:sz w:val="16"/>
                <w:szCs w:val="16"/>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Retention</w:t>
            </w:r>
          </w:p>
        </w:tc>
        <w:tc>
          <w:tcPr>
            <w:tcW w:w="100" w:type="dxa"/>
            <w:vAlign w:val="bottom"/>
          </w:tcPr>
          <w:p>
            <w:pPr>
              <w:spacing w:after="0"/>
              <w:rPr>
                <w:sz w:val="16"/>
                <w:szCs w:val="16"/>
                <w:color w:val="auto"/>
              </w:rPr>
            </w:pP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3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3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XOL 2019-1</w:t>
            </w:r>
          </w:p>
        </w:tc>
        <w:tc>
          <w:tcPr>
            <w:tcW w:w="2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8"/>
              </w:rPr>
              <w:t>Jan. 2018 - Dec. 2018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4,334,575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1,143,163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243,099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February 25, 2026</w:t>
            </w:r>
          </w:p>
        </w:tc>
        <w:tc>
          <w:tcPr>
            <w:tcW w:w="0" w:type="dxa"/>
            <w:vAlign w:val="bottom"/>
          </w:tcPr>
          <w:p>
            <w:pPr>
              <w:spacing w:after="0"/>
              <w:rPr>
                <w:sz w:val="1"/>
                <w:szCs w:val="1"/>
                <w:color w:val="auto"/>
              </w:rPr>
            </w:pPr>
          </w:p>
        </w:tc>
      </w:tr>
      <w:tr>
        <w:trPr>
          <w:trHeight w:val="226"/>
        </w:trPr>
        <w:tc>
          <w:tcPr>
            <w:tcW w:w="13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XOL 2020-1</w:t>
            </w:r>
          </w:p>
        </w:tc>
        <w:tc>
          <w:tcPr>
            <w:tcW w:w="2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9"/>
              </w:rPr>
              <w:t>Jan. 2019 - Aug. 2019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5,525,478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211,464</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25, 2027</w:t>
            </w:r>
          </w:p>
        </w:tc>
        <w:tc>
          <w:tcPr>
            <w:tcW w:w="0" w:type="dxa"/>
            <w:vAlign w:val="bottom"/>
          </w:tcPr>
          <w:p>
            <w:pPr>
              <w:spacing w:after="0"/>
              <w:rPr>
                <w:sz w:val="1"/>
                <w:szCs w:val="1"/>
                <w:color w:val="auto"/>
              </w:rPr>
            </w:pPr>
          </w:p>
        </w:tc>
      </w:tr>
      <w:tr>
        <w:trPr>
          <w:trHeight w:val="226"/>
        </w:trPr>
        <w:tc>
          <w:tcPr>
            <w:tcW w:w="13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XOL 2022-1</w:t>
            </w:r>
          </w:p>
        </w:tc>
        <w:tc>
          <w:tcPr>
            <w:tcW w:w="2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9"/>
              </w:rPr>
              <w:t>Oct. 2021 - Dec. 2022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61,141,314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16,718,151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494,068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2030</w:t>
            </w:r>
          </w:p>
        </w:tc>
        <w:tc>
          <w:tcPr>
            <w:tcW w:w="0" w:type="dxa"/>
            <w:vAlign w:val="bottom"/>
          </w:tcPr>
          <w:p>
            <w:pPr>
              <w:spacing w:after="0"/>
              <w:rPr>
                <w:sz w:val="1"/>
                <w:szCs w:val="1"/>
                <w:color w:val="auto"/>
              </w:rPr>
            </w:pPr>
          </w:p>
        </w:tc>
      </w:tr>
      <w:tr>
        <w:trPr>
          <w:trHeight w:val="226"/>
        </w:trPr>
        <w:tc>
          <w:tcPr>
            <w:tcW w:w="13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w w:val="99"/>
              </w:rPr>
              <w:t>XOL 2023-1</w:t>
            </w:r>
          </w:p>
        </w:tc>
        <w:tc>
          <w:tcPr>
            <w:tcW w:w="2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8"/>
              </w:rPr>
              <w:t>Jan. 2023 - Dec. 2023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35,938,114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9,967,019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365,476</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January 1, 2028</w:t>
            </w:r>
          </w:p>
        </w:tc>
        <w:tc>
          <w:tcPr>
            <w:tcW w:w="0" w:type="dxa"/>
            <w:vAlign w:val="bottom"/>
          </w:tcPr>
          <w:p>
            <w:pPr>
              <w:spacing w:after="0"/>
              <w:rPr>
                <w:sz w:val="1"/>
                <w:szCs w:val="1"/>
                <w:color w:val="auto"/>
              </w:rPr>
            </w:pPr>
          </w:p>
        </w:tc>
      </w:tr>
      <w:tr>
        <w:trPr>
          <w:trHeight w:val="226"/>
        </w:trPr>
        <w:tc>
          <w:tcPr>
            <w:tcW w:w="1380" w:type="dxa"/>
            <w:vAlign w:val="bottom"/>
            <w:shd w:val="clear" w:color="auto" w:fill="CCEEFF"/>
          </w:tcPr>
          <w:p>
            <w:pPr>
              <w:jc w:val="center"/>
              <w:ind w:right="83"/>
              <w:spacing w:after="0"/>
              <w:rPr>
                <w:sz w:val="20"/>
                <w:szCs w:val="20"/>
                <w:color w:val="auto"/>
              </w:rPr>
            </w:pPr>
            <w:r>
              <w:rPr>
                <w:rFonts w:ascii="Times New Roman" w:cs="Times New Roman" w:eastAsia="Times New Roman" w:hAnsi="Times New Roman"/>
                <w:sz w:val="16"/>
                <w:szCs w:val="16"/>
                <w:color w:val="auto"/>
                <w:w w:val="99"/>
              </w:rPr>
              <w:t>XOL 2024-1</w:t>
            </w:r>
          </w:p>
        </w:tc>
        <w:tc>
          <w:tcPr>
            <w:tcW w:w="2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color w:val="auto"/>
                <w:w w:val="98"/>
              </w:rPr>
              <w:t>Jan. 2024 - Dec. 2024</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39,383,053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10,817,438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January 1, 2030</w:t>
            </w:r>
          </w:p>
        </w:tc>
        <w:tc>
          <w:tcPr>
            <w:tcW w:w="0" w:type="dxa"/>
            <w:vAlign w:val="bottom"/>
          </w:tcPr>
          <w:p>
            <w:pPr>
              <w:spacing w:after="0"/>
              <w:rPr>
                <w:sz w:val="1"/>
                <w:szCs w:val="1"/>
                <w:color w:val="auto"/>
              </w:rPr>
            </w:pPr>
          </w:p>
        </w:tc>
      </w:tr>
      <w:tr>
        <w:trPr>
          <w:trHeight w:val="206"/>
        </w:trPr>
        <w:tc>
          <w:tcPr>
            <w:tcW w:w="1380" w:type="dxa"/>
            <w:vAlign w:val="bottom"/>
          </w:tcPr>
          <w:p>
            <w:pPr>
              <w:jc w:val="center"/>
              <w:ind w:right="83"/>
              <w:spacing w:after="0"/>
              <w:rPr>
                <w:sz w:val="20"/>
                <w:szCs w:val="20"/>
                <w:color w:val="auto"/>
              </w:rPr>
            </w:pPr>
            <w:r>
              <w:rPr>
                <w:rFonts w:ascii="Times New Roman" w:cs="Times New Roman" w:eastAsia="Times New Roman" w:hAnsi="Times New Roman"/>
                <w:sz w:val="16"/>
                <w:szCs w:val="16"/>
                <w:color w:val="auto"/>
              </w:rPr>
              <w:t>Total</w:t>
            </w: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146,322,534</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40,107,494</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341,920</w:t>
            </w:r>
          </w:p>
        </w:tc>
        <w:tc>
          <w:tcPr>
            <w:tcW w:w="100" w:type="dxa"/>
            <w:vAlign w:val="bottom"/>
          </w:tcPr>
          <w:p>
            <w:pPr>
              <w:spacing w:after="0"/>
              <w:rPr>
                <w:sz w:val="17"/>
                <w:szCs w:val="17"/>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1,645,563</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20" w:firstLine="638"/>
        <w:spacing w:after="0" w:line="255" w:lineRule="auto"/>
        <w:rPr>
          <w:sz w:val="20"/>
          <w:szCs w:val="20"/>
          <w:color w:val="auto"/>
        </w:rPr>
      </w:pPr>
      <w:r>
        <w:rPr>
          <w:rFonts w:ascii="Times New Roman" w:cs="Times New Roman" w:eastAsia="Times New Roman" w:hAnsi="Times New Roman"/>
          <w:sz w:val="18"/>
          <w:szCs w:val="18"/>
          <w:color w:val="auto"/>
        </w:rPr>
        <w:t>The amount of monthly reinsurance premiums ceded to the Radnor Re entities will fluctuate due to changes in one-month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209" w:lineRule="exact"/>
        <w:rPr>
          <w:sz w:val="20"/>
          <w:szCs w:val="20"/>
          <w:color w:val="auto"/>
        </w:rPr>
      </w:pPr>
    </w:p>
    <w:p>
      <w:pPr>
        <w:ind w:firstLine="638"/>
        <w:spacing w:after="0" w:line="248" w:lineRule="auto"/>
        <w:rPr>
          <w:sz w:val="20"/>
          <w:szCs w:val="20"/>
          <w:color w:val="auto"/>
        </w:rPr>
      </w:pPr>
      <w:r>
        <w:rPr>
          <w:rFonts w:ascii="Times New Roman" w:cs="Times New Roman" w:eastAsia="Times New Roman" w:hAnsi="Times New Roman"/>
          <w:sz w:val="18"/>
          <w:szCs w:val="18"/>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100" w:firstLine="638"/>
        <w:spacing w:after="0" w:line="255" w:lineRule="auto"/>
        <w:rPr>
          <w:sz w:val="20"/>
          <w:szCs w:val="20"/>
          <w:color w:val="auto"/>
        </w:rPr>
      </w:pPr>
      <w:r>
        <w:rPr>
          <w:rFonts w:ascii="Times New Roman" w:cs="Times New Roman" w:eastAsia="Times New Roman" w:hAnsi="Times New Roman"/>
          <w:sz w:val="18"/>
          <w:szCs w:val="18"/>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March 31, 2025:</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8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Maximum Exposure to Loss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4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VIE Assets</w:t>
            </w: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On - Balance Sheet</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Off - Balance Sheet</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2021-1 Ltd.</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2021-2 Ltd.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248,077</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2022-1 Ltd.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Radnor Re 2023-1 Ltd.</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250,291</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Radnor Re 2024-1 Ltd.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316,494</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1,141,069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360" w:firstLine="398"/>
        <w:spacing w:after="0" w:line="305" w:lineRule="auto"/>
        <w:rPr>
          <w:sz w:val="20"/>
          <w:szCs w:val="20"/>
          <w:color w:val="auto"/>
        </w:rPr>
      </w:pPr>
      <w:r>
        <w:rPr>
          <w:rFonts w:ascii="Times New Roman" w:cs="Times New Roman" w:eastAsia="Times New Roman" w:hAnsi="Times New Roman"/>
          <w:sz w:val="17"/>
          <w:szCs w:val="17"/>
          <w:color w:val="auto"/>
        </w:rPr>
        <w:t>The assets of the Radnor Re entities are the source of reinsurance claim payments to Essent Guaranty and provide capital relief under the PMIERs financial strength requirements (see Note 14). A decline in the assets available to pay claims would reduce the capital relief available to Essent Guaranty.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Reserve for Losses and Loss Adjustment Expenses</w:t>
      </w:r>
    </w:p>
    <w:p>
      <w:pPr>
        <w:spacing w:after="0" w:line="220" w:lineRule="exact"/>
        <w:rPr>
          <w:sz w:val="20"/>
          <w:szCs w:val="20"/>
          <w:color w:val="auto"/>
        </w:rPr>
      </w:pPr>
    </w:p>
    <w:p>
      <w:pPr>
        <w:ind w:right="140" w:firstLine="638"/>
        <w:spacing w:after="0" w:line="275"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(“LAE”) for the three months ended March 31: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260,095</w:t>
            </w:r>
          </w:p>
        </w:tc>
      </w:tr>
      <w:tr>
        <w:trPr>
          <w:trHeight w:val="226"/>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24,104</w:t>
            </w: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235,991</w:t>
            </w:r>
          </w:p>
        </w:tc>
      </w:tr>
      <w:tr>
        <w:trPr>
          <w:trHeight w:val="206"/>
        </w:trPr>
        <w:tc>
          <w:tcPr>
            <w:tcW w:w="78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8"/>
                <w:szCs w:val="18"/>
                <w:color w:val="auto"/>
              </w:rPr>
              <w:t>Add provision for losses and LAE, net of reinsurance, occurring in:</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r>
      <w:tr>
        <w:trPr>
          <w:trHeight w:val="226"/>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(29,483)</w:t>
            </w: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incurred losses and LAE during the current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r>
      <w:tr>
        <w:trPr>
          <w:trHeight w:val="206"/>
        </w:trPr>
        <w:tc>
          <w:tcPr>
            <w:tcW w:w="78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8"/>
                <w:szCs w:val="18"/>
                <w:color w:val="auto"/>
              </w:rPr>
              <w:t>Deduct payments for losses and LAE, net of reinsurance, occurring in:</w:t>
            </w: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7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6"/>
        </w:trPr>
        <w:tc>
          <w:tcPr>
            <w:tcW w:w="78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1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payments during the current period</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r>
      <w:tr>
        <w:trPr>
          <w:trHeight w:val="21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240,654</w:t>
            </w:r>
          </w:p>
        </w:tc>
      </w:tr>
      <w:tr>
        <w:trPr>
          <w:trHeight w:val="226"/>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26,670</w:t>
            </w:r>
          </w:p>
        </w:tc>
      </w:tr>
      <w:tr>
        <w:trPr>
          <w:trHeight w:val="21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267,324</w:t>
            </w:r>
          </w:p>
        </w:tc>
      </w:tr>
      <w:tr>
        <w:trPr>
          <w:trHeight w:val="20"/>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right="60" w:firstLine="638"/>
        <w:spacing w:after="0" w:line="267" w:lineRule="auto"/>
        <w:rPr>
          <w:sz w:val="20"/>
          <w:szCs w:val="20"/>
          <w:color w:val="auto"/>
        </w:rPr>
      </w:pPr>
      <w:r>
        <w:rPr>
          <w:rFonts w:ascii="Times New Roman" w:cs="Times New Roman" w:eastAsia="Times New Roman" w:hAnsi="Times New Roman"/>
          <w:sz w:val="17"/>
          <w:szCs w:val="17"/>
          <w:color w:val="auto"/>
        </w:rPr>
        <w:t>For the three months ended March 31, 2025, $7.1 million was paid for incurred claims and claim adjustment expenses attributable to insured events of prior years. There has been $18.2 million of favorable prior year development during the three months ended March 31, 2025. Reserves remaining as of March 31, 2025 for prior years are $266.8 million as a result of re-estimation of unpaid losses and loss adjustment expenses. For the three months ended March 31, 2024, $4.8 million was paid for incurred claims and claim adjustment expenses attributable to insured events of prior years. There was $29.5 million of favorable prior year development during the three months ended March 31, 2024. Reserves remaining as of March 31, 2024 for prior years were $201.7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79" w:lineRule="exact"/>
        <w:rPr>
          <w:sz w:val="20"/>
          <w:szCs w:val="20"/>
          <w:color w:val="auto"/>
        </w:rPr>
      </w:pPr>
    </w:p>
    <w:p>
      <w:pPr>
        <w:ind w:right="20" w:firstLine="398"/>
        <w:spacing w:after="0" w:line="249"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March 31, 2025, the reserves established for the Hurricane Milton and Helene defaults are materially unchanged from December 31, 2024.</w:t>
      </w:r>
    </w:p>
    <w:p>
      <w:pPr>
        <w:spacing w:after="0" w:line="108" w:lineRule="exact"/>
        <w:rPr>
          <w:sz w:val="20"/>
          <w:szCs w:val="20"/>
          <w:color w:val="auto"/>
        </w:rPr>
      </w:pPr>
    </w:p>
    <w:p>
      <w:pPr>
        <w:ind w:right="120" w:firstLine="398"/>
        <w:spacing w:after="0" w:line="260"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January 31, 2025, our insurance in force in areas with Federal Emergency Management Agency ("FEMA") disaster declarations due to these wildfires was less than 0.1% of our total insurance in force. These wildfires have not materially affected our reserves as of March 31, 2025.</w:t>
      </w:r>
    </w:p>
    <w:p>
      <w:pPr>
        <w:spacing w:after="0" w:line="111"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The Federal Reserve has increased the target federal funds rate several times during 2022 and 2023 in an effort to reduce consumer price inflation. As a result of progress on inflation, the Federal Reserve reduced the target federal funds rate by 100 basis points since September 2024. Mortgage interest rates remain elevated which has reduced home sale activity and may affect the options available to delinquent borrowers. It is reasonably possible that our estimate of losses could change in the near term as a result of changes in the economic environment, the impact of elevated mortgage interest rates on home sale activity, housing inventory and home prices.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 Obligations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247" w:lineRule="exact"/>
        <w:rPr>
          <w:sz w:val="20"/>
          <w:szCs w:val="20"/>
          <w:color w:val="auto"/>
        </w:rPr>
      </w:pPr>
    </w:p>
    <w:p>
      <w:pPr>
        <w:ind w:firstLine="398"/>
        <w:spacing w:after="0" w:line="248" w:lineRule="auto"/>
        <w:rPr>
          <w:sz w:val="20"/>
          <w:szCs w:val="20"/>
          <w:color w:val="auto"/>
        </w:rPr>
      </w:pPr>
      <w:r>
        <w:rPr>
          <w:rFonts w:ascii="Times New Roman" w:cs="Times New Roman" w:eastAsia="Times New Roman" w:hAnsi="Times New Roman"/>
          <w:sz w:val="18"/>
          <w:szCs w:val="18"/>
          <w:color w:val="auto"/>
        </w:rPr>
        <w:t>Through June 30, 2024, Essent Group and its subsidiaries, Essent Irish Intermediate Holdings Limited and Essent US Holdings, Inc. (collectively, the "Borrowers"), were parties to a five-year secured credit facility with a committed capacity of $825 million (the "Existing Credit Facility"). The Existing Credit Facility also provided for up to $175 million aggregate principal amount of uncommitted incremental term loan and/or revolving credit facilities that may be exercised at the Borrowers’ option so long as the Borrowers receive commitments from the lenders. Borrowings under the Existing Credit Facility may have been used for working capital and general corporate purposes, including, without limitation, capital contributions to Essent’s insurance and reinsurance subsidiaries. Borrowings accrued interest at a floating rate tied to a standard short-term borrowing index, selected at the Company’s option, plus an applicable margin. A commitment fee was due quarterly on the average daily amount of the undrawn revolving commitment. The applicable margin and the commitment fee were based on the senior unsecured debt rating or long-term issuer rating of Essent Group to the extent available, or the insurer financial strength rating of Essent Guaranty. The obligations under the Existing Credit Facility were secured by certain assets of the Borrowers, excluding the stock and assets of its insurance and reinsurance subsidiaries. The Credit Facility contained several covenants, including financial covenants relating to minimum net worth, capital and liquidity levels, maximum debt to capitalization level and Essent Guaranty's compliance with the PMIERs (see Note 14). As of June 30, 2024, the Company was in compliance with the covenants and $425 million had been borrowed under the term loan portion of the Existing Credit Facility with a weighted average interest rate of 7.07%.</w:t>
      </w:r>
    </w:p>
    <w:p>
      <w:pPr>
        <w:spacing w:after="0" w:line="221"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On July 1, 2024, Essent Group completed an underwritten public offering of $500 million principal amount of 6.25% Senior Notes due 2029 (the “Senior Notes"). Interest on the Senior Notes will be payable semi-annually in arrears on January 1 and July 1 of each year, beginning on January 1, 2025. The Senior Notes will mature on July 1, 2029. At any time prior to June 1, 2029 (one month prior to the maturity date), the Company may redeem the Senior Notes, at its option, in whole or in part, at any time and from time to time, at a redemption price described in the Supplemental Indenture plus accrued and unpaid interest, if any, to, but excluding, the redemption date. At any time and from time to time on or after June 1, 2029, the Company may redeem, at its option, in whole or in part, the Senior Notes at a redemption price equal to 100% of the principal amount of the Senior Notes to be redeemed plus accrued and unpaid interest, if any, to, but excluding, the redemption date. The net proceeds from the sale of the Senior Notes, after deducting the underwriting discounts and commissions and estimated offering expenses,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7"/>
          <w:szCs w:val="17"/>
          <w:color w:val="auto"/>
        </w:rPr>
        <w:t>were approximately $495.3 million. The Company used the net proceeds from the sale of the Senior Notes to repay all of the borrowings outstanding under the term loan portion of the Existing Credit Facility described above, and intends to use the remaining net proceeds for general corporate purposes.</w:t>
      </w:r>
    </w:p>
    <w:p>
      <w:pPr>
        <w:spacing w:after="0" w:line="167" w:lineRule="exact"/>
        <w:rPr>
          <w:sz w:val="20"/>
          <w:szCs w:val="20"/>
          <w:color w:val="auto"/>
        </w:rPr>
      </w:pPr>
    </w:p>
    <w:p>
      <w:pPr>
        <w:ind w:right="20" w:firstLine="398"/>
        <w:spacing w:after="0" w:line="250" w:lineRule="auto"/>
        <w:rPr>
          <w:sz w:val="20"/>
          <w:szCs w:val="20"/>
          <w:color w:val="auto"/>
        </w:rPr>
      </w:pPr>
      <w:r>
        <w:rPr>
          <w:rFonts w:ascii="Times New Roman" w:cs="Times New Roman" w:eastAsia="Times New Roman" w:hAnsi="Times New Roman"/>
          <w:sz w:val="18"/>
          <w:szCs w:val="18"/>
          <w:color w:val="auto"/>
        </w:rPr>
        <w:t>On July 1, 2024, concurrently with the closing of the Offering of the Senior Notes and the repayment of all of the borrowings outstanding under the term loan portion of its Existing Credit Agreement, the Fourth Amended and Restated Credit Agreement (the “Revolving Credit Agreement”) became effective and amends and restates the Existing Credit Facility. Under the Revolving Credit Agreement, the Refinancing Agreement Revolving Lenders (as defined therein) agreed to provide the Company with a five-year unsecured revolving credit facility of up to $500 million of senior unsecured revolving loans (the “Revolving Credit Facility”). A commitment fee is due quarterly on the average daily amount of the undrawn revolving commitment. The annual commitment fee rate at March 31, 2025 was 0.225%. The Revolving Credit Facility also provides for an aggregate principal amount of up to $250 million in uncommitted incremental revolving credit facilities that may be exercised at the Company’s option, so long as the Company receives sufficient commitments from the bank lenders.</w:t>
      </w:r>
    </w:p>
    <w:p>
      <w:pPr>
        <w:spacing w:after="0" w:line="121" w:lineRule="exact"/>
        <w:rPr>
          <w:sz w:val="20"/>
          <w:szCs w:val="20"/>
          <w:color w:val="auto"/>
        </w:rPr>
      </w:pPr>
    </w:p>
    <w:p>
      <w:pPr>
        <w:ind w:firstLine="398"/>
        <w:spacing w:after="0" w:line="275" w:lineRule="auto"/>
        <w:rPr>
          <w:sz w:val="20"/>
          <w:szCs w:val="20"/>
          <w:color w:val="auto"/>
        </w:rPr>
      </w:pPr>
      <w:r>
        <w:rPr>
          <w:rFonts w:ascii="Times New Roman" w:cs="Times New Roman" w:eastAsia="Times New Roman" w:hAnsi="Times New Roman"/>
          <w:sz w:val="18"/>
          <w:szCs w:val="18"/>
          <w:color w:val="auto"/>
        </w:rPr>
        <w:t>The Senior Notes are presented on the consolidated balance sheets net of an unamortized issuance discount of $1.6 million and $1.7 million and deferred issuance costs of $4.1 million and $4.4 million as of March 31, 2025 and December 31, 2024, respectively.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Obligations under Guarantees</w:t>
      </w:r>
    </w:p>
    <w:p>
      <w:pPr>
        <w:spacing w:after="0" w:line="220" w:lineRule="exact"/>
        <w:rPr>
          <w:sz w:val="20"/>
          <w:szCs w:val="20"/>
          <w:color w:val="auto"/>
        </w:rPr>
      </w:pPr>
    </w:p>
    <w:p>
      <w:pPr>
        <w:ind w:firstLine="638"/>
        <w:spacing w:after="0" w:line="251" w:lineRule="auto"/>
        <w:rPr>
          <w:sz w:val="20"/>
          <w:szCs w:val="20"/>
          <w:color w:val="auto"/>
        </w:rPr>
      </w:pPr>
      <w:r>
        <w:rPr>
          <w:rFonts w:ascii="Times New Roman" w:cs="Times New Roman" w:eastAsia="Times New Roman" w:hAnsi="Times New Roman"/>
          <w:sz w:val="18"/>
          <w:szCs w:val="18"/>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We made no remedy payments in the three months ended March 31, 2025, and we paid less than $0.1 million in the three months ended March 31, 2024. As of March 31, 2025, management believes any potential claims for indemnification related to contract underwriting services through March 31, 2025 are not material to our consolidated financial position or results of operations.</w:t>
      </w:r>
    </w:p>
    <w:p>
      <w:pPr>
        <w:spacing w:after="0" w:line="185" w:lineRule="exact"/>
        <w:rPr>
          <w:sz w:val="20"/>
          <w:szCs w:val="20"/>
          <w:color w:val="auto"/>
        </w:rPr>
      </w:pPr>
    </w:p>
    <w:p>
      <w:pPr>
        <w:ind w:firstLine="638"/>
        <w:spacing w:after="0" w:line="248" w:lineRule="auto"/>
        <w:rPr>
          <w:sz w:val="20"/>
          <w:szCs w:val="20"/>
          <w:color w:val="auto"/>
        </w:rPr>
      </w:pPr>
      <w:r>
        <w:rPr>
          <w:rFonts w:ascii="Times New Roman" w:cs="Times New Roman" w:eastAsia="Times New Roman" w:hAnsi="Times New Roman"/>
          <w:sz w:val="18"/>
          <w:szCs w:val="18"/>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March 31, 2025,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Stock</w:t>
      </w:r>
    </w:p>
    <w:p>
      <w:pPr>
        <w:spacing w:after="0" w:line="220" w:lineRule="exact"/>
        <w:rPr>
          <w:sz w:val="20"/>
          <w:szCs w:val="20"/>
          <w:color w:val="auto"/>
        </w:rPr>
      </w:pPr>
    </w:p>
    <w:p>
      <w:pPr>
        <w:ind w:right="40" w:firstLine="638"/>
        <w:spacing w:after="0" w:line="267" w:lineRule="auto"/>
        <w:rPr>
          <w:sz w:val="20"/>
          <w:szCs w:val="20"/>
          <w:color w:val="auto"/>
        </w:rPr>
      </w:pPr>
      <w:r>
        <w:rPr>
          <w:rFonts w:ascii="Times New Roman" w:cs="Times New Roman" w:eastAsia="Times New Roman" w:hAnsi="Times New Roman"/>
          <w:sz w:val="17"/>
          <w:szCs w:val="17"/>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amounts declared and paid per common share each quarter: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June 30</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6"/>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26"/>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4"/>
        </w:trPr>
        <w:tc>
          <w:tcPr>
            <w:tcW w:w="76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dividends per common share declared and paid</w:t>
            </w: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right="380" w:firstLine="638"/>
        <w:spacing w:after="0" w:line="275" w:lineRule="auto"/>
        <w:rPr>
          <w:sz w:val="20"/>
          <w:szCs w:val="20"/>
          <w:color w:val="auto"/>
        </w:rPr>
      </w:pPr>
      <w:r>
        <w:rPr>
          <w:rFonts w:ascii="Times New Roman" w:cs="Times New Roman" w:eastAsia="Times New Roman" w:hAnsi="Times New Roman"/>
          <w:sz w:val="18"/>
          <w:szCs w:val="18"/>
          <w:color w:val="auto"/>
        </w:rPr>
        <w:t>In May 2025, the Board of Directors declared a quarterly cash dividend of $0.31 per common share payable on June 10, 2025 to shareholders of record on May 30, 2025.</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154" w:lineRule="exact"/>
        <w:rPr>
          <w:sz w:val="20"/>
          <w:szCs w:val="20"/>
          <w:color w:val="auto"/>
        </w:rPr>
      </w:pPr>
    </w:p>
    <w:p>
      <w:pPr>
        <w:ind w:right="60" w:firstLine="398"/>
        <w:spacing w:after="0" w:line="252" w:lineRule="auto"/>
        <w:rPr>
          <w:sz w:val="20"/>
          <w:szCs w:val="20"/>
          <w:color w:val="auto"/>
        </w:rPr>
      </w:pPr>
      <w:r>
        <w:rPr>
          <w:rFonts w:ascii="Times New Roman" w:cs="Times New Roman" w:eastAsia="Times New Roman" w:hAnsi="Times New Roman"/>
          <w:sz w:val="18"/>
          <w:szCs w:val="18"/>
          <w:color w:val="auto"/>
        </w:rPr>
        <w:t>In October 2023, the Board of Directors approved a share repurchase plan that authorizes the Company to repurchase $250 million of common shares in the open market between January 1, 2024 and December 31, 2025. Through the year ended December 31, 2024, the Company repurchased 1,859,695 common shares at a cost of $102.7 million. In February 2025, the Board of Directors approved a share repurchase plan that authorizes the Company to repurchase an additional $500 million of common shares in the open market through December 31, 2026. The Company purchased 2,784,621 common shares at a cost of $157.2 million between January 1, 2025 and March 31, 2025. The shares repurchased were recorded at cost and included in treasury stock. All treasury stock has been cancelled as of March 31, 2025.</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0" w:lineRule="exact"/>
        <w:rPr>
          <w:sz w:val="20"/>
          <w:szCs w:val="20"/>
          <w:color w:val="auto"/>
        </w:rPr>
      </w:pPr>
    </w:p>
    <w:p>
      <w:pPr>
        <w:ind w:right="40" w:firstLine="638"/>
        <w:spacing w:after="0" w:line="266" w:lineRule="auto"/>
        <w:rPr>
          <w:sz w:val="20"/>
          <w:szCs w:val="20"/>
          <w:color w:val="auto"/>
        </w:rPr>
      </w:pPr>
      <w:r>
        <w:rPr>
          <w:rFonts w:ascii="Times New Roman" w:cs="Times New Roman" w:eastAsia="Times New Roman" w:hAnsi="Times New Roman"/>
          <w:sz w:val="17"/>
          <w:szCs w:val="17"/>
          <w:color w:val="auto"/>
        </w:rPr>
        <w:t xml:space="preserve">In 2013, Essent Group's Board of Directors adopted, and Essent Group's shareholders </w:t>
      </w:r>
      <w:r>
        <w:rPr>
          <w:rFonts w:ascii="Times New Roman" w:cs="Times New Roman" w:eastAsia="Times New Roman" w:hAnsi="Times New Roman"/>
          <w:sz w:val="17"/>
          <w:szCs w:val="17"/>
          <w:color w:val="242021"/>
        </w:rPr>
        <w:t>approved, the Essent Group Ltd. 2013 Long-Term Incentive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42021"/>
        </w:rPr>
        <w:t>Plan (the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Times New Roman" w:cs="Times New Roman" w:eastAsia="Times New Roman" w:hAnsi="Times New Roman"/>
          <w:sz w:val="17"/>
          <w:szCs w:val="17"/>
          <w:color w:val="000000"/>
        </w:rPr>
        <w:t>qualified share options, incentive stock options, share appreciation rights,</w:t>
      </w:r>
      <w:r>
        <w:rPr>
          <w:rFonts w:ascii="Times New Roman" w:cs="Times New Roman" w:eastAsia="Times New Roman" w:hAnsi="Times New Roman"/>
          <w:sz w:val="17"/>
          <w:szCs w:val="17"/>
          <w:color w:val="242021"/>
        </w:rPr>
        <w:t xml:space="preserve"> </w:t>
      </w:r>
      <w:r>
        <w:rPr>
          <w:rFonts w:ascii="Times New Roman" w:cs="Times New Roman" w:eastAsia="Times New Roman" w:hAnsi="Times New Roman"/>
          <w:sz w:val="17"/>
          <w:szCs w:val="17"/>
          <w:color w:val="000000"/>
        </w:rPr>
        <w:t>and other share-based 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7.5 million under the 2013 Plan, as amended. As of March 31, 2025, there were 3.0 million common shares available for future grant under the 2013 Plan.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nonvested common share, nonvested common share unit and DEU activity for the three months ended March 31,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720" w:type="dxa"/>
            <w:vAlign w:val="bottom"/>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720" w:type="dxa"/>
            <w:vAlign w:val="bottom"/>
          </w:tcPr>
          <w:p>
            <w:pPr>
              <w:spacing w:after="0"/>
              <w:rPr>
                <w:sz w:val="10"/>
                <w:szCs w:val="10"/>
                <w:color w:val="auto"/>
              </w:rPr>
            </w:pPr>
          </w:p>
        </w:tc>
        <w:tc>
          <w:tcPr>
            <w:tcW w:w="1880" w:type="dxa"/>
            <w:vAlign w:val="bottom"/>
            <w:gridSpan w:val="5"/>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Time-Based</w:t>
            </w:r>
          </w:p>
        </w:tc>
        <w:tc>
          <w:tcPr>
            <w:tcW w:w="1920" w:type="dxa"/>
            <w:vAlign w:val="bottom"/>
            <w:gridSpan w:val="5"/>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rPr>
              <w:t>Time and Performance-</w:t>
            </w:r>
          </w:p>
        </w:tc>
        <w:tc>
          <w:tcPr>
            <w:tcW w:w="19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Time-Based Share Units</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DEUs</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720" w:type="dxa"/>
            <w:vAlign w:val="bottom"/>
          </w:tcPr>
          <w:p>
            <w:pPr>
              <w:spacing w:after="0"/>
              <w:rPr>
                <w:sz w:val="16"/>
                <w:szCs w:val="16"/>
                <w:color w:val="auto"/>
              </w:rPr>
            </w:pPr>
          </w:p>
        </w:tc>
        <w:tc>
          <w:tcPr>
            <w:tcW w:w="18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Based Share Awards</w:t>
            </w:r>
          </w:p>
        </w:tc>
        <w:tc>
          <w:tcPr>
            <w:tcW w:w="19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 Awards</w:t>
            </w:r>
          </w:p>
        </w:tc>
        <w:tc>
          <w:tcPr>
            <w:tcW w:w="19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Based Share Units</w:t>
            </w:r>
          </w:p>
        </w:tc>
        <w:tc>
          <w:tcPr>
            <w:tcW w:w="1900" w:type="dxa"/>
            <w:vAlign w:val="bottom"/>
            <w:gridSpan w:val="5"/>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9"/>
              <w:spacing w:after="0" w:line="133"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9"/>
              <w:spacing w:after="0" w:line="133"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39"/>
              <w:spacing w:after="0" w:line="133"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9"/>
              <w:spacing w:after="0" w:line="133"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1"/>
                <w:szCs w:val="11"/>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Dividend</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8"/>
              <w:spacing w:after="0" w:line="133"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7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8"/>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6"/>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00" w:type="dxa"/>
            <w:vAlign w:val="bottom"/>
          </w:tcPr>
          <w:p>
            <w:pPr>
              <w:spacing w:after="0"/>
              <w:rPr>
                <w:sz w:val="12"/>
                <w:szCs w:val="12"/>
                <w:color w:val="auto"/>
              </w:rPr>
            </w:pPr>
          </w:p>
        </w:tc>
        <w:tc>
          <w:tcPr>
            <w:tcW w:w="8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3"/>
        </w:trPr>
        <w:tc>
          <w:tcPr>
            <w:tcW w:w="1720" w:type="dxa"/>
            <w:vAlign w:val="bottom"/>
            <w:vMerge w:val="continue"/>
          </w:tcPr>
          <w:p>
            <w:pPr>
              <w:spacing w:after="0"/>
              <w:rPr>
                <w:sz w:val="16"/>
                <w:szCs w:val="16"/>
                <w:color w:val="auto"/>
              </w:rPr>
            </w:pP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59"/>
        </w:trPr>
        <w:tc>
          <w:tcPr>
            <w:tcW w:w="172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8"/>
                <w:szCs w:val="18"/>
                <w:color w:val="auto"/>
              </w:rPr>
              <w:t>Outstanding at</w:t>
            </w: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year</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2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2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26"/>
        </w:trPr>
        <w:tc>
          <w:tcPr>
            <w:tcW w:w="1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153"/>
        </w:trPr>
        <w:tc>
          <w:tcPr>
            <w:tcW w:w="17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7"/>
                <w:szCs w:val="17"/>
                <w:color w:val="auto"/>
              </w:rPr>
              <w:t>Outstanding at end of</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120" w:firstLine="438"/>
        <w:spacing w:after="0" w:line="252" w:lineRule="auto"/>
        <w:rPr>
          <w:sz w:val="20"/>
          <w:szCs w:val="20"/>
          <w:color w:val="auto"/>
        </w:rPr>
      </w:pPr>
      <w:r>
        <w:rPr>
          <w:rFonts w:ascii="Times New Roman" w:cs="Times New Roman" w:eastAsia="Times New Roman" w:hAnsi="Times New Roman"/>
          <w:sz w:val="18"/>
          <w:szCs w:val="18"/>
          <w:color w:val="auto"/>
        </w:rPr>
        <w:t>In February 2025, certain members of senior management were granted nonvested common shares under the 2013 Plan that are subject to time-based and performance-based vesting. The time-based share awards granted in February 2025 vest annually in three equal installments commencing on March 1 of the year following the grant year. The performance-based share awards granted in February 2025 vest based upon our compounded annual book value per share growth percentage and relative total shareholder return during a three-year performance period that commenced on January 1, 2025, and they vest on March 1, 2028. Shares were issued at the maximum 200% of target. The portion of these nonvested performance-based share awards that will be earned is as follows:</w:t>
      </w:r>
    </w:p>
    <w:p>
      <w:pPr>
        <w:spacing w:after="0" w:line="22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Relative Total Shareholder Return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vs. S&amp;P 1500 Financial Services Index</w:t>
            </w:r>
          </w:p>
        </w:tc>
        <w:tc>
          <w:tcPr>
            <w:tcW w:w="1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00" w:type="dxa"/>
            <w:vAlign w:val="bottom"/>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50th percentile</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≥75th percentile</w:t>
            </w:r>
          </w:p>
        </w:tc>
        <w:tc>
          <w:tcPr>
            <w:tcW w:w="0" w:type="dxa"/>
            <w:vAlign w:val="bottom"/>
          </w:tcPr>
          <w:p>
            <w:pPr>
              <w:spacing w:after="0"/>
              <w:rPr>
                <w:sz w:val="1"/>
                <w:szCs w:val="1"/>
                <w:color w:val="auto"/>
              </w:rPr>
            </w:pPr>
          </w:p>
        </w:tc>
      </w:tr>
      <w:tr>
        <w:trPr>
          <w:trHeight w:val="246"/>
        </w:trPr>
        <w:tc>
          <w:tcPr>
            <w:tcW w:w="2000" w:type="dxa"/>
            <w:vAlign w:val="bottom"/>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11%</w:t>
            </w:r>
          </w:p>
        </w:tc>
        <w:tc>
          <w:tcPr>
            <w:tcW w:w="170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100%</w:t>
            </w:r>
          </w:p>
        </w:tc>
        <w:tc>
          <w:tcPr>
            <w:tcW w:w="2560" w:type="dxa"/>
            <w:vAlign w:val="bottom"/>
            <w:gridSpan w:val="3"/>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5"/>
              </w:rPr>
              <w:t>150%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66"/>
        </w:trPr>
        <w:tc>
          <w:tcPr>
            <w:tcW w:w="2000" w:type="dxa"/>
            <w:vAlign w:val="bottom"/>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6"/>
              </w:rPr>
              <w:t>Three-Year Book</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70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75%</w:t>
            </w:r>
          </w:p>
        </w:tc>
        <w:tc>
          <w:tcPr>
            <w:tcW w:w="256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w w:val="95"/>
              </w:rPr>
              <w:t>125%</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9"/>
              </w:rPr>
              <w:t>175%</w:t>
            </w:r>
          </w:p>
        </w:tc>
        <w:tc>
          <w:tcPr>
            <w:tcW w:w="0" w:type="dxa"/>
            <w:vAlign w:val="bottom"/>
          </w:tcPr>
          <w:p>
            <w:pPr>
              <w:spacing w:after="0"/>
              <w:rPr>
                <w:sz w:val="1"/>
                <w:szCs w:val="1"/>
                <w:color w:val="auto"/>
              </w:rPr>
            </w:pPr>
          </w:p>
        </w:tc>
      </w:tr>
      <w:tr>
        <w:trPr>
          <w:trHeight w:val="246"/>
        </w:trPr>
        <w:tc>
          <w:tcPr>
            <w:tcW w:w="2000" w:type="dxa"/>
            <w:vAlign w:val="bottom"/>
          </w:tcPr>
          <w:p>
            <w:pPr>
              <w:jc w:val="center"/>
              <w:ind w:right="611"/>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170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rPr>
              <w:t>50%</w:t>
            </w:r>
          </w:p>
        </w:tc>
        <w:tc>
          <w:tcPr>
            <w:tcW w:w="2560" w:type="dxa"/>
            <w:vAlign w:val="bottom"/>
            <w:tcBorders>
              <w:bottom w:val="single" w:sz="8" w:color="CCEEFF"/>
            </w:tcBorders>
            <w:gridSpan w:val="3"/>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5"/>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r>
        <w:trPr>
          <w:trHeight w:val="181"/>
        </w:trPr>
        <w:tc>
          <w:tcPr>
            <w:tcW w:w="2000" w:type="dxa"/>
            <w:vAlign w:val="bottom"/>
          </w:tcPr>
          <w:p>
            <w:pPr>
              <w:jc w:val="center"/>
              <w:ind w:right="631"/>
              <w:spacing w:after="0" w:line="181" w:lineRule="exact"/>
              <w:rPr>
                <w:sz w:val="20"/>
                <w:szCs w:val="20"/>
                <w:color w:val="auto"/>
              </w:rPr>
            </w:pPr>
            <w:r>
              <w:rPr>
                <w:rFonts w:ascii="Times New Roman" w:cs="Times New Roman" w:eastAsia="Times New Roman" w:hAnsi="Times New Roman"/>
                <w:sz w:val="18"/>
                <w:szCs w:val="18"/>
                <w:b w:val="1"/>
                <w:bCs w:val="1"/>
                <w:color w:val="auto"/>
                <w:w w:val="98"/>
              </w:rPr>
              <w:t>CAGR</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7%</w:t>
            </w:r>
          </w:p>
        </w:tc>
        <w:tc>
          <w:tcPr>
            <w:tcW w:w="1700" w:type="dxa"/>
            <w:vAlign w:val="bottom"/>
            <w:vMerge w:val="restart"/>
          </w:tcPr>
          <w:p>
            <w:pPr>
              <w:jc w:val="center"/>
              <w:ind w:left="151"/>
              <w:spacing w:after="0"/>
              <w:rPr>
                <w:sz w:val="20"/>
                <w:szCs w:val="20"/>
                <w:color w:val="auto"/>
              </w:rPr>
            </w:pPr>
            <w:r>
              <w:rPr>
                <w:rFonts w:ascii="Times New Roman" w:cs="Times New Roman" w:eastAsia="Times New Roman" w:hAnsi="Times New Roman"/>
                <w:sz w:val="18"/>
                <w:szCs w:val="18"/>
                <w:color w:val="auto"/>
              </w:rPr>
              <w:t>25%</w:t>
            </w:r>
          </w:p>
        </w:tc>
        <w:tc>
          <w:tcPr>
            <w:tcW w:w="2560" w:type="dxa"/>
            <w:vAlign w:val="bottom"/>
            <w:gridSpan w:val="3"/>
            <w:vMerge w:val="restart"/>
          </w:tcPr>
          <w:p>
            <w:pPr>
              <w:jc w:val="center"/>
              <w:ind w:left="231"/>
              <w:spacing w:after="0"/>
              <w:rPr>
                <w:sz w:val="20"/>
                <w:szCs w:val="20"/>
                <w:color w:val="auto"/>
              </w:rPr>
            </w:pPr>
            <w:r>
              <w:rPr>
                <w:rFonts w:ascii="Times New Roman" w:cs="Times New Roman" w:eastAsia="Times New Roman" w:hAnsi="Times New Roman"/>
                <w:sz w:val="18"/>
                <w:szCs w:val="18"/>
                <w:color w:val="auto"/>
                <w:w w:val="96"/>
              </w:rPr>
              <w:t>75%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vMerge w:val="restart"/>
          </w:tcPr>
          <w:p>
            <w:pPr>
              <w:jc w:val="center"/>
              <w:ind w:right="351"/>
              <w:spacing w:after="0"/>
              <w:rPr>
                <w:sz w:val="20"/>
                <w:szCs w:val="20"/>
                <w:color w:val="auto"/>
              </w:rPr>
            </w:pPr>
            <w:r>
              <w:rPr>
                <w:rFonts w:ascii="Times New Roman" w:cs="Times New Roman" w:eastAsia="Times New Roman" w:hAnsi="Times New Roman"/>
                <w:sz w:val="18"/>
                <w:szCs w:val="18"/>
                <w:color w:val="auto"/>
                <w:w w:val="99"/>
              </w:rPr>
              <w:t>125%</w:t>
            </w:r>
          </w:p>
        </w:tc>
        <w:tc>
          <w:tcPr>
            <w:tcW w:w="0" w:type="dxa"/>
            <w:vAlign w:val="bottom"/>
          </w:tcPr>
          <w:p>
            <w:pPr>
              <w:spacing w:after="0"/>
              <w:rPr>
                <w:sz w:val="1"/>
                <w:szCs w:val="1"/>
                <w:color w:val="auto"/>
              </w:rPr>
            </w:pPr>
          </w:p>
        </w:tc>
      </w:tr>
      <w:tr>
        <w:trPr>
          <w:trHeight w:val="85"/>
        </w:trPr>
        <w:tc>
          <w:tcPr>
            <w:tcW w:w="20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5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00" w:type="dxa"/>
            <w:vAlign w:val="bottom"/>
          </w:tcPr>
          <w:p>
            <w:pPr>
              <w:spacing w:after="0"/>
              <w:rPr>
                <w:sz w:val="23"/>
                <w:szCs w:val="23"/>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6%</w:t>
            </w:r>
          </w:p>
        </w:tc>
        <w:tc>
          <w:tcPr>
            <w:tcW w:w="170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1"/>
              </w:rPr>
              <w:t>0%</w:t>
            </w:r>
          </w:p>
        </w:tc>
        <w:tc>
          <w:tcPr>
            <w:tcW w:w="2560" w:type="dxa"/>
            <w:vAlign w:val="bottom"/>
            <w:gridSpan w:val="3"/>
            <w:shd w:val="clear" w:color="auto" w:fill="CCEEFF"/>
          </w:tcPr>
          <w:p>
            <w:pPr>
              <w:jc w:val="center"/>
              <w:ind w:left="231"/>
              <w:spacing w:after="0"/>
              <w:rPr>
                <w:sz w:val="20"/>
                <w:szCs w:val="20"/>
                <w:color w:val="auto"/>
              </w:rPr>
            </w:pPr>
            <w:r>
              <w:rPr>
                <w:rFonts w:ascii="Times New Roman" w:cs="Times New Roman" w:eastAsia="Times New Roman" w:hAnsi="Times New Roman"/>
                <w:sz w:val="18"/>
                <w:szCs w:val="18"/>
                <w:color w:val="auto"/>
                <w:w w:val="96"/>
              </w:rPr>
              <w:t>50%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780" w:type="dxa"/>
            <w:vAlign w:val="bottom"/>
            <w:shd w:val="clear" w:color="auto" w:fill="CCEEFF"/>
          </w:tcPr>
          <w:p>
            <w:pPr>
              <w:jc w:val="center"/>
              <w:ind w:right="351"/>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200" w:firstLine="638"/>
        <w:spacing w:after="0" w:line="283" w:lineRule="auto"/>
        <w:rPr>
          <w:sz w:val="20"/>
          <w:szCs w:val="20"/>
          <w:color w:val="auto"/>
        </w:rPr>
      </w:pPr>
      <w:r>
        <w:rPr>
          <w:rFonts w:ascii="Times New Roman" w:cs="Times New Roman" w:eastAsia="Times New Roman" w:hAnsi="Times New Roman"/>
          <w:sz w:val="17"/>
          <w:szCs w:val="17"/>
          <w:color w:val="auto"/>
        </w:rPr>
        <w:t>Certain time-and-performance based share awards and units granted in 2022 and subsequent periods include retirement provisions under which the service requirements are considered satisfied when the employee with a required minimum years of continuous service reaches the eligible retirement age. Under these provisions, stock-based compensation is expensed from the grant date through the date that the employee will satisfy these conditions.</w:t>
      </w:r>
    </w:p>
    <w:p>
      <w:pPr>
        <w:spacing w:after="0" w:line="185" w:lineRule="exact"/>
        <w:rPr>
          <w:sz w:val="20"/>
          <w:szCs w:val="20"/>
          <w:color w:val="auto"/>
        </w:rPr>
      </w:pPr>
    </w:p>
    <w:p>
      <w:pPr>
        <w:ind w:right="300" w:firstLine="638"/>
        <w:spacing w:after="0" w:line="275" w:lineRule="auto"/>
        <w:rPr>
          <w:sz w:val="20"/>
          <w:szCs w:val="20"/>
          <w:color w:val="auto"/>
        </w:rPr>
      </w:pPr>
      <w:r>
        <w:rPr>
          <w:rFonts w:ascii="Times New Roman" w:cs="Times New Roman" w:eastAsia="Times New Roman" w:hAnsi="Times New Roman"/>
          <w:sz w:val="18"/>
          <w:szCs w:val="18"/>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63" w:lineRule="exact"/>
        <w:rPr>
          <w:sz w:val="20"/>
          <w:szCs w:val="20"/>
          <w:color w:val="auto"/>
        </w:rPr>
      </w:pPr>
    </w:p>
    <w:p>
      <w:pPr>
        <w:ind w:right="200" w:firstLine="438"/>
        <w:spacing w:after="0" w:line="275" w:lineRule="auto"/>
        <w:rPr>
          <w:sz w:val="20"/>
          <w:szCs w:val="20"/>
          <w:color w:val="auto"/>
        </w:rPr>
      </w:pPr>
      <w:r>
        <w:rPr>
          <w:rFonts w:ascii="Times New Roman" w:cs="Times New Roman" w:eastAsia="Times New Roman" w:hAnsi="Times New Roman"/>
          <w:sz w:val="18"/>
          <w:szCs w:val="18"/>
          <w:color w:val="auto"/>
        </w:rPr>
        <w:t>In connection with our incentive program covering bonus awards for performance year 2024, in February 2025, time-based share units were issued to certain employees that vest in three equal installments on March 1, 2026, 2027 and 2028.</w:t>
      </w:r>
    </w:p>
    <w:p>
      <w:pPr>
        <w:spacing w:after="0" w:line="190" w:lineRule="exact"/>
        <w:rPr>
          <w:sz w:val="20"/>
          <w:szCs w:val="20"/>
          <w:color w:val="auto"/>
        </w:rPr>
      </w:pPr>
    </w:p>
    <w:p>
      <w:pPr>
        <w:ind w:right="60" w:firstLine="638"/>
        <w:spacing w:after="0" w:line="275" w:lineRule="auto"/>
        <w:rPr>
          <w:sz w:val="20"/>
          <w:szCs w:val="20"/>
          <w:color w:val="auto"/>
        </w:rPr>
      </w:pPr>
      <w:r>
        <w:rPr>
          <w:rFonts w:ascii="Times New Roman" w:cs="Times New Roman" w:eastAsia="Times New Roman" w:hAnsi="Times New Roman"/>
          <w:sz w:val="18"/>
          <w:szCs w:val="18"/>
          <w:color w:val="auto"/>
        </w:rPr>
        <w:t>Quoted market prices are used for the valuation of common shares granted that do not contain a market condition under ASC 718. The performance-based share awards granted in February 2023, 2024 and 2025 contain a market condition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valued based on analysis provided by a third-party valuation firm using a risk-neutral simulation taking into effect the vesting conditions of the grant.</w:t>
      </w:r>
    </w:p>
    <w:p>
      <w:pPr>
        <w:spacing w:after="0" w:line="245" w:lineRule="exact"/>
        <w:rPr>
          <w:sz w:val="20"/>
          <w:szCs w:val="20"/>
          <w:color w:val="auto"/>
        </w:rPr>
      </w:pPr>
    </w:p>
    <w:p>
      <w:pPr>
        <w:ind w:firstLine="638"/>
        <w:spacing w:after="0" w:line="260" w:lineRule="auto"/>
        <w:rPr>
          <w:sz w:val="20"/>
          <w:szCs w:val="20"/>
          <w:color w:val="auto"/>
        </w:rPr>
      </w:pPr>
      <w:r>
        <w:rPr>
          <w:rFonts w:ascii="Times New Roman" w:cs="Times New Roman" w:eastAsia="Times New Roman" w:hAnsi="Times New Roman"/>
          <w:sz w:val="18"/>
          <w:szCs w:val="18"/>
          <w:color w:val="auto"/>
        </w:rPr>
        <w:t>The total fair value on the vesting date of nonvested shares, share units or DEUs that vested was $30.8 million and $22.8 million for the three months ended March 31, 2025 and 2024, respectively. As of March 31, 2025, there was $28.0 million of total unrecognized compensation expense related to nonvested shares or share units outstanding at March 31, 2025 and we expect to recognize the expense over a weighted average period of 2.4 years.</w:t>
      </w:r>
    </w:p>
    <w:p>
      <w:pPr>
        <w:spacing w:after="0" w:line="204" w:lineRule="exact"/>
        <w:rPr>
          <w:sz w:val="20"/>
          <w:szCs w:val="20"/>
          <w:color w:val="auto"/>
        </w:rPr>
      </w:pPr>
    </w:p>
    <w:p>
      <w:pPr>
        <w:jc w:val="both"/>
        <w:ind w:right="60" w:firstLine="638"/>
        <w:spacing w:after="0" w:line="260" w:lineRule="auto"/>
        <w:rPr>
          <w:sz w:val="20"/>
          <w:szCs w:val="20"/>
          <w:color w:val="auto"/>
        </w:rPr>
      </w:pPr>
      <w:r>
        <w:rPr>
          <w:rFonts w:ascii="Times New Roman" w:cs="Times New Roman" w:eastAsia="Times New Roman" w:hAnsi="Times New Roman"/>
          <w:sz w:val="18"/>
          <w:szCs w:val="18"/>
          <w:color w:val="auto"/>
        </w:rPr>
        <w:t>Employees have the option to tender shares to Essent Group to pay the minimum employee statutory withholding taxes associated with shares upon vesting. Common shares tendered by employees to pay employee withholding taxes totaled 203,273 in the three months ended March 31, 2025. The tendered shares were recorded at cost and included in treasury stock. All treasury stock has been cancelled as of March 31, 2025.</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Compensation expense, net of forfeitures, and related tax effects recognized in connection with nonvested shares and share units was as follows:</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8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4"/>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0" w:type="dxa"/>
            <w:vAlign w:val="bottom"/>
          </w:tcPr>
          <w:p>
            <w:pPr>
              <w:spacing w:after="0"/>
              <w:rPr>
                <w:sz w:val="1"/>
                <w:szCs w:val="1"/>
                <w:color w:val="auto"/>
              </w:rPr>
            </w:pPr>
          </w:p>
        </w:tc>
      </w:tr>
      <w:tr>
        <w:trPr>
          <w:trHeight w:val="232"/>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Dividends Restrictions</w:t>
      </w:r>
    </w:p>
    <w:p>
      <w:pPr>
        <w:spacing w:after="0" w:line="247" w:lineRule="exact"/>
        <w:rPr>
          <w:sz w:val="20"/>
          <w:szCs w:val="20"/>
          <w:color w:val="auto"/>
        </w:rPr>
      </w:pPr>
    </w:p>
    <w:p>
      <w:pPr>
        <w:ind w:right="60" w:firstLine="638"/>
        <w:spacing w:after="0" w:line="251" w:lineRule="auto"/>
        <w:rPr>
          <w:sz w:val="20"/>
          <w:szCs w:val="20"/>
          <w:color w:val="auto"/>
        </w:rPr>
      </w:pPr>
      <w:r>
        <w:rPr>
          <w:rFonts w:ascii="Times New Roman" w:cs="Times New Roman" w:eastAsia="Times New Roman" w:hAnsi="Times New Roman"/>
          <w:sz w:val="18"/>
          <w:szCs w:val="18"/>
          <w:color w:val="auto"/>
        </w:rPr>
        <w:t>Our U.S. insurance subsidiaries are subject to certain capital and dividend rules and regulations as prescribed by jurisdictions in which they are authorized to operate. Under the insurance laws of the Commonwealth of Pennsylvania, an insurance company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March 31, 2025, Essent Guaranty had unassigned surplus of approximately $405.4 million. As of March 31, 2025, Essent Guaranty could pay additional ordinary dividends in 2025 of $405.4 million. In three months ended March 31, 2025 and 2024, Essent Guaranty paid dividends of $65 million and $45 million, respectively, to its parent, Essent US Holdings, Inc.</w:t>
      </w:r>
    </w:p>
    <w:p>
      <w:pPr>
        <w:spacing w:after="0" w:line="211"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March 31, 2025, Essent Re had total equity of $1.8 billion. In the three months ended March 31, 2025 and 2024, Essent Re paid dividends of $100 million and $37.5 million, respectively, to its parent, Essent Group Ltd.</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March 31, 2025, our insurance subsidiaries were in compliance with these rules, regulations and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Share (EPS)</w:t>
      </w:r>
    </w:p>
    <w:p>
      <w:pPr>
        <w:spacing w:after="0" w:line="220" w:lineRule="exact"/>
        <w:rPr>
          <w:sz w:val="20"/>
          <w:szCs w:val="20"/>
          <w:color w:val="auto"/>
        </w:rPr>
      </w:pPr>
    </w:p>
    <w:p>
      <w:pPr>
        <w:ind w:right="240" w:firstLine="638"/>
        <w:spacing w:after="0" w:line="275" w:lineRule="auto"/>
        <w:rPr>
          <w:sz w:val="20"/>
          <w:szCs w:val="20"/>
          <w:color w:val="auto"/>
        </w:rPr>
      </w:pPr>
      <w:r>
        <w:rPr>
          <w:rFonts w:ascii="Times New Roman" w:cs="Times New Roman" w:eastAsia="Times New Roman" w:hAnsi="Times New Roman"/>
          <w:sz w:val="18"/>
          <w:szCs w:val="18"/>
          <w:color w:val="auto"/>
        </w:rPr>
        <w:t>The following table reconciles the net income and the weighted average common shares outstanding used in the computations of basic and diluted earnings per common share:</w:t>
      </w: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r>
      <w:tr>
        <w:trPr>
          <w:trHeight w:val="192"/>
        </w:trPr>
        <w:tc>
          <w:tcPr>
            <w:tcW w:w="8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9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26"/>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175,433</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181,719</w:t>
            </w:r>
          </w:p>
        </w:tc>
      </w:tr>
      <w:tr>
        <w:trPr>
          <w:trHeight w:val="53"/>
        </w:trPr>
        <w:tc>
          <w:tcPr>
            <w:tcW w:w="8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105,697</w:t>
            </w:r>
          </w:p>
        </w:tc>
      </w:tr>
      <w:tr>
        <w:trPr>
          <w:trHeight w:val="226"/>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nonvested shares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106,770</w:t>
            </w:r>
          </w:p>
        </w:tc>
      </w:tr>
      <w:tr>
        <w:trPr>
          <w:trHeight w:val="53"/>
        </w:trPr>
        <w:tc>
          <w:tcPr>
            <w:tcW w:w="8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2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2"/>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112,727 and 167,730 antidilutive shares for the three months ended March 31, 2025 and 2024, respectively.</w:t>
      </w:r>
    </w:p>
    <w:p>
      <w:pPr>
        <w:spacing w:after="0" w:line="218" w:lineRule="exact"/>
        <w:rPr>
          <w:sz w:val="20"/>
          <w:szCs w:val="20"/>
          <w:color w:val="auto"/>
        </w:rPr>
      </w:pPr>
    </w:p>
    <w:p>
      <w:pPr>
        <w:ind w:right="40" w:firstLine="638"/>
        <w:spacing w:after="0" w:line="255" w:lineRule="auto"/>
        <w:rPr>
          <w:sz w:val="20"/>
          <w:szCs w:val="20"/>
          <w:color w:val="auto"/>
        </w:rPr>
      </w:pPr>
      <w:r>
        <w:rPr>
          <w:rFonts w:ascii="Times New Roman" w:cs="Times New Roman" w:eastAsia="Times New Roman" w:hAnsi="Times New Roman"/>
          <w:sz w:val="18"/>
          <w:szCs w:val="18"/>
          <w:color w:val="auto"/>
        </w:rPr>
        <w:t>Nonvested performance-based share awards are considered contingently issuable for purposes of the EPS calculation. The 2025, 2024 and 2023 performance-based share awards vest based upon our compounded annual book value per share growth percentage and relative total shareholder return during a three-year performance period. The following table summarizes the performance-based shares issuable if the reporting date was the end of the contingency period: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 Performance-Based</w:t>
            </w:r>
          </w:p>
        </w:tc>
        <w:tc>
          <w:tcPr>
            <w:tcW w:w="20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 Performance-Based</w:t>
            </w: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Performance-Based</w:t>
            </w: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2022 Performance-Based</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40" w:type="dxa"/>
            <w:vAlign w:val="bottom"/>
          </w:tcPr>
          <w:p>
            <w:pPr>
              <w:spacing w:after="0"/>
              <w:rPr>
                <w:sz w:val="16"/>
                <w:szCs w:val="16"/>
                <w:color w:val="auto"/>
              </w:rPr>
            </w:pPr>
          </w:p>
        </w:tc>
        <w:tc>
          <w:tcPr>
            <w:tcW w:w="126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680" w:type="dxa"/>
            <w:vAlign w:val="bottom"/>
          </w:tcPr>
          <w:p>
            <w:pPr>
              <w:spacing w:after="0"/>
              <w:rPr>
                <w:sz w:val="16"/>
                <w:szCs w:val="16"/>
                <w:color w:val="auto"/>
              </w:rPr>
            </w:pPr>
          </w:p>
        </w:tc>
        <w:tc>
          <w:tcPr>
            <w:tcW w:w="1200" w:type="dxa"/>
            <w:vAlign w:val="bottom"/>
            <w:gridSpan w:val="4"/>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Grants</w:t>
            </w:r>
          </w:p>
        </w:tc>
        <w:tc>
          <w:tcPr>
            <w:tcW w:w="760" w:type="dxa"/>
            <w:vAlign w:val="bottom"/>
          </w:tcPr>
          <w:p>
            <w:pPr>
              <w:spacing w:after="0"/>
              <w:rPr>
                <w:sz w:val="16"/>
                <w:szCs w:val="16"/>
                <w:color w:val="auto"/>
              </w:rPr>
            </w:pPr>
          </w:p>
        </w:tc>
        <w:tc>
          <w:tcPr>
            <w:tcW w:w="1200" w:type="dxa"/>
            <w:vAlign w:val="bottom"/>
            <w:gridSpan w:val="3"/>
          </w:tcPr>
          <w:p>
            <w:pPr>
              <w:jc w:val="center"/>
              <w:ind w:right="698"/>
              <w:spacing w:after="0"/>
              <w:rPr>
                <w:sz w:val="20"/>
                <w:szCs w:val="20"/>
                <w:color w:val="auto"/>
              </w:rPr>
            </w:pPr>
            <w:r>
              <w:rPr>
                <w:rFonts w:ascii="Times New Roman" w:cs="Times New Roman" w:eastAsia="Times New Roman" w:hAnsi="Times New Roman"/>
                <w:sz w:val="14"/>
                <w:szCs w:val="14"/>
                <w:b w:val="1"/>
                <w:bCs w:val="1"/>
                <w:color w:val="auto"/>
              </w:rPr>
              <w:t>Grants</w:t>
            </w:r>
          </w:p>
        </w:tc>
        <w:tc>
          <w:tcPr>
            <w:tcW w:w="0" w:type="dxa"/>
            <w:vAlign w:val="bottom"/>
          </w:tcPr>
          <w:p>
            <w:pPr>
              <w:spacing w:after="0"/>
              <w:rPr>
                <w:sz w:val="1"/>
                <w:szCs w:val="1"/>
                <w:color w:val="auto"/>
              </w:rPr>
            </w:pPr>
          </w:p>
        </w:tc>
      </w:tr>
      <w:tr>
        <w:trPr>
          <w:trHeight w:val="125"/>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ind w:left="92"/>
              <w:spacing w:after="0" w:line="125"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ind w:left="89"/>
              <w:spacing w:after="0" w:line="125"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jc w:val="center"/>
              <w:ind w:left="29"/>
              <w:spacing w:after="0" w:line="125"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top w:val="single" w:sz="8" w:color="auto"/>
            </w:tcBorders>
            <w:gridSpan w:val="4"/>
            <w:vMerge w:val="restart"/>
          </w:tcPr>
          <w:p>
            <w:pPr>
              <w:jc w:val="center"/>
              <w:ind w:right="998"/>
              <w:spacing w:after="0"/>
              <w:rPr>
                <w:sz w:val="20"/>
                <w:szCs w:val="20"/>
                <w:color w:val="auto"/>
              </w:rPr>
            </w:pPr>
            <w:r>
              <w:rPr>
                <w:rFonts w:ascii="Times New Roman" w:cs="Times New Roman" w:eastAsia="Times New Roman" w:hAnsi="Times New Roman"/>
                <w:sz w:val="12"/>
                <w:szCs w:val="12"/>
                <w:b w:val="1"/>
                <w:bCs w:val="1"/>
                <w:color w:val="auto"/>
              </w:rPr>
              <w:t>Percent Issuable</w:t>
            </w: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left="92"/>
              <w:spacing w:after="0" w:line="126" w:lineRule="exact"/>
              <w:rPr>
                <w:sz w:val="20"/>
                <w:szCs w:val="20"/>
                <w:color w:val="auto"/>
              </w:rPr>
            </w:pPr>
            <w:r>
              <w:rPr>
                <w:rFonts w:ascii="Times New Roman" w:cs="Times New Roman" w:eastAsia="Times New Roman" w:hAnsi="Times New Roman"/>
                <w:sz w:val="12"/>
                <w:szCs w:val="12"/>
                <w:b w:val="1"/>
                <w:bCs w:val="1"/>
                <w:color w:val="auto"/>
              </w:rPr>
              <w:t>Issuable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740" w:type="dxa"/>
            <w:vAlign w:val="bottom"/>
          </w:tcPr>
          <w:p>
            <w:pPr>
              <w:jc w:val="center"/>
              <w:ind w:left="89"/>
              <w:spacing w:after="0" w:line="126" w:lineRule="exact"/>
              <w:rPr>
                <w:sz w:val="20"/>
                <w:szCs w:val="20"/>
                <w:color w:val="auto"/>
              </w:rPr>
            </w:pPr>
            <w:r>
              <w:rPr>
                <w:rFonts w:ascii="Times New Roman" w:cs="Times New Roman" w:eastAsia="Times New Roman" w:hAnsi="Times New Roman"/>
                <w:sz w:val="12"/>
                <w:szCs w:val="12"/>
                <w:b w:val="1"/>
                <w:bCs w:val="1"/>
                <w:color w:val="auto"/>
                <w:w w:val="99"/>
              </w:rPr>
              <w:t>Issuable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680" w:type="dxa"/>
            <w:vAlign w:val="bottom"/>
          </w:tcPr>
          <w:p>
            <w:pPr>
              <w:jc w:val="center"/>
              <w:ind w:left="29"/>
              <w:spacing w:after="0" w:line="126" w:lineRule="exact"/>
              <w:rPr>
                <w:sz w:val="20"/>
                <w:szCs w:val="20"/>
                <w:color w:val="auto"/>
              </w:rPr>
            </w:pPr>
            <w:r>
              <w:rPr>
                <w:rFonts w:ascii="Times New Roman" w:cs="Times New Roman" w:eastAsia="Times New Roman" w:hAnsi="Times New Roman"/>
                <w:sz w:val="12"/>
                <w:szCs w:val="12"/>
                <w:b w:val="1"/>
                <w:bCs w:val="1"/>
                <w:color w:val="auto"/>
                <w:w w:val="99"/>
              </w:rPr>
              <w:t>Issuable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As a Percent of</w:t>
            </w:r>
          </w:p>
        </w:tc>
        <w:tc>
          <w:tcPr>
            <w:tcW w:w="1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32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b w:val="1"/>
                <w:bCs w:val="1"/>
                <w:color w:val="auto"/>
              </w:rPr>
              <w:t>Reporting Date</w:t>
            </w:r>
          </w:p>
        </w:tc>
        <w:tc>
          <w:tcPr>
            <w:tcW w:w="100" w:type="dxa"/>
            <w:vAlign w:val="bottom"/>
            <w:vMerge w:val="restart"/>
          </w:tcPr>
          <w:p>
            <w:pPr>
              <w:spacing w:after="0"/>
              <w:rPr>
                <w:sz w:val="10"/>
                <w:szCs w:val="10"/>
                <w:color w:val="auto"/>
              </w:rPr>
            </w:pPr>
          </w:p>
        </w:tc>
        <w:tc>
          <w:tcPr>
            <w:tcW w:w="720" w:type="dxa"/>
            <w:vAlign w:val="bottom"/>
          </w:tcPr>
          <w:p>
            <w:pPr>
              <w:jc w:val="center"/>
              <w:ind w:left="92"/>
              <w:spacing w:after="0" w:line="120"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40" w:type="dxa"/>
            <w:vAlign w:val="bottom"/>
          </w:tcPr>
          <w:p>
            <w:pPr>
              <w:jc w:val="center"/>
              <w:ind w:left="89"/>
              <w:spacing w:after="0" w:line="120"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80" w:type="dxa"/>
            <w:vAlign w:val="bottom"/>
          </w:tcPr>
          <w:p>
            <w:pPr>
              <w:jc w:val="center"/>
              <w:ind w:left="29"/>
              <w:spacing w:after="0" w:line="120"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jc w:val="center"/>
              <w:ind w:left="91"/>
              <w:spacing w:after="0" w:line="120" w:lineRule="exact"/>
              <w:rPr>
                <w:sz w:val="20"/>
                <w:szCs w:val="20"/>
                <w:color w:val="auto"/>
              </w:rPr>
            </w:pPr>
            <w:r>
              <w:rPr>
                <w:rFonts w:ascii="Times New Roman" w:cs="Times New Roman" w:eastAsia="Times New Roman" w:hAnsi="Times New Roman"/>
                <w:sz w:val="12"/>
                <w:szCs w:val="12"/>
                <w:b w:val="1"/>
                <w:bCs w:val="1"/>
                <w:color w:val="auto"/>
              </w:rPr>
              <w:t>Relative to</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As a Percent of</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tcBorders>
              <w:bottom w:val="single" w:sz="8" w:color="auto"/>
            </w:tcBorders>
          </w:tcPr>
          <w:p>
            <w:pPr>
              <w:jc w:val="center"/>
              <w:ind w:left="112"/>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ind w:left="29"/>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2"/>
                <w:szCs w:val="12"/>
                <w:b w:val="1"/>
                <w:bCs w:val="1"/>
                <w:color w:val="auto"/>
                <w:w w:val="97"/>
              </w:rPr>
              <w:t>Target</w:t>
            </w:r>
          </w:p>
        </w:tc>
        <w:tc>
          <w:tcPr>
            <w:tcW w:w="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Shares Issued</w:t>
            </w:r>
          </w:p>
        </w:tc>
        <w:tc>
          <w:tcPr>
            <w:tcW w:w="0" w:type="dxa"/>
            <w:vAlign w:val="bottom"/>
          </w:tcPr>
          <w:p>
            <w:pPr>
              <w:spacing w:after="0"/>
              <w:rPr>
                <w:sz w:val="1"/>
                <w:szCs w:val="1"/>
                <w:color w:val="auto"/>
              </w:rPr>
            </w:pPr>
          </w:p>
        </w:tc>
      </w:tr>
      <w:tr>
        <w:trPr>
          <w:trHeight w:val="224"/>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March 31, 2025</w:t>
            </w:r>
          </w:p>
        </w:tc>
        <w:tc>
          <w:tcPr>
            <w:tcW w:w="100" w:type="dxa"/>
            <w:vAlign w:val="bottom"/>
          </w:tcPr>
          <w:p>
            <w:pPr>
              <w:spacing w:after="0"/>
              <w:rPr>
                <w:sz w:val="19"/>
                <w:szCs w:val="19"/>
                <w:color w:val="auto"/>
              </w:rPr>
            </w:pP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740" w:type="dxa"/>
            <w:vAlign w:val="bottom"/>
          </w:tcPr>
          <w:p>
            <w:pPr>
              <w:jc w:val="center"/>
              <w:ind w:left="89"/>
              <w:spacing w:after="0"/>
              <w:rPr>
                <w:sz w:val="20"/>
                <w:szCs w:val="20"/>
                <w:color w:val="auto"/>
              </w:rPr>
            </w:pPr>
            <w:r>
              <w:rPr>
                <w:rFonts w:ascii="Times New Roman" w:cs="Times New Roman" w:eastAsia="Times New Roman" w:hAnsi="Times New Roman"/>
                <w:sz w:val="18"/>
                <w:szCs w:val="18"/>
                <w:color w:val="auto"/>
                <w:w w:val="99"/>
              </w:rPr>
              <w:t>103%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w:t>
            </w:r>
          </w:p>
        </w:tc>
        <w:tc>
          <w:tcPr>
            <w:tcW w:w="100" w:type="dxa"/>
            <w:vAlign w:val="bottom"/>
          </w:tcPr>
          <w:p>
            <w:pPr>
              <w:spacing w:after="0"/>
              <w:rPr>
                <w:sz w:val="19"/>
                <w:szCs w:val="19"/>
                <w:color w:val="auto"/>
              </w:rPr>
            </w:pPr>
          </w:p>
        </w:tc>
        <w:tc>
          <w:tcPr>
            <w:tcW w:w="680" w:type="dxa"/>
            <w:vAlign w:val="bottom"/>
          </w:tcPr>
          <w:p>
            <w:pPr>
              <w:jc w:val="center"/>
              <w:ind w:left="29"/>
              <w:spacing w:after="0"/>
              <w:rPr>
                <w:sz w:val="20"/>
                <w:szCs w:val="20"/>
                <w:color w:val="auto"/>
              </w:rPr>
            </w:pPr>
            <w:r>
              <w:rPr>
                <w:rFonts w:ascii="Times New Roman" w:cs="Times New Roman" w:eastAsia="Times New Roman" w:hAnsi="Times New Roman"/>
                <w:sz w:val="18"/>
                <w:szCs w:val="18"/>
                <w:color w:val="auto"/>
                <w:w w:val="99"/>
              </w:rPr>
              <w:t>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09"/>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(1)</w:t>
            </w:r>
          </w:p>
        </w:tc>
        <w:tc>
          <w:tcPr>
            <w:tcW w:w="1200" w:type="dxa"/>
            <w:vAlign w:val="bottom"/>
            <w:gridSpan w:val="3"/>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26"/>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March 31, 2024</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8"/>
                <w:szCs w:val="18"/>
                <w:color w:val="auto"/>
                <w:w w:val="99"/>
              </w:rPr>
              <w:t>179%</w:t>
            </w:r>
          </w:p>
        </w:tc>
        <w:tc>
          <w:tcPr>
            <w:tcW w:w="1160" w:type="dxa"/>
            <w:vAlign w:val="bottom"/>
            <w:gridSpan w:val="3"/>
            <w:shd w:val="clear" w:color="auto" w:fill="CCEEFF"/>
          </w:tcPr>
          <w:p>
            <w:pPr>
              <w:jc w:val="center"/>
              <w:ind w:left="180"/>
              <w:spacing w:after="0"/>
              <w:rPr>
                <w:sz w:val="20"/>
                <w:szCs w:val="20"/>
                <w:color w:val="auto"/>
              </w:rPr>
            </w:pPr>
            <w:r>
              <w:rPr>
                <w:rFonts w:ascii="Times New Roman" w:cs="Times New Roman" w:eastAsia="Times New Roman" w:hAnsi="Times New Roman"/>
                <w:sz w:val="18"/>
                <w:szCs w:val="18"/>
                <w:color w:val="auto"/>
                <w:w w:val="98"/>
              </w:rPr>
              <w:t>89.5%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8"/>
                <w:szCs w:val="18"/>
                <w:color w:val="auto"/>
                <w:w w:val="99"/>
              </w:rPr>
              <w:t>200%</w:t>
            </w:r>
          </w:p>
        </w:tc>
        <w:tc>
          <w:tcPr>
            <w:tcW w:w="1100" w:type="dxa"/>
            <w:vAlign w:val="bottom"/>
            <w:gridSpan w:val="3"/>
            <w:shd w:val="clear" w:color="auto" w:fill="CCEEFF"/>
          </w:tcPr>
          <w:p>
            <w:pPr>
              <w:jc w:val="right"/>
              <w:ind w:right="169"/>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200%</w:t>
            </w:r>
          </w:p>
        </w:tc>
        <w:tc>
          <w:tcPr>
            <w:tcW w:w="1200" w:type="dxa"/>
            <w:vAlign w:val="bottom"/>
            <w:gridSpan w:val="3"/>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0" w:hanging="214"/>
        <w:spacing w:after="0"/>
        <w:tabs>
          <w:tab w:leader="none" w:pos="2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The 2022 performance based awards vested at 168% relative to target on March 1, 2025.</w:t>
      </w: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00" w:lineRule="exact"/>
        <w:rPr>
          <w:rFonts w:ascii="Times New Roman" w:cs="Times New Roman" w:eastAsia="Times New Roman" w:hAnsi="Times New Roman"/>
          <w:sz w:val="14"/>
          <w:szCs w:val="14"/>
          <w:b w:val="1"/>
          <w:bCs w:val="1"/>
          <w:color w:val="auto"/>
        </w:rPr>
      </w:pPr>
    </w:p>
    <w:p>
      <w:pPr>
        <w:spacing w:after="0" w:line="228" w:lineRule="exact"/>
        <w:rPr>
          <w:rFonts w:ascii="Times New Roman" w:cs="Times New Roman" w:eastAsia="Times New Roman" w:hAnsi="Times New Roman"/>
          <w:sz w:val="14"/>
          <w:szCs w:val="14"/>
          <w:b w:val="1"/>
          <w:bCs w:val="1"/>
          <w:color w:val="auto"/>
        </w:rPr>
      </w:pPr>
    </w:p>
    <w:p>
      <w:pPr>
        <w:ind w:left="55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rollforward of accumulated other comprehensive loss for the three months ended March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9"/>
        </w:trPr>
        <w:tc>
          <w:tcPr>
            <w:tcW w:w="2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
        </w:trPr>
        <w:tc>
          <w:tcPr>
            <w:tcW w:w="2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6"/>
        </w:trPr>
        <w:tc>
          <w:tcPr>
            <w:tcW w:w="3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Before Tax</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Tax Effect</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of Tax</w:t>
            </w:r>
          </w:p>
        </w:tc>
      </w:tr>
      <w:tr>
        <w:trPr>
          <w:trHeight w:val="226"/>
        </w:trPr>
        <w:tc>
          <w:tcPr>
            <w:tcW w:w="376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(354,298)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(322,992)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(280,496)</w:t>
            </w:r>
          </w:p>
        </w:tc>
      </w:tr>
      <w:tr>
        <w:trPr>
          <w:trHeight w:val="206"/>
        </w:trPr>
        <w:tc>
          <w:tcPr>
            <w:tcW w:w="3880" w:type="dxa"/>
            <w:vAlign w:val="bottom"/>
            <w:gridSpan w:val="3"/>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73"/>
        </w:trPr>
        <w:tc>
          <w:tcPr>
            <w:tcW w:w="3880" w:type="dxa"/>
            <w:vAlign w:val="bottom"/>
            <w:gridSpan w:val="3"/>
          </w:tcPr>
          <w:p>
            <w:pPr>
              <w:ind w:left="220"/>
              <w:spacing w:after="0" w:line="173" w:lineRule="exact"/>
              <w:rPr>
                <w:sz w:val="20"/>
                <w:szCs w:val="20"/>
                <w:color w:val="auto"/>
              </w:rPr>
            </w:pPr>
            <w:r>
              <w:rPr>
                <w:rFonts w:ascii="Times New Roman" w:cs="Times New Roman" w:eastAsia="Times New Roman" w:hAnsi="Times New Roman"/>
                <w:sz w:val="18"/>
                <w:szCs w:val="18"/>
                <w:color w:val="auto"/>
              </w:rPr>
              <w:t>Unrealized holding gains (losses) 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5"/>
        </w:trPr>
        <w:tc>
          <w:tcPr>
            <w:tcW w:w="38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76"/>
        </w:trPr>
        <w:tc>
          <w:tcPr>
            <w:tcW w:w="3880" w:type="dxa"/>
            <w:vAlign w:val="bottom"/>
            <w:gridSpan w:val="3"/>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Unrealized holding gains (losses) arising during</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39"/>
        </w:trPr>
        <w:tc>
          <w:tcPr>
            <w:tcW w:w="3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period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(22,662)</w:t>
            </w:r>
          </w:p>
        </w:tc>
      </w:tr>
      <w:tr>
        <w:trPr>
          <w:trHeight w:val="173"/>
        </w:trPr>
        <w:tc>
          <w:tcPr>
            <w:tcW w:w="3880" w:type="dxa"/>
            <w:vAlign w:val="bottom"/>
            <w:gridSpan w:val="3"/>
          </w:tcPr>
          <w:p>
            <w:pPr>
              <w:ind w:left="340"/>
              <w:spacing w:after="0" w:line="173" w:lineRule="exact"/>
              <w:rPr>
                <w:sz w:val="20"/>
                <w:szCs w:val="20"/>
                <w:color w:val="auto"/>
              </w:rPr>
            </w:pPr>
            <w:r>
              <w:rPr>
                <w:rFonts w:ascii="Times New Roman" w:cs="Times New Roman" w:eastAsia="Times New Roman" w:hAnsi="Times New Roman"/>
                <w:sz w:val="18"/>
                <w:szCs w:val="18"/>
                <w:color w:val="auto"/>
              </w:rPr>
              <w:t>Less: Reclassification adjustment for (gains)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9"/>
        </w:trPr>
        <w:tc>
          <w:tcPr>
            <w:tcW w:w="388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losses included in net income (1)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9"/>
        </w:trPr>
        <w:tc>
          <w:tcPr>
            <w:tcW w:w="3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gains (losses) on investments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w:t>
            </w:r>
          </w:p>
        </w:tc>
      </w:tr>
      <w:tr>
        <w:trPr>
          <w:trHeight w:val="219"/>
        </w:trPr>
        <w:tc>
          <w:tcPr>
            <w:tcW w:w="3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(21,766)</w:t>
            </w:r>
          </w:p>
        </w:tc>
      </w:tr>
      <w:tr>
        <w:trPr>
          <w:trHeight w:val="244"/>
        </w:trPr>
        <w:tc>
          <w:tcPr>
            <w:tcW w:w="3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(302,262)</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06"/>
        </w:trPr>
        <w:tc>
          <w:tcPr>
            <w:tcW w:w="2180" w:type="dxa"/>
            <w:vAlign w:val="bottom"/>
            <w:tcBorders>
              <w:bottom w:val="single" w:sz="8" w:color="auto"/>
            </w:tcBorders>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Included in net realized investment losses on our condensed consolidated statements of comprehensive income.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220" w:lineRule="exact"/>
        <w:rPr>
          <w:sz w:val="20"/>
          <w:szCs w:val="20"/>
          <w:color w:val="auto"/>
        </w:rPr>
      </w:pPr>
    </w:p>
    <w:p>
      <w:pPr>
        <w:ind w:right="360" w:firstLine="638"/>
        <w:spacing w:after="0" w:line="275" w:lineRule="auto"/>
        <w:rPr>
          <w:sz w:val="20"/>
          <w:szCs w:val="20"/>
          <w:color w:val="auto"/>
        </w:rPr>
      </w:pPr>
      <w:r>
        <w:rPr>
          <w:rFonts w:ascii="Times New Roman" w:cs="Times New Roman" w:eastAsia="Times New Roman" w:hAnsi="Times New Roman"/>
          <w:sz w:val="18"/>
          <w:szCs w:val="18"/>
          <w:color w:val="auto"/>
        </w:rPr>
        <w:t>We carry certain of our financial instruments at fair value. We define fair value as the current amount that would be exchanged to sell an asset or transfer a liability, other than in a forced liquidation.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0" w:lineRule="exact"/>
        <w:rPr>
          <w:sz w:val="20"/>
          <w:szCs w:val="20"/>
          <w:color w:val="auto"/>
        </w:rPr>
      </w:pPr>
    </w:p>
    <w:p>
      <w:pPr>
        <w:ind w:right="20" w:firstLine="638"/>
        <w:spacing w:after="0" w:line="255" w:lineRule="auto"/>
        <w:rPr>
          <w:sz w:val="20"/>
          <w:szCs w:val="20"/>
          <w:color w:val="auto"/>
        </w:rPr>
      </w:pPr>
      <w:r>
        <w:rPr>
          <w:rFonts w:ascii="Times New Roman" w:cs="Times New Roman" w:eastAsia="Times New Roman" w:hAnsi="Times New Roman"/>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9" w:lineRule="exact"/>
        <w:rPr>
          <w:sz w:val="20"/>
          <w:szCs w:val="20"/>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 accessible at the measurement date.</w:t>
      </w:r>
    </w:p>
    <w:p>
      <w:pPr>
        <w:spacing w:after="0" w:line="217" w:lineRule="exact"/>
        <w:rPr>
          <w:rFonts w:ascii="Times New Roman" w:cs="Times New Roman" w:eastAsia="Times New Roman" w:hAnsi="Times New Roman"/>
          <w:sz w:val="18"/>
          <w:szCs w:val="18"/>
          <w:color w:val="auto"/>
        </w:rPr>
      </w:pPr>
    </w:p>
    <w:p>
      <w:pPr>
        <w:jc w:val="both"/>
        <w:ind w:left="640" w:right="220" w:hanging="315"/>
        <w:spacing w:after="0" w:line="260"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one or more significant inputs that are unobservable.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Fair Value</w:t>
      </w:r>
    </w:p>
    <w:p>
      <w:pPr>
        <w:spacing w:after="0" w:line="220" w:lineRule="exact"/>
        <w:rPr>
          <w:sz w:val="20"/>
          <w:szCs w:val="20"/>
          <w:color w:val="auto"/>
        </w:rPr>
      </w:pPr>
    </w:p>
    <w:p>
      <w:pPr>
        <w:ind w:firstLine="638"/>
        <w:spacing w:after="0" w:line="253" w:lineRule="auto"/>
        <w:rPr>
          <w:sz w:val="20"/>
          <w:szCs w:val="20"/>
          <w:color w:val="auto"/>
        </w:rPr>
      </w:pPr>
      <w:r>
        <w:rPr>
          <w:rFonts w:ascii="Times New Roman" w:cs="Times New Roman" w:eastAsia="Times New Roman" w:hAnsi="Times New Roman"/>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used the following methods and assumptions in estimating fair values of financial instruments:</w:t>
      </w:r>
    </w:p>
    <w:p>
      <w:pPr>
        <w:spacing w:after="0" w:line="245" w:lineRule="exact"/>
        <w:rPr>
          <w:sz w:val="20"/>
          <w:szCs w:val="20"/>
          <w:color w:val="auto"/>
        </w:rPr>
      </w:pPr>
    </w:p>
    <w:p>
      <w:pPr>
        <w:ind w:left="640" w:right="40" w:hanging="315"/>
        <w:spacing w:after="0" w:line="252"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83" w:lineRule="exact"/>
        <w:rPr>
          <w:rFonts w:ascii="Times New Roman" w:cs="Times New Roman" w:eastAsia="Times New Roman" w:hAnsi="Times New Roman"/>
          <w:sz w:val="18"/>
          <w:szCs w:val="18"/>
          <w:color w:val="auto"/>
        </w:rPr>
      </w:pPr>
    </w:p>
    <w:p>
      <w:pPr>
        <w:ind w:left="6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0" w:lineRule="exact"/>
        <w:rPr>
          <w:sz w:val="20"/>
          <w:szCs w:val="20"/>
          <w:color w:val="auto"/>
        </w:rPr>
      </w:pPr>
    </w:p>
    <w:p>
      <w:pPr>
        <w:ind w:right="180" w:firstLine="638"/>
        <w:spacing w:after="0" w:line="275" w:lineRule="auto"/>
        <w:rPr>
          <w:sz w:val="20"/>
          <w:szCs w:val="20"/>
          <w:color w:val="auto"/>
        </w:rPr>
      </w:pPr>
      <w:r>
        <w:rPr>
          <w:rFonts w:ascii="Times New Roman" w:cs="Times New Roman" w:eastAsia="Times New Roman" w:hAnsi="Times New Roman"/>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Quoted Prices</w:t>
            </w: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20"/>
              <w:spacing w:after="0" w:line="133"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 (In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6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7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545,262</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1,165,643</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592,561</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1,867,491</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470,481</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746,519</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0" w:type="dxa"/>
            <w:vAlign w:val="bottom"/>
          </w:tcPr>
          <w:p>
            <w:pPr>
              <w:spacing w:after="0"/>
              <w:rPr>
                <w:sz w:val="1"/>
                <w:szCs w:val="1"/>
                <w:color w:val="auto"/>
              </w:rPr>
            </w:pPr>
          </w:p>
        </w:tc>
      </w:tr>
      <w:tr>
        <w:trPr>
          <w:trHeight w:val="244"/>
        </w:trPr>
        <w:tc>
          <w:tcPr>
            <w:tcW w:w="47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20" w:type="dxa"/>
            <w:vAlign w:val="bottom"/>
            <w:tcBorders>
              <w:top w:val="single" w:sz="8" w:color="auto"/>
              <w:bottom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5,882,359</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24"/>
                <w:szCs w:val="24"/>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6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 (In thousands)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1"/>
                <w:szCs w:val="11"/>
                <w:color w:val="auto"/>
              </w:rPr>
            </w:pPr>
          </w:p>
        </w:tc>
        <w:tc>
          <w:tcPr>
            <w:tcW w:w="136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3"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360" w:type="dxa"/>
            <w:vAlign w:val="bottom"/>
          </w:tcPr>
          <w:p>
            <w:pPr>
              <w:spacing w:after="0"/>
              <w:rPr>
                <w:sz w:val="11"/>
                <w:szCs w:val="11"/>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7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8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U.S. agency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Municipal debt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0" w:type="dxa"/>
            <w:vAlign w:val="bottom"/>
          </w:tcPr>
          <w:p>
            <w:pPr>
              <w:spacing w:after="0"/>
              <w:rPr>
                <w:sz w:val="1"/>
                <w:szCs w:val="1"/>
                <w:color w:val="auto"/>
              </w:rPr>
            </w:pPr>
          </w:p>
        </w:tc>
      </w:tr>
      <w:tr>
        <w:trPr>
          <w:trHeight w:val="226"/>
        </w:trPr>
        <w:tc>
          <w:tcPr>
            <w:tcW w:w="47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Asset-backed securities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0" w:type="dxa"/>
            <w:vAlign w:val="bottom"/>
          </w:tcPr>
          <w:p>
            <w:pPr>
              <w:spacing w:after="0"/>
              <w:rPr>
                <w:sz w:val="1"/>
                <w:szCs w:val="1"/>
                <w:color w:val="auto"/>
              </w:rPr>
            </w:pPr>
          </w:p>
        </w:tc>
      </w:tr>
      <w:tr>
        <w:trPr>
          <w:trHeight w:val="226"/>
        </w:trPr>
        <w:tc>
          <w:tcPr>
            <w:tcW w:w="478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0" w:type="dxa"/>
            <w:vAlign w:val="bottom"/>
          </w:tcPr>
          <w:p>
            <w:pPr>
              <w:spacing w:after="0"/>
              <w:rPr>
                <w:sz w:val="1"/>
                <w:szCs w:val="1"/>
                <w:color w:val="auto"/>
              </w:rPr>
            </w:pPr>
          </w:p>
        </w:tc>
      </w:tr>
      <w:tr>
        <w:trPr>
          <w:trHeight w:val="219"/>
        </w:trPr>
        <w:tc>
          <w:tcPr>
            <w:tcW w:w="4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assets at fair value (1) (2)</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4,671,826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5,876,721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80" w:type="dxa"/>
            <w:vAlign w:val="bottom"/>
            <w:tcBorders>
              <w:bottom w:val="single" w:sz="8" w:color="auto"/>
            </w:tcBorders>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right="180" w:hanging="315"/>
        <w:spacing w:after="0" w:line="257"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ind w:left="640" w:right="420" w:hanging="315"/>
        <w:spacing w:after="0" w:line="252" w:lineRule="auto"/>
        <w:tabs>
          <w:tab w:leader="none" w:pos="6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Carried at Fair Value</w:t>
      </w:r>
    </w:p>
    <w:p>
      <w:pPr>
        <w:spacing w:after="0" w:line="24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senior notes are carried at amortized cost, net of issuance costs, on our condensed consolidated balance sheets. The carrying amount and estimated fair value of our senior notes was $494.3 million and $515.9 million, respectively, as of March 31, 2025. The carrying amount and estimated fair value of our senior notes was $494.0 million and $510.8 million, respectively, as of December 31, 2024. The fair value of our senior notes is estimated based on quoted market prices.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Statutory Accounting</w:t>
      </w:r>
    </w:p>
    <w:p>
      <w:pPr>
        <w:spacing w:after="0" w:line="220" w:lineRule="exact"/>
        <w:rPr>
          <w:sz w:val="20"/>
          <w:szCs w:val="20"/>
          <w:color w:val="auto"/>
        </w:rPr>
      </w:pPr>
    </w:p>
    <w:p>
      <w:pPr>
        <w:ind w:right="80" w:firstLine="638"/>
        <w:spacing w:after="0" w:line="252" w:lineRule="auto"/>
        <w:rPr>
          <w:sz w:val="20"/>
          <w:szCs w:val="20"/>
          <w:color w:val="auto"/>
        </w:rPr>
      </w:pPr>
      <w:r>
        <w:rPr>
          <w:rFonts w:ascii="Times New Roman" w:cs="Times New Roman" w:eastAsia="Times New Roman" w:hAnsi="Times New Roman"/>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tables present Essent Guaranty’s statutory net income for the three months ended March 31, 2025 and 2024 as well as statutory surplus and contingency reserve liability at March 31, 2025 and December 31, 2024:</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180" w:type="dxa"/>
            <w:vAlign w:val="bottom"/>
          </w:tcPr>
          <w:p>
            <w:pPr>
              <w:jc w:val="right"/>
              <w:ind w:right="1169"/>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4"/>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700" w:type="dxa"/>
            <w:vAlign w:val="bottom"/>
            <w:vMerge w:val="continue"/>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18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7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32"/>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net income</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120" w:type="dxa"/>
            <w:vAlign w:val="bottom"/>
          </w:tcPr>
          <w:p>
            <w:pPr>
              <w:spacing w:after="0"/>
              <w:rPr>
                <w:sz w:val="20"/>
                <w:szCs w:val="20"/>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123,356</w:t>
            </w:r>
          </w:p>
        </w:tc>
      </w:tr>
      <w:tr>
        <w:trPr>
          <w:trHeight w:val="514"/>
        </w:trPr>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24"/>
                <w:szCs w:val="24"/>
                <w:color w:val="auto"/>
              </w:rPr>
            </w:pPr>
          </w:p>
        </w:tc>
        <w:tc>
          <w:tcPr>
            <w:tcW w:w="17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172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67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9"/>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Essent Guaranty</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r>
      <w:tr>
        <w:trPr>
          <w:trHeight w:val="226"/>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Statutory surplus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1,110,732</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1,101,894</w:t>
            </w:r>
          </w:p>
        </w:tc>
      </w:tr>
      <w:tr>
        <w:trPr>
          <w:trHeight w:val="226"/>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Contingency reserve liability</w:t>
            </w: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2,492,487</w:t>
            </w:r>
          </w:p>
        </w:tc>
      </w:tr>
    </w:tbl>
    <w:p>
      <w:pPr>
        <w:spacing w:after="0" w:line="314" w:lineRule="exact"/>
        <w:rPr>
          <w:sz w:val="20"/>
          <w:szCs w:val="20"/>
          <w:color w:val="auto"/>
        </w:rPr>
      </w:pPr>
    </w:p>
    <w:p>
      <w:pPr>
        <w:ind w:right="80" w:firstLine="638"/>
        <w:spacing w:after="0" w:line="253"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211" w:lineRule="exact"/>
        <w:rPr>
          <w:sz w:val="20"/>
          <w:szCs w:val="20"/>
          <w:color w:val="auto"/>
        </w:rPr>
      </w:pPr>
    </w:p>
    <w:p>
      <w:pPr>
        <w:ind w:right="240" w:firstLine="638"/>
        <w:spacing w:after="0" w:line="272" w:lineRule="auto"/>
        <w:rPr>
          <w:sz w:val="20"/>
          <w:szCs w:val="20"/>
          <w:color w:val="auto"/>
        </w:rPr>
      </w:pPr>
      <w:r>
        <w:rPr>
          <w:rFonts w:ascii="Times New Roman" w:cs="Times New Roman" w:eastAsia="Times New Roman" w:hAnsi="Times New Roman"/>
          <w:sz w:val="17"/>
          <w:szCs w:val="17"/>
          <w:color w:val="auto"/>
        </w:rPr>
        <w:t>Net income determined in accordance with statutory accounting practices differs from GAAP. In 2025 and 2024, the more significant differences between net income determined under statutory accounting practices and GAAP for Essent Guaranty relate to policy acquisition costs and income</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as a result, increases statutory net income and surplus as compared to net income and equity determined in accordance with GAAP.</w:t>
      </w:r>
    </w:p>
    <w:p>
      <w:pPr>
        <w:spacing w:after="0" w:line="217" w:lineRule="exact"/>
        <w:rPr>
          <w:sz w:val="20"/>
          <w:szCs w:val="20"/>
          <w:color w:val="auto"/>
        </w:rPr>
      </w:pPr>
    </w:p>
    <w:p>
      <w:pPr>
        <w:ind w:right="760" w:firstLine="638"/>
        <w:spacing w:after="0" w:line="275" w:lineRule="auto"/>
        <w:rPr>
          <w:sz w:val="20"/>
          <w:szCs w:val="20"/>
          <w:color w:val="auto"/>
        </w:rPr>
      </w:pPr>
      <w:r>
        <w:rPr>
          <w:rFonts w:ascii="Times New Roman" w:cs="Times New Roman" w:eastAsia="Times New Roman" w:hAnsi="Times New Roman"/>
          <w:sz w:val="18"/>
          <w:szCs w:val="18"/>
          <w:color w:val="auto"/>
        </w:rPr>
        <w:t>At March 31, 2025 and December 31, 2024, the statutory capital of Essent Guaranty, which is defined as the total of statutory surplus and contingency reserves, was in excess of the statutory capital necessary to satisfy its regulatory requirements.</w:t>
      </w:r>
    </w:p>
    <w:p>
      <w:pPr>
        <w:spacing w:after="0" w:line="190" w:lineRule="exact"/>
        <w:rPr>
          <w:sz w:val="20"/>
          <w:szCs w:val="20"/>
          <w:color w:val="auto"/>
        </w:rPr>
      </w:pPr>
    </w:p>
    <w:p>
      <w:pPr>
        <w:ind w:firstLine="638"/>
        <w:spacing w:after="0" w:line="275" w:lineRule="auto"/>
        <w:rPr>
          <w:sz w:val="20"/>
          <w:szCs w:val="20"/>
          <w:color w:val="auto"/>
        </w:rPr>
      </w:pPr>
      <w:r>
        <w:rPr>
          <w:rFonts w:ascii="Times New Roman" w:cs="Times New Roman" w:eastAsia="Times New Roman" w:hAnsi="Times New Roman"/>
          <w:sz w:val="17"/>
          <w:szCs w:val="17"/>
          <w:color w:val="auto"/>
        </w:rPr>
        <w:t>Fannie Mae and Freddie Mac, at the direction of the Federal Housing Finance Agency,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w:t>
      </w: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3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performance expectations and define remedial actions that apply should an approved insurer fail to comply with these requirements. In August 2024, the GSEs issued updates to the PMIERs calculation of Available Assets. The updated PMIERs Available Asset requirements are subject to a phased-in implementation beginning with the quarter ending March 31, 2025, and will become fully effective on September 30, 2026. As of March 31, 2025, Essent Guaranty, our GSE-approved mortgage insurance company, was in compliance with the PMIERs.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 xml:space="preserve">Statement of Statutory Accounting Principles No. 58, </w:t>
      </w:r>
      <w:r>
        <w:rPr>
          <w:rFonts w:ascii="Times New Roman" w:cs="Times New Roman" w:eastAsia="Times New Roman" w:hAnsi="Times New Roman"/>
          <w:sz w:val="17"/>
          <w:szCs w:val="17"/>
          <w:i w:val="1"/>
          <w:iCs w:val="1"/>
          <w:color w:val="auto"/>
        </w:rPr>
        <w:t>Mortgage Guaranty Insurance,</w:t>
      </w:r>
      <w:r>
        <w:rPr>
          <w:rFonts w:ascii="Times New Roman" w:cs="Times New Roman" w:eastAsia="Times New Roman" w:hAnsi="Times New Roman"/>
          <w:sz w:val="17"/>
          <w:szCs w:val="17"/>
          <w:color w:val="auto"/>
        </w:rPr>
        <w:t xml:space="preserve"> requires mortgage insurers to establish a special contingency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 for statutory accounting purposes included in total liabilities equal to 50% of earned premium for that year. This reserve is required to be maintained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period of 120 months to protect against the effects of adverse economic cycles. After 120 months, the reserve is released to unassigned funds.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event an insurer’s loss ratio in any calendar year exceeds 35%, however, the insurer may, after regulatory approval, release from its contingency reserves 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equal to the excess portion of such losses. During the three months ended March 31, 2025, Essent Guaranty increased its contingency reserve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$39.2 million. During the three months ended March 31, 2025 and 2024, Essent Guaranty released contingency reserves of $34.9 million and $20.4 million,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to unassigned funds upon completion of the 120 month holding period.</w:t>
      </w:r>
    </w:p>
    <w:p>
      <w:pPr>
        <w:spacing w:after="0" w:line="225" w:lineRule="exact"/>
        <w:rPr>
          <w:sz w:val="20"/>
          <w:szCs w:val="20"/>
          <w:color w:val="auto"/>
        </w:rPr>
      </w:pPr>
    </w:p>
    <w:p>
      <w:pPr>
        <w:ind w:firstLine="638"/>
        <w:spacing w:after="0" w:line="253" w:lineRule="auto"/>
        <w:rPr>
          <w:sz w:val="20"/>
          <w:szCs w:val="20"/>
          <w:color w:val="auto"/>
        </w:rPr>
      </w:pPr>
      <w:r>
        <w:rPr>
          <w:rFonts w:ascii="Times New Roman" w:cs="Times New Roman" w:eastAsia="Times New Roman" w:hAnsi="Times New Roman"/>
          <w:sz w:val="18"/>
          <w:szCs w:val="18"/>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March 31, 2025, all such requirements were met.</w:t>
      </w:r>
    </w:p>
    <w:p>
      <w:pPr>
        <w:spacing w:after="0" w:line="211" w:lineRule="exact"/>
        <w:rPr>
          <w:sz w:val="20"/>
          <w:szCs w:val="20"/>
          <w:color w:val="auto"/>
        </w:rPr>
      </w:pPr>
    </w:p>
    <w:p>
      <w:pPr>
        <w:ind w:right="40" w:firstLine="638"/>
        <w:spacing w:after="0" w:line="255" w:lineRule="auto"/>
        <w:rPr>
          <w:sz w:val="20"/>
          <w:szCs w:val="20"/>
          <w:color w:val="auto"/>
        </w:rPr>
      </w:pPr>
      <w:r>
        <w:rPr>
          <w:rFonts w:ascii="Times New Roman" w:cs="Times New Roman" w:eastAsia="Times New Roman" w:hAnsi="Times New Roman"/>
          <w:sz w:val="18"/>
          <w:szCs w:val="18"/>
          <w:color w:val="auto"/>
        </w:rPr>
        <w:t>Essent Re's statutory capital and surplus was $1.8 billion as of March 31, 2025 and $1.8 billion as of December 31, 2024. Essent Re's statutory net income was $79.5 million and $82.2 million for the three months ended March 31, 2025 and 2024, respectively. Statutory capital and surplus as of March 31, 2025 and December 31, 2024 and statutory net income in the three months ended March 31, 2025 and 2024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154"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We have one reportable business segment: Mortgage Insurance. Our Mortgage Insurance segment offers private mortgage insurance and reinsurance for mortgages secured by residential properties located in the United States. We provide private mortgage insurance on residential first-lien mortgage loans (“U.S. mortgage insurance”) through our U.S. mortgage insurance subsidiary, Essent Guaranty, and also offer other credit risk management solutions, including contract underwriting, to our customers. Through our Bermuda-based reinsurance subsidiary, Essent Re, we reinsure U.S. mortgage risk primarily through the GSE credit risk transfer market (“GSE and other risk share”) and provide underwriting consulting services to third-party reinsurers. Our U.S. mortgage insurance business and GSE and other risk share business each represent operating segments that we have aggregated as one reportable segment based on their shared economic characteristics and the similarities between the two operating segments.</w:t>
      </w:r>
    </w:p>
    <w:p>
      <w:pPr>
        <w:spacing w:after="0" w:line="105" w:lineRule="exact"/>
        <w:rPr>
          <w:sz w:val="20"/>
          <w:szCs w:val="20"/>
          <w:color w:val="auto"/>
        </w:rPr>
      </w:pPr>
    </w:p>
    <w:p>
      <w:pPr>
        <w:ind w:right="360" w:firstLine="398"/>
        <w:spacing w:after="0" w:line="255" w:lineRule="auto"/>
        <w:rPr>
          <w:sz w:val="20"/>
          <w:szCs w:val="20"/>
          <w:color w:val="auto"/>
        </w:rPr>
      </w:pPr>
      <w:r>
        <w:rPr>
          <w:rFonts w:ascii="Times New Roman" w:cs="Times New Roman" w:eastAsia="Times New Roman" w:hAnsi="Times New Roman"/>
          <w:sz w:val="18"/>
          <w:szCs w:val="18"/>
          <w:color w:val="auto"/>
        </w:rPr>
        <w:t>In addition, our "Corporate &amp; Other" category is used to reconcile our reportable segment to consolidated results and includes business activities associated with our title insurance operations, income and losses from holding company treasury operations and general corporate operating expenses not attributable to our operating segments. Our title insurance operations are an operating segment that does not meet the quantitative thresholds of a separate reportable segment.</w:t>
      </w:r>
    </w:p>
    <w:p>
      <w:pPr>
        <w:spacing w:after="0" w:line="116" w:lineRule="exact"/>
        <w:rPr>
          <w:sz w:val="20"/>
          <w:szCs w:val="20"/>
          <w:color w:val="auto"/>
        </w:rPr>
      </w:pPr>
    </w:p>
    <w:p>
      <w:pPr>
        <w:jc w:val="both"/>
        <w:ind w:right="260" w:firstLine="398"/>
        <w:spacing w:after="0" w:line="260" w:lineRule="auto"/>
        <w:rPr>
          <w:sz w:val="20"/>
          <w:szCs w:val="20"/>
          <w:color w:val="auto"/>
        </w:rPr>
      </w:pPr>
      <w:r>
        <w:rPr>
          <w:rFonts w:ascii="Times New Roman" w:cs="Times New Roman" w:eastAsia="Times New Roman" w:hAnsi="Times New Roman"/>
          <w:sz w:val="18"/>
          <w:szCs w:val="18"/>
          <w:color w:val="auto"/>
        </w:rPr>
        <w:t>We allocate corporate management and support expenses to operating segments based on their percentage of total operating segment revenues, which approximates the estimated percentage of management time and resources spent on each operating segment. We view our borrowings as holding company capital and liquidity and as such, all interest expense is included in Corporate &amp; Other.</w:t>
      </w:r>
    </w:p>
    <w:p>
      <w:pPr>
        <w:spacing w:after="0" w:line="111" w:lineRule="exact"/>
        <w:rPr>
          <w:sz w:val="20"/>
          <w:szCs w:val="20"/>
          <w:color w:val="auto"/>
        </w:rPr>
      </w:pPr>
    </w:p>
    <w:p>
      <w:pPr>
        <w:ind w:firstLine="398"/>
        <w:spacing w:after="0" w:line="255" w:lineRule="auto"/>
        <w:rPr>
          <w:sz w:val="20"/>
          <w:szCs w:val="20"/>
          <w:color w:val="auto"/>
        </w:rPr>
      </w:pPr>
      <w:r>
        <w:rPr>
          <w:rFonts w:ascii="Times New Roman" w:cs="Times New Roman" w:eastAsia="Times New Roman" w:hAnsi="Times New Roman"/>
          <w:sz w:val="18"/>
          <w:szCs w:val="18"/>
          <w:color w:val="auto"/>
        </w:rPr>
        <w:t>Our senior management team, including our President &amp; Chief Executive Officer (Essent's chief operating decision maker or "CODM"), uses income (loss) before income taxes as the primary measure to evaluate the financial performance of the operating segments and to allocate resources to those segments, including capital allocations and assessing headcount. The CODM also assesses the profitability of our Mortgage Insurance segment through analysis of the loss ratio, expense ratio and combined ratio. We do not manage our segments by assets.</w:t>
      </w:r>
    </w:p>
    <w:p>
      <w:pPr>
        <w:spacing w:after="0" w:line="103" w:lineRule="exact"/>
        <w:rPr>
          <w:sz w:val="20"/>
          <w:szCs w:val="20"/>
          <w:color w:val="auto"/>
        </w:rPr>
      </w:pPr>
    </w:p>
    <w:p>
      <w:pPr>
        <w:ind w:right="300" w:firstLine="398"/>
        <w:spacing w:after="0" w:line="260" w:lineRule="auto"/>
        <w:rPr>
          <w:sz w:val="20"/>
          <w:szCs w:val="20"/>
          <w:color w:val="auto"/>
        </w:rPr>
      </w:pPr>
      <w:r>
        <w:rPr>
          <w:rFonts w:ascii="Times New Roman" w:cs="Times New Roman" w:eastAsia="Times New Roman" w:hAnsi="Times New Roman"/>
          <w:sz w:val="18"/>
          <w:szCs w:val="18"/>
          <w:color w:val="auto"/>
        </w:rPr>
        <w:t>As of March 31, 2025 and December 31, 2024, all goodwill is assigned to our Title operating segment, which is included in our Corporate &amp; Other category. Goodwill was $48.8 million at both March 31, 2025 and December 31, 2024. Goodwill decreased by $0.2 million during the three months ended March 31, 2024 as a result of measurement period adjustments.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Segment Information: Profit &amp; Loss</w:t>
      </w:r>
    </w:p>
    <w:p>
      <w:pPr>
        <w:spacing w:after="0" w:line="154" w:lineRule="exact"/>
        <w:rPr>
          <w:sz w:val="20"/>
          <w:szCs w:val="20"/>
          <w:color w:val="auto"/>
        </w:rPr>
      </w:pPr>
    </w:p>
    <w:p>
      <w:pPr>
        <w:ind w:right="80" w:firstLine="638"/>
        <w:spacing w:after="0" w:line="253" w:lineRule="auto"/>
        <w:rPr>
          <w:sz w:val="20"/>
          <w:szCs w:val="20"/>
          <w:color w:val="auto"/>
        </w:rPr>
      </w:pPr>
      <w:r>
        <w:rPr>
          <w:rFonts w:ascii="Times New Roman" w:cs="Times New Roman" w:eastAsia="Times New Roman" w:hAnsi="Times New Roman"/>
          <w:sz w:val="18"/>
          <w:szCs w:val="18"/>
          <w:color w:val="auto"/>
        </w:rPr>
        <w:t>The following table reconciles the components of reportable segment profit and loss to consolidated profit and loss for the periods presented. Within the tables, we have disclosed significant segment expenses at a level of disaggregation that coincides with what is regularly provided to the CODM. Other underwriting and operating expenses in the Mortgage Insurance segment include software, professional fees, travel, and occupancy costs. The accounting policies of our operating segments are the same as those described in the summary of significant accounting policies in our Form 10-K. We do not have inter-segment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Essent Group Ltd. and Subsidiaries</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2024</w:t>
            </w:r>
          </w:p>
        </w:tc>
        <w:tc>
          <w:tcPr>
            <w:tcW w:w="0" w:type="dxa"/>
            <w:vAlign w:val="bottom"/>
          </w:tcPr>
          <w:p>
            <w:pPr>
              <w:spacing w:after="0"/>
              <w:rPr>
                <w:sz w:val="1"/>
                <w:szCs w:val="1"/>
                <w:color w:val="auto"/>
              </w:rPr>
            </w:pPr>
          </w:p>
        </w:tc>
      </w:tr>
      <w:tr>
        <w:trPr>
          <w:trHeight w:val="155"/>
        </w:trPr>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3"/>
                <w:szCs w:val="13"/>
                <w:color w:val="auto"/>
              </w:rPr>
            </w:pPr>
          </w:p>
        </w:tc>
        <w:tc>
          <w:tcPr>
            <w:tcW w:w="1060" w:type="dxa"/>
            <w:vAlign w:val="bottom"/>
          </w:tcPr>
          <w:p>
            <w:pPr>
              <w:jc w:val="right"/>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Corporate &amp;</w:t>
            </w:r>
          </w:p>
        </w:tc>
        <w:tc>
          <w:tcPr>
            <w:tcW w:w="14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80" w:type="dxa"/>
            <w:vAlign w:val="bottom"/>
          </w:tcPr>
          <w:p>
            <w:pPr>
              <w:spacing w:after="0"/>
              <w:rPr>
                <w:sz w:val="13"/>
                <w:szCs w:val="13"/>
                <w:color w:val="auto"/>
              </w:rPr>
            </w:pPr>
          </w:p>
        </w:tc>
        <w:tc>
          <w:tcPr>
            <w:tcW w:w="1080" w:type="dxa"/>
            <w:vAlign w:val="bottom"/>
          </w:tcPr>
          <w:p>
            <w:pPr>
              <w:jc w:val="right"/>
              <w:ind w:right="220"/>
              <w:spacing w:after="0" w:line="155" w:lineRule="exact"/>
              <w:rPr>
                <w:sz w:val="20"/>
                <w:szCs w:val="20"/>
                <w:color w:val="auto"/>
              </w:rPr>
            </w:pPr>
            <w:r>
              <w:rPr>
                <w:rFonts w:ascii="Times New Roman" w:cs="Times New Roman" w:eastAsia="Times New Roman" w:hAnsi="Times New Roman"/>
                <w:sz w:val="16"/>
                <w:szCs w:val="16"/>
                <w:b w:val="1"/>
                <w:bCs w:val="1"/>
                <w:color w:val="auto"/>
              </w:rPr>
              <w:t>Mortgage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Corporate &amp;</w:t>
            </w:r>
          </w:p>
        </w:tc>
        <w:tc>
          <w:tcPr>
            <w:tcW w:w="140" w:type="dxa"/>
            <w:vAlign w:val="bottom"/>
          </w:tcPr>
          <w:p>
            <w:pPr>
              <w:spacing w:after="0"/>
              <w:rPr>
                <w:sz w:val="13"/>
                <w:szCs w:val="13"/>
                <w:color w:val="auto"/>
              </w:rPr>
            </w:pPr>
          </w:p>
        </w:tc>
        <w:tc>
          <w:tcPr>
            <w:tcW w:w="110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1"/>
        </w:trPr>
        <w:tc>
          <w:tcPr>
            <w:tcW w:w="32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premiums earned</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233,630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245,848</w:t>
            </w:r>
          </w:p>
        </w:tc>
        <w:tc>
          <w:tcPr>
            <w:tcW w:w="24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230,306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245,590</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44,201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52,085</w:t>
            </w: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Realized investment losses, net</w:t>
            </w:r>
          </w:p>
        </w:tc>
        <w:tc>
          <w:tcPr>
            <w:tcW w:w="20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other invested assets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1,900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0" w:type="dxa"/>
            <w:vAlign w:val="bottom"/>
          </w:tcPr>
          <w:p>
            <w:pPr>
              <w:spacing w:after="0"/>
              <w:rPr>
                <w:sz w:val="1"/>
                <w:szCs w:val="1"/>
                <w:color w:val="auto"/>
              </w:rPr>
            </w:pPr>
          </w:p>
        </w:tc>
      </w:tr>
      <w:tr>
        <w:trPr>
          <w:trHeight w:val="206"/>
        </w:trPr>
        <w:tc>
          <w:tcPr>
            <w:tcW w:w="3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288,869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317,558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274,748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298,357</w:t>
            </w:r>
          </w:p>
        </w:tc>
        <w:tc>
          <w:tcPr>
            <w:tcW w:w="0" w:type="dxa"/>
            <w:vAlign w:val="bottom"/>
          </w:tcPr>
          <w:p>
            <w:pPr>
              <w:spacing w:after="0"/>
              <w:rPr>
                <w:sz w:val="1"/>
                <w:szCs w:val="1"/>
                <w:color w:val="auto"/>
              </w:rPr>
            </w:pPr>
          </w:p>
        </w:tc>
      </w:tr>
      <w:tr>
        <w:trPr>
          <w:trHeight w:val="248"/>
        </w:trPr>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Losses and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(benefit) for losses and LAE</w:t>
            </w:r>
          </w:p>
        </w:tc>
        <w:tc>
          <w:tcPr>
            <w:tcW w:w="20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9,337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9,913</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18,707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34,709</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 and other taxes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0" w:type="dxa"/>
            <w:vAlign w:val="bottom"/>
          </w:tcPr>
          <w:p>
            <w:pPr>
              <w:spacing w:after="0"/>
              <w:rPr>
                <w:sz w:val="1"/>
                <w:szCs w:val="1"/>
                <w:color w:val="auto"/>
              </w:rPr>
            </w:pPr>
          </w:p>
        </w:tc>
      </w:tr>
      <w:tr>
        <w:trPr>
          <w:trHeight w:val="21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Ceding commission</w:t>
            </w:r>
          </w:p>
        </w:tc>
        <w:tc>
          <w:tcPr>
            <w:tcW w:w="20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(5,553)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underwriting and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11,637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11,465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w:t>
            </w:r>
          </w:p>
        </w:tc>
        <w:tc>
          <w:tcPr>
            <w:tcW w:w="0" w:type="dxa"/>
            <w:vAlign w:val="bottom"/>
          </w:tcPr>
          <w:p>
            <w:pPr>
              <w:spacing w:after="0"/>
              <w:rPr>
                <w:sz w:val="1"/>
                <w:szCs w:val="1"/>
                <w:color w:val="auto"/>
              </w:rPr>
            </w:pPr>
          </w:p>
        </w:tc>
      </w:tr>
      <w:tr>
        <w:trPr>
          <w:trHeight w:val="204"/>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expenses before allocations</w:t>
            </w:r>
          </w:p>
        </w:tc>
        <w:tc>
          <w:tcPr>
            <w:tcW w:w="200" w:type="dxa"/>
            <w:vAlign w:val="bottom"/>
          </w:tcPr>
          <w:p>
            <w:pPr>
              <w:spacing w:after="0"/>
              <w:rPr>
                <w:sz w:val="17"/>
                <w:szCs w:val="17"/>
                <w:color w:val="auto"/>
              </w:rPr>
            </w:pP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30,593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30,227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66,840</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Corporate expense allocations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3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expenses after allocations</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43,607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27,517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71,124</w:t>
            </w: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41,845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66,840</w:t>
            </w:r>
          </w:p>
        </w:tc>
        <w:tc>
          <w:tcPr>
            <w:tcW w:w="0" w:type="dxa"/>
            <w:vAlign w:val="bottom"/>
          </w:tcPr>
          <w:p>
            <w:pPr>
              <w:spacing w:after="0"/>
              <w:rPr>
                <w:sz w:val="1"/>
                <w:szCs w:val="1"/>
                <w:color w:val="auto"/>
              </w:rPr>
            </w:pPr>
          </w:p>
        </w:tc>
      </w:tr>
      <w:tr>
        <w:trPr>
          <w:trHeight w:val="215"/>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0" w:type="dxa"/>
            <w:vAlign w:val="bottom"/>
          </w:tcPr>
          <w:p>
            <w:pPr>
              <w:spacing w:after="0"/>
              <w:rPr>
                <w:sz w:val="1"/>
                <w:szCs w:val="1"/>
                <w:color w:val="auto"/>
              </w:rPr>
            </w:pPr>
          </w:p>
        </w:tc>
      </w:tr>
      <w:tr>
        <w:trPr>
          <w:trHeight w:val="206"/>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214,540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(7,541)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206,999</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223,566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(9,824)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213,742</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Loss ratio (1)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 ratio (2)</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Combined ratio</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ind w:left="220" w:hanging="196"/>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Loss ratio is calculated by dividing the provision (benefit) for losses and LAE by net premiums earned.</w:t>
      </w:r>
    </w:p>
    <w:p>
      <w:pPr>
        <w:spacing w:after="0" w:line="28" w:lineRule="exact"/>
        <w:rPr>
          <w:rFonts w:ascii="Times New Roman" w:cs="Times New Roman" w:eastAsia="Times New Roman" w:hAnsi="Times New Roman"/>
          <w:sz w:val="14"/>
          <w:szCs w:val="14"/>
          <w:b w:val="1"/>
          <w:bCs w:val="1"/>
          <w:color w:val="auto"/>
        </w:rPr>
      </w:pPr>
    </w:p>
    <w:p>
      <w:pPr>
        <w:ind w:left="220" w:hanging="196"/>
        <w:spacing w:after="0"/>
        <w:tabs>
          <w:tab w:leader="none" w:pos="22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 ratio is calculated by dividing operating expenses after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092315" cy="126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2315" cy="126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ind w:right="100" w:firstLine="638"/>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2024 as filed with the Securities and Exchange Commission and referred to herein as the “Annual Report,” and our condensed consolidated financial statements and related notes as of and for the three months ended March 31, 2025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ind w:right="40" w:firstLine="638"/>
        <w:spacing w:after="0" w:line="260" w:lineRule="auto"/>
        <w:rPr>
          <w:sz w:val="20"/>
          <w:szCs w:val="20"/>
          <w:color w:val="auto"/>
        </w:rPr>
      </w:pPr>
      <w:r>
        <w:rPr>
          <w:rFonts w:ascii="Times New Roman" w:cs="Times New Roman" w:eastAsia="Times New Roman" w:hAnsi="Times New Roman"/>
          <w:sz w:val="18"/>
          <w:szCs w:val="18"/>
          <w:color w:val="auto"/>
        </w:rPr>
        <w:t>Essent Group Ltd. (collectively with its subsidiaries, “Essent”) serves the housing finance industry by offering private mortgage insurance and reinsurance, title insurance and settlement services to mortgage lenders, borrowers and investors to support homeownership. We have one reportable segment: Mortgage Insurance.</w:t>
      </w:r>
    </w:p>
    <w:p>
      <w:pPr>
        <w:spacing w:after="0" w:line="191" w:lineRule="exact"/>
        <w:rPr>
          <w:sz w:val="20"/>
          <w:szCs w:val="20"/>
          <w:color w:val="auto"/>
        </w:rPr>
      </w:pPr>
    </w:p>
    <w:p>
      <w:pPr>
        <w:ind w:right="80" w:firstLine="638"/>
        <w:spacing w:after="0" w:line="238" w:lineRule="auto"/>
        <w:rPr>
          <w:sz w:val="20"/>
          <w:szCs w:val="20"/>
          <w:color w:val="auto"/>
        </w:rPr>
      </w:pPr>
      <w:r>
        <w:rPr>
          <w:rFonts w:ascii="Times New Roman" w:cs="Times New Roman" w:eastAsia="Times New Roman" w:hAnsi="Times New Roman"/>
          <w:sz w:val="18"/>
          <w:szCs w:val="18"/>
          <w:color w:val="auto"/>
        </w:rPr>
        <w:t>Essent Guaranty, Inc., our wholly-owned mortgage insurance subsidiary which we refer to as "Essent Guaranty," is approved by Fannie Mae and Freddie Mac and licensed to write coverage in all 50 states and the District of Columbia. Our mortgage insurance operations generated new insurance written ("NIW") of approximately $9.9 billion and $8.3 billion for the three months ended March 31, 2025 and 2024, respectively. The financial strength ratings of Essent Guaranty are A3 with a positive outlook by Moody’s Investors Service (“Moody's”), A- with a stable outlook by S&amp;P Global Ratings (“S&amp;P”) and A (Excellent) with a stable outlook by A.M. Best Ratings Services, Inc. ("AM Best").</w:t>
      </w:r>
    </w:p>
    <w:p>
      <w:pPr>
        <w:spacing w:after="0" w:line="116" w:lineRule="exact"/>
        <w:rPr>
          <w:sz w:val="20"/>
          <w:szCs w:val="20"/>
          <w:color w:val="auto"/>
        </w:rPr>
      </w:pPr>
    </w:p>
    <w:p>
      <w:pPr>
        <w:ind w:right="20" w:firstLine="398"/>
        <w:spacing w:after="0" w:line="253" w:lineRule="auto"/>
        <w:rPr>
          <w:sz w:val="20"/>
          <w:szCs w:val="20"/>
          <w:color w:val="auto"/>
        </w:rPr>
      </w:pPr>
      <w:r>
        <w:rPr>
          <w:rFonts w:ascii="Times New Roman" w:cs="Times New Roman" w:eastAsia="Times New Roman" w:hAnsi="Times New Roman"/>
          <w:sz w:val="18"/>
          <w:szCs w:val="18"/>
          <w:color w:val="auto"/>
        </w:rPr>
        <w:t>Through our wholly-owned Bermuda-based subsidiary, Essent Reinsurance Ltd., which we refer to as "Essent Re", we reinsure U.S. mortgage risk in the GSE credit risk transfer market and provide underwriting consulting services to third-party reinsurers. As of March 31, 2025, Essent Re provided insurance or reinsurance relating to GSE risk share and other reinsurance transactions covering approximately $2.2 billion of risk. Essent Re also reinsures Essent Guaranty’s NIW under a quota share reinsurance agreement. The insurer financial strength ratings of Essent Re are A- with a stable outlook by S&amp;P and A (Excellent) with a stable outlook by AM Best.</w:t>
      </w:r>
    </w:p>
    <w:p>
      <w:pPr>
        <w:spacing w:after="0" w:line="118" w:lineRule="exact"/>
        <w:rPr>
          <w:sz w:val="20"/>
          <w:szCs w:val="20"/>
          <w:color w:val="auto"/>
        </w:rPr>
      </w:pPr>
    </w:p>
    <w:p>
      <w:pPr>
        <w:ind w:right="40" w:firstLine="398"/>
        <w:spacing w:after="0" w:line="255" w:lineRule="auto"/>
        <w:rPr>
          <w:sz w:val="20"/>
          <w:szCs w:val="20"/>
          <w:color w:val="auto"/>
        </w:rPr>
      </w:pPr>
      <w:r>
        <w:rPr>
          <w:rFonts w:ascii="Times New Roman" w:cs="Times New Roman" w:eastAsia="Times New Roman" w:hAnsi="Times New Roman"/>
          <w:sz w:val="18"/>
          <w:szCs w:val="18"/>
          <w:color w:val="auto"/>
        </w:rPr>
        <w:t>We also offer title insurance products both directly and through a network of title insurance agents, as well as title and settlement services. This operating segment was established upon our acquisitions of Agents National Title Insurance Company (renamed Essent Title Insurance, Inc. effective January 1, 2025), a title insurance underwriter, and Boston National Title, a national title agency, which was effective July 1, 2023. Title insurance operations are included in the Corporate &amp; Other category.</w:t>
      </w:r>
    </w:p>
    <w:p>
      <w:pPr>
        <w:spacing w:after="0" w:line="116" w:lineRule="exact"/>
        <w:rPr>
          <w:sz w:val="20"/>
          <w:szCs w:val="20"/>
          <w:color w:val="auto"/>
        </w:rPr>
      </w:pPr>
    </w:p>
    <w:p>
      <w:pPr>
        <w:ind w:right="700" w:firstLine="638"/>
        <w:spacing w:after="0" w:line="275" w:lineRule="auto"/>
        <w:rPr>
          <w:sz w:val="20"/>
          <w:szCs w:val="20"/>
          <w:color w:val="auto"/>
        </w:rPr>
      </w:pPr>
      <w:r>
        <w:rPr>
          <w:rFonts w:ascii="Times New Roman" w:cs="Times New Roman" w:eastAsia="Times New Roman" w:hAnsi="Times New Roman"/>
          <w:sz w:val="18"/>
          <w:szCs w:val="18"/>
          <w:color w:val="auto"/>
        </w:rPr>
        <w:t>We have a highly experienced, talented team with 555 employees as of March 31, 2025. Our holding company and reinsurance business are domiciled in Bermuda. Our U.S. mortgage insurance and title insurance operations are headquartered in Radnor, Pennsylvania.</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w:t>
      </w:r>
    </w:p>
    <w:p>
      <w:pPr>
        <w:spacing w:after="0" w:line="156" w:lineRule="exact"/>
        <w:rPr>
          <w:sz w:val="20"/>
          <w:szCs w:val="20"/>
          <w:color w:val="auto"/>
        </w:rPr>
      </w:pPr>
    </w:p>
    <w:p>
      <w:pPr>
        <w:ind w:right="160" w:firstLine="398"/>
        <w:spacing w:after="0" w:line="253"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progress on inflation, the Federal Reserve has reduced the target federal funds rate by 100 basis points since September 2024. Mortgage interest rates, however, remain elevated, which has reduced home buying and mortgage refinance activity resulting in lower volumes of mortgage originations, NIW and title insurance and settlement service transactions. Higher interest rates have also resulted in increases in our net investment income generated by our investment portfolio and the persistency of our mortgage insurance in force.</w:t>
      </w:r>
    </w:p>
    <w:p>
      <w:pPr>
        <w:spacing w:after="0" w:line="118" w:lineRule="exact"/>
        <w:rPr>
          <w:sz w:val="20"/>
          <w:szCs w:val="20"/>
          <w:color w:val="auto"/>
        </w:rPr>
      </w:pPr>
    </w:p>
    <w:p>
      <w:pPr>
        <w:ind w:firstLine="398"/>
        <w:spacing w:after="0" w:line="25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Based on prior industry experience, we expect the ultimate number of hurricane-related defaults that result in claims will be less than the default-to-claim experience of non-hurricane-related defaults. The impact on our reserves in future periods will be dependent upon the performance of the hurricane-related defaults and our expectations for the amount of ultimate losses on these delinquencies.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180" w:firstLine="398"/>
        <w:spacing w:after="0" w:line="260"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March 31, 2025, our insurance in force in areas with Federal Emergency Management Agency (FEMA) disaster declarations due to these wildfires was less than 0.1% of our total insurance in force. These wildfires are not expected to have a material impact our reserves.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0"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U.S. Tax Reform</w:t>
      </w:r>
    </w:p>
    <w:p>
      <w:pPr>
        <w:spacing w:after="0" w:line="249" w:lineRule="exact"/>
        <w:rPr>
          <w:sz w:val="20"/>
          <w:szCs w:val="20"/>
          <w:color w:val="auto"/>
        </w:rPr>
      </w:pPr>
    </w:p>
    <w:p>
      <w:pPr>
        <w:ind w:right="20" w:firstLine="638"/>
        <w:spacing w:after="0" w:line="255"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Bermuda Corporate Income Tax</w:t>
      </w:r>
    </w:p>
    <w:p>
      <w:pPr>
        <w:spacing w:after="0" w:line="156" w:lineRule="exact"/>
        <w:rPr>
          <w:sz w:val="20"/>
          <w:szCs w:val="20"/>
          <w:color w:val="auto"/>
        </w:rPr>
      </w:pPr>
    </w:p>
    <w:p>
      <w:pPr>
        <w:ind w:firstLine="638"/>
        <w:spacing w:after="0" w:line="260" w:lineRule="auto"/>
        <w:rPr>
          <w:sz w:val="20"/>
          <w:szCs w:val="20"/>
          <w:color w:val="auto"/>
        </w:rPr>
      </w:pPr>
      <w:r>
        <w:rPr>
          <w:rFonts w:ascii="Times New Roman" w:cs="Times New Roman" w:eastAsia="Times New Roman" w:hAnsi="Times New Roman"/>
          <w:sz w:val="18"/>
          <w:szCs w:val="18"/>
          <w:color w:val="auto"/>
        </w:rPr>
        <w:t>On December 27, 2023, the Government of Bermuda enacted the Corporate Income Tax Act 2023 (CIT). Starting January 1, 2025, the CIT will result in a new 15% corporate income tax on in-scope entities that are resident in Bermuda or that have a Bermuda permanent establishment, without regard to any assurances that had previously been given pursuant to the Exempted Undertakings Tax Protection Act 1966.</w:t>
      </w:r>
    </w:p>
    <w:p>
      <w:pPr>
        <w:spacing w:after="0" w:line="111" w:lineRule="exact"/>
        <w:rPr>
          <w:sz w:val="20"/>
          <w:szCs w:val="20"/>
          <w:color w:val="auto"/>
        </w:rPr>
      </w:pPr>
    </w:p>
    <w:p>
      <w:pPr>
        <w:ind w:right="160" w:firstLine="638"/>
        <w:spacing w:after="0" w:line="252" w:lineRule="auto"/>
        <w:rPr>
          <w:sz w:val="20"/>
          <w:szCs w:val="20"/>
          <w:color w:val="auto"/>
        </w:rPr>
      </w:pPr>
      <w:r>
        <w:rPr>
          <w:rFonts w:ascii="Times New Roman" w:cs="Times New Roman" w:eastAsia="Times New Roman" w:hAnsi="Times New Roman"/>
          <w:sz w:val="18"/>
          <w:szCs w:val="18"/>
          <w:color w:val="auto"/>
        </w:rPr>
        <w:t>The CIT also includes various transitional provisions and elections that we are in the process of evaluating. In particular, we believe that, based on their current structure and operations, our Bermuda companies will be eligible to elect a five-year “limited international presence” exemption under the CIT. We intend to make this election within the timeframe required under Bermuda law, and therefore do not expect the CIT to have a material impact upon our effective tax rate until we no longer meet the exemption criteria, or January 1, 2030, the fifth anniversary of the inception date of the tax, whichever may occur sooner. The exemption criteria are subject to interpretation of existing Bermuda law, as well as any related new regulations that may be issued by the Government of Bermuda. No assurances can be made that we will continue meeting such criteria for the entire five-year period.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2" w:lineRule="exact"/>
        <w:rPr>
          <w:sz w:val="20"/>
          <w:szCs w:val="20"/>
          <w:color w:val="auto"/>
        </w:rPr>
      </w:pPr>
    </w:p>
    <w:p>
      <w:pPr>
        <w:ind w:right="20" w:firstLine="638"/>
        <w:spacing w:after="0" w:line="253" w:lineRule="auto"/>
        <w:rPr>
          <w:sz w:val="20"/>
          <w:szCs w:val="20"/>
          <w:color w:val="auto"/>
        </w:rPr>
      </w:pPr>
      <w:r>
        <w:rPr>
          <w:rFonts w:ascii="Times New Roman" w:cs="Times New Roman" w:eastAsia="Times New Roman" w:hAnsi="Times New Roman"/>
          <w:sz w:val="18"/>
          <w:szCs w:val="18"/>
          <w:color w:val="auto"/>
        </w:rPr>
        <w:t>Premiums associated with our U.S. mortgage insurance business are based on mortgage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84" w:lineRule="exact"/>
        <w:rPr>
          <w:sz w:val="20"/>
          <w:szCs w:val="20"/>
          <w:color w:val="auto"/>
        </w:rPr>
      </w:pPr>
    </w:p>
    <w:p>
      <w:pPr>
        <w:ind w:left="640" w:right="320" w:hanging="315"/>
        <w:spacing w:after="0" w:line="26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NIW, which is the aggregate principal amount of the new mortgages that are insured during a period. Many factors affect NIW, including, among others, the volume of low down payment home mortgage originations, the competition to provide credit enhancement on those mortgages, the number of customers who have approved us to provide mortgage insurance and changes in our NIW from certain customers;</w:t>
      </w:r>
    </w:p>
    <w:p>
      <w:pPr>
        <w:spacing w:after="0" w:line="177" w:lineRule="exact"/>
        <w:rPr>
          <w:rFonts w:ascii="Times New Roman" w:cs="Times New Roman" w:eastAsia="Times New Roman" w:hAnsi="Times New Roman"/>
          <w:sz w:val="18"/>
          <w:szCs w:val="18"/>
          <w:color w:val="auto"/>
        </w:rPr>
      </w:pPr>
    </w:p>
    <w:p>
      <w:pPr>
        <w:ind w:left="640" w:right="180" w:hanging="315"/>
        <w:spacing w:after="0" w:line="27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63" w:lineRule="exact"/>
        <w:rPr>
          <w:rFonts w:ascii="Times New Roman" w:cs="Times New Roman" w:eastAsia="Times New Roman" w:hAnsi="Times New Roman"/>
          <w:sz w:val="18"/>
          <w:szCs w:val="18"/>
          <w:color w:val="auto"/>
        </w:rPr>
      </w:pPr>
    </w:p>
    <w:p>
      <w:pPr>
        <w:ind w:left="640" w:right="400" w:hanging="315"/>
        <w:spacing w:after="0" w:line="275"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ceded or assumed under reinsurance arrangements. See Note 4 to our condensed consolidated financial statements.</w:t>
      </w:r>
    </w:p>
    <w:p>
      <w:pPr>
        <w:spacing w:after="0" w:line="218" w:lineRule="exact"/>
        <w:rPr>
          <w:sz w:val="20"/>
          <w:szCs w:val="20"/>
          <w:color w:val="auto"/>
        </w:rPr>
      </w:pPr>
    </w:p>
    <w:p>
      <w:pPr>
        <w:ind w:firstLine="638"/>
        <w:spacing w:after="0" w:line="249" w:lineRule="auto"/>
        <w:rPr>
          <w:sz w:val="20"/>
          <w:szCs w:val="20"/>
          <w:color w:val="auto"/>
        </w:rPr>
      </w:pPr>
      <w:r>
        <w:rPr>
          <w:rFonts w:ascii="Times New Roman" w:cs="Times New Roman" w:eastAsia="Times New Roman" w:hAnsi="Times New Roman"/>
          <w:sz w:val="18"/>
          <w:szCs w:val="18"/>
          <w:color w:val="auto"/>
        </w:rPr>
        <w:t>Mortgage insurance 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March 31, 2025 were non-refundable. Premiums collected on annual policies are recognized as net premiums earned on a straight-line basis over the year of coverage. For the three months ended March 31, 2025 and 2024, monthly premium policies comprised 99% and 98% of our NIW, respectively.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Premiums associated with our GSE and other risk share transactions are based on the level of risk in force and premium rates on the transactions.</w:t>
      </w:r>
    </w:p>
    <w:p>
      <w:pPr>
        <w:spacing w:after="0" w:line="245" w:lineRule="exact"/>
        <w:rPr>
          <w:sz w:val="20"/>
          <w:szCs w:val="20"/>
          <w:color w:val="auto"/>
        </w:rPr>
      </w:pPr>
    </w:p>
    <w:p>
      <w:pPr>
        <w:ind w:right="280" w:firstLine="638"/>
        <w:spacing w:after="0" w:line="275" w:lineRule="auto"/>
        <w:rPr>
          <w:sz w:val="20"/>
          <w:szCs w:val="20"/>
          <w:color w:val="auto"/>
        </w:rPr>
      </w:pPr>
      <w:r>
        <w:rPr>
          <w:rFonts w:ascii="Times New Roman" w:cs="Times New Roman" w:eastAsia="Times New Roman" w:hAnsi="Times New Roman"/>
          <w:sz w:val="18"/>
          <w:szCs w:val="18"/>
          <w:color w:val="auto"/>
        </w:rPr>
        <w:t>Title insurance premiums are based on the number of title insurance policies issued and generally recognized as income at the transaction closing date which approximates the policy effective date.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Persistency and Business Mix</w:t>
      </w:r>
    </w:p>
    <w:p>
      <w:pPr>
        <w:spacing w:after="0" w:line="222" w:lineRule="exact"/>
        <w:rPr>
          <w:sz w:val="20"/>
          <w:szCs w:val="20"/>
          <w:color w:val="auto"/>
        </w:rPr>
      </w:pPr>
    </w:p>
    <w:p>
      <w:pPr>
        <w:jc w:val="both"/>
        <w:ind w:right="120" w:firstLine="638"/>
        <w:spacing w:after="0" w:line="260" w:lineRule="auto"/>
        <w:rPr>
          <w:sz w:val="20"/>
          <w:szCs w:val="20"/>
          <w:color w:val="auto"/>
        </w:rPr>
      </w:pPr>
      <w:r>
        <w:rPr>
          <w:rFonts w:ascii="Times New Roman" w:cs="Times New Roman" w:eastAsia="Times New Roman" w:hAnsi="Times New Roman"/>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85.7% at March 31, 2025. Generally, higher prepayment speeds lead to lower persistency.</w:t>
      </w:r>
    </w:p>
    <w:p>
      <w:pPr>
        <w:spacing w:after="0" w:line="204" w:lineRule="exact"/>
        <w:rPr>
          <w:sz w:val="20"/>
          <w:szCs w:val="20"/>
          <w:color w:val="auto"/>
        </w:rPr>
      </w:pPr>
    </w:p>
    <w:p>
      <w:pPr>
        <w:ind w:right="120" w:firstLine="682"/>
        <w:spacing w:after="0" w:line="252" w:lineRule="auto"/>
        <w:rPr>
          <w:sz w:val="20"/>
          <w:szCs w:val="20"/>
          <w:color w:val="auto"/>
        </w:rPr>
      </w:pPr>
      <w:r>
        <w:rPr>
          <w:rFonts w:ascii="Times New Roman" w:cs="Times New Roman" w:eastAsia="Times New Roman" w:hAnsi="Times New Roman"/>
          <w:sz w:val="18"/>
          <w:szCs w:val="18"/>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2" w:lineRule="exact"/>
        <w:rPr>
          <w:sz w:val="20"/>
          <w:szCs w:val="20"/>
          <w:color w:val="auto"/>
        </w:rPr>
      </w:pPr>
    </w:p>
    <w:p>
      <w:pPr>
        <w:ind w:right="80" w:firstLine="638"/>
        <w:spacing w:after="0" w:line="251" w:lineRule="auto"/>
        <w:rPr>
          <w:sz w:val="20"/>
          <w:szCs w:val="20"/>
          <w:color w:val="auto"/>
        </w:rPr>
      </w:pPr>
      <w:r>
        <w:rPr>
          <w:rFonts w:ascii="Times New Roman" w:cs="Times New Roman" w:eastAsia="Times New Roman" w:hAnsi="Times New Roman"/>
          <w:sz w:val="18"/>
          <w:szCs w:val="18"/>
          <w:color w:val="auto"/>
        </w:rPr>
        <w:t>Our investment portfolio was predominantly comprised of investment-grade fixed income securities and money market funds as of March 31, 2025.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from Other Invested Assets</w:t>
      </w:r>
    </w:p>
    <w:p>
      <w:pPr>
        <w:spacing w:after="0" w:line="249" w:lineRule="exact"/>
        <w:rPr>
          <w:sz w:val="20"/>
          <w:szCs w:val="20"/>
          <w:color w:val="auto"/>
        </w:rPr>
      </w:pPr>
    </w:p>
    <w:p>
      <w:pPr>
        <w:ind w:right="240" w:firstLine="638"/>
        <w:spacing w:after="0" w:line="252" w:lineRule="auto"/>
        <w:rPr>
          <w:sz w:val="20"/>
          <w:szCs w:val="20"/>
          <w:color w:val="auto"/>
        </w:rPr>
      </w:pPr>
      <w:r>
        <w:rPr>
          <w:rFonts w:ascii="Times New Roman" w:cs="Times New Roman" w:eastAsia="Times New Roman" w:hAnsi="Times New Roman"/>
          <w:sz w:val="18"/>
          <w:szCs w:val="18"/>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2" w:lineRule="exact"/>
        <w:rPr>
          <w:sz w:val="20"/>
          <w:szCs w:val="20"/>
          <w:color w:val="auto"/>
        </w:rPr>
      </w:pPr>
    </w:p>
    <w:p>
      <w:pPr>
        <w:ind w:right="40" w:firstLine="638"/>
        <w:spacing w:after="0" w:line="253" w:lineRule="auto"/>
        <w:rPr>
          <w:sz w:val="20"/>
          <w:szCs w:val="20"/>
          <w:color w:val="auto"/>
        </w:rPr>
      </w:pPr>
      <w:r>
        <w:rPr>
          <w:rFonts w:ascii="Times New Roman" w:cs="Times New Roman" w:eastAsia="Times New Roman" w:hAnsi="Times New Roman"/>
          <w:sz w:val="18"/>
          <w:szCs w:val="18"/>
          <w:color w:val="auto"/>
        </w:rPr>
        <w:t>Other income includes revenues associated with underwriting consulting services to third-party reinsurers, title settlement services and contract underwriting services. The level of these revenues are dependent upon the number of customers who have engaged us for these services. Revenue from underwriting consulting services to third-party reinsurers is also dependent upon the level of premiums associated with the transactions underwritten for these customers. Revenue from title settlement services and contract underwriting revenue are also dependent upon the number of loans underwritten for these customers.</w:t>
      </w:r>
    </w:p>
    <w:p>
      <w:pPr>
        <w:spacing w:after="0" w:line="211"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2023, Triad entered into a three year renewal and extended the services agreement through November 2026.</w:t>
      </w:r>
    </w:p>
    <w:p>
      <w:pPr>
        <w:spacing w:after="0" w:line="183" w:lineRule="exact"/>
        <w:rPr>
          <w:sz w:val="20"/>
          <w:szCs w:val="20"/>
          <w:color w:val="auto"/>
        </w:rPr>
      </w:pPr>
    </w:p>
    <w:p>
      <w:pPr>
        <w:ind w:right="180" w:firstLine="167"/>
        <w:spacing w:after="0" w:line="260"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2" w:lineRule="exact"/>
        <w:rPr>
          <w:sz w:val="20"/>
          <w:szCs w:val="20"/>
          <w:color w:val="auto"/>
        </w:rPr>
      </w:pPr>
    </w:p>
    <w:p>
      <w:pPr>
        <w:ind w:right="340" w:firstLine="638"/>
        <w:spacing w:after="0" w:line="275" w:lineRule="auto"/>
        <w:rPr>
          <w:sz w:val="20"/>
          <w:szCs w:val="20"/>
          <w:color w:val="auto"/>
        </w:rPr>
      </w:pPr>
      <w:r>
        <w:rPr>
          <w:rFonts w:ascii="Times New Roman" w:cs="Times New Roman" w:eastAsia="Times New Roman" w:hAnsi="Times New Roman"/>
          <w:sz w:val="18"/>
          <w:szCs w:val="18"/>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Losses incurred are generally affected by:</w:t>
      </w:r>
    </w:p>
    <w:p>
      <w:pPr>
        <w:spacing w:after="0" w:line="218" w:lineRule="exact"/>
        <w:rPr>
          <w:sz w:val="20"/>
          <w:szCs w:val="20"/>
          <w:color w:val="auto"/>
        </w:rPr>
      </w:pPr>
    </w:p>
    <w:p>
      <w:pPr>
        <w:ind w:left="640" w:right="380" w:hanging="315"/>
        <w:spacing w:after="0" w:line="27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state of the economy, which broadly affects the likelihood that borrowers may default on their loans and have the ability to cure such defaults;</w:t>
      </w:r>
    </w:p>
    <w:p>
      <w:pPr>
        <w:spacing w:after="0" w:line="163" w:lineRule="exact"/>
        <w:rPr>
          <w:rFonts w:ascii="Times New Roman" w:cs="Times New Roman" w:eastAsia="Times New Roman" w:hAnsi="Times New Roman"/>
          <w:sz w:val="18"/>
          <w:szCs w:val="18"/>
          <w:color w:val="auto"/>
        </w:rPr>
      </w:pPr>
    </w:p>
    <w:p>
      <w:pPr>
        <w:ind w:left="640" w:right="400" w:hanging="315"/>
        <w:spacing w:after="0" w:line="305" w:lineRule="auto"/>
        <w:tabs>
          <w:tab w:leader="none" w:pos="6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67" w:lineRule="exact"/>
        <w:rPr>
          <w:rFonts w:ascii="Times New Roman" w:cs="Times New Roman" w:eastAsia="Times New Roman" w:hAnsi="Times New Roman"/>
          <w:sz w:val="17"/>
          <w:szCs w:val="17"/>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mix of IIF, with loans having higher risk characteristics generally resulting in higher defaults and claims;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loans insured, with higher average loan amounts tending to increase losses incurred;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loan-to-value ratio, with higher average loan-to-value ratios tending to increase losses incurred;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coverage on insured loans, with deeper average coverage tending to increase losses incurred;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quality of borrowers, including higher debt-to-income ratios and lower FICO scores, which tend to increase incurred losses;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amount of reinsurance coverage maintained with third parties;</w:t>
      </w:r>
    </w:p>
    <w:p>
      <w:pPr>
        <w:spacing w:after="0" w:line="244" w:lineRule="exact"/>
        <w:rPr>
          <w:rFonts w:ascii="Times New Roman" w:cs="Times New Roman" w:eastAsia="Times New Roman" w:hAnsi="Times New Roman"/>
          <w:sz w:val="18"/>
          <w:szCs w:val="18"/>
          <w:color w:val="auto"/>
        </w:rPr>
      </w:pPr>
    </w:p>
    <w:p>
      <w:pPr>
        <w:ind w:left="640" w:right="80" w:hanging="315"/>
        <w:spacing w:after="0" w:line="260"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203" w:lineRule="exact"/>
        <w:rPr>
          <w:rFonts w:ascii="Times New Roman" w:cs="Times New Roman" w:eastAsia="Times New Roman" w:hAnsi="Times New Roman"/>
          <w:sz w:val="18"/>
          <w:szCs w:val="18"/>
          <w:color w:val="auto"/>
        </w:rPr>
      </w:pPr>
    </w:p>
    <w:p>
      <w:pPr>
        <w:ind w:left="640" w:hanging="315"/>
        <w:spacing w:after="0" w:line="255"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claims over the life of a book. As of March 31, 2025, 38% of our IIF relates to business written since January 1, 2023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80" w:firstLine="638"/>
        <w:spacing w:after="0" w:line="252" w:lineRule="auto"/>
        <w:rPr>
          <w:sz w:val="20"/>
          <w:szCs w:val="20"/>
          <w:color w:val="auto"/>
        </w:rPr>
      </w:pPr>
      <w:r>
        <w:rPr>
          <w:rFonts w:ascii="Times New Roman" w:cs="Times New Roman" w:eastAsia="Times New Roman" w:hAnsi="Times New Roman"/>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83" w:lineRule="exact"/>
        <w:rPr>
          <w:sz w:val="20"/>
          <w:szCs w:val="20"/>
          <w:color w:val="auto"/>
        </w:rPr>
      </w:pPr>
    </w:p>
    <w:p>
      <w:pPr>
        <w:ind w:right="40" w:firstLine="638"/>
        <w:spacing w:after="0" w:line="257" w:lineRule="auto"/>
        <w:rPr>
          <w:sz w:val="20"/>
          <w:szCs w:val="20"/>
          <w:color w:val="auto"/>
        </w:rPr>
      </w:pPr>
      <w:r>
        <w:rPr>
          <w:rFonts w:ascii="Times New Roman" w:cs="Times New Roman" w:eastAsia="Times New Roman" w:hAnsi="Times New Roman"/>
          <w:sz w:val="17"/>
          <w:szCs w:val="17"/>
          <w:color w:val="auto"/>
        </w:rPr>
        <w:t>Based upon our experience and industry data, claims incidence for mortgage insurance is generally highest in the third through sixth years after loan origination. As of March 31, 2025, 38% of our IIF relates to business written since January 1, 2023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89" w:lineRule="exact"/>
        <w:rPr>
          <w:sz w:val="20"/>
          <w:szCs w:val="20"/>
          <w:color w:val="auto"/>
        </w:rPr>
      </w:pPr>
    </w:p>
    <w:p>
      <w:pPr>
        <w:ind w:right="20" w:firstLine="398"/>
        <w:spacing w:after="0" w:line="238" w:lineRule="auto"/>
        <w:rPr>
          <w:sz w:val="20"/>
          <w:szCs w:val="20"/>
          <w:color w:val="auto"/>
        </w:rPr>
      </w:pPr>
      <w:r>
        <w:rPr>
          <w:rFonts w:ascii="Times New Roman" w:cs="Times New Roman" w:eastAsia="Times New Roman" w:hAnsi="Times New Roman"/>
          <w:sz w:val="18"/>
          <w:szCs w:val="18"/>
          <w:color w:val="auto"/>
        </w:rPr>
        <w:t>The Federal Reserve increased the target federal funds rate several times during 2022 and 2023 in an effort to reduce consumer price inflation. As a result of subsequent reductions in inflation rates, the Federal Reserve has reduced the target federal funds rate by 100 basis points since September 2024. Mortgage interest rates, however, have remained elevated,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103" w:lineRule="exact"/>
        <w:rPr>
          <w:sz w:val="20"/>
          <w:szCs w:val="20"/>
          <w:color w:val="auto"/>
        </w:rPr>
      </w:pPr>
    </w:p>
    <w:p>
      <w:pPr>
        <w:ind w:right="20" w:firstLine="398"/>
        <w:spacing w:after="0" w:line="233" w:lineRule="auto"/>
        <w:rPr>
          <w:sz w:val="20"/>
          <w:szCs w:val="20"/>
          <w:color w:val="auto"/>
        </w:rPr>
      </w:pPr>
      <w:r>
        <w:rPr>
          <w:rFonts w:ascii="Times New Roman" w:cs="Times New Roman" w:eastAsia="Times New Roman" w:hAnsi="Times New Roman"/>
          <w:sz w:val="18"/>
          <w:szCs w:val="18"/>
          <w:color w:val="auto"/>
        </w:rPr>
        <w:t>On September 26, 2024, Hurricane Helene made landfall and caused property damage in certain counties in Florida, Georgia, South Carolina, North Carolina, Tennessee and Virginia. On October 9, 2024, Hurricane Milton made landfall, causing damage in certain counties in Florida. Loans in default at December 31, 2024 included 2,119 defaults that we identified as hurricane-related defaults. Based on prior industry experience, we expect the ultimate number of hurricane-related defaults that result in claims will be less than the default-to-claim experience of non-hurricane-related defaults. In addition, under our master policy, our exposure may be limited on hurricane-related claims. For example, we are permitted to exclude a claim entirely where damage to the property underlying a mortgage was the proximate cause of the default and adjust a claim where the property underlying a mortgage in default is subject to unrestored physical damage. Accordingly, when establishing our loss reserves as of December 31, 2024, we applied a lower estimated claim rate to new default notices received in the fourth quarter of 2024 from the affected areas than the claim rate we apply to other notices in our default inventory. The impact on our reserves in future periods will be dependent upon the performance of the hurricane-related defaults and our expectations for the amount of ultimate losses on these delinquencies. As of March 31, 2025, the reserves established for the Hurricane Milton and Helene defaults are materially unchanged from December 31, 2024.</w:t>
      </w:r>
    </w:p>
    <w:p>
      <w:pPr>
        <w:spacing w:after="0" w:line="127" w:lineRule="exact"/>
        <w:rPr>
          <w:sz w:val="20"/>
          <w:szCs w:val="20"/>
          <w:color w:val="auto"/>
        </w:rPr>
      </w:pPr>
    </w:p>
    <w:p>
      <w:pPr>
        <w:ind w:right="20" w:firstLine="398"/>
        <w:spacing w:after="0" w:line="260" w:lineRule="auto"/>
        <w:rPr>
          <w:sz w:val="20"/>
          <w:szCs w:val="20"/>
          <w:color w:val="auto"/>
        </w:rPr>
      </w:pPr>
      <w:r>
        <w:rPr>
          <w:rFonts w:ascii="Times New Roman" w:cs="Times New Roman" w:eastAsia="Times New Roman" w:hAnsi="Times New Roman"/>
          <w:sz w:val="18"/>
          <w:szCs w:val="18"/>
          <w:color w:val="auto"/>
        </w:rPr>
        <w:t>In January 2025, several wildfires caused property damage in Southern California. As of March 31, 2025, our insurance in force in areas with Federal Emergency Management Agency ("FEMA") disaster declarations due to these wildfires was less than 0.1% of our total insurance in force. These wildfires are not expected to have a material impact on our reserves.</w:t>
      </w:r>
    </w:p>
    <w:p>
      <w:pPr>
        <w:spacing w:after="0" w:line="111" w:lineRule="exact"/>
        <w:rPr>
          <w:sz w:val="20"/>
          <w:szCs w:val="20"/>
          <w:color w:val="auto"/>
        </w:rPr>
      </w:pPr>
    </w:p>
    <w:p>
      <w:pPr>
        <w:ind w:firstLine="438"/>
        <w:spacing w:after="0" w:line="253" w:lineRule="auto"/>
        <w:rPr>
          <w:sz w:val="20"/>
          <w:szCs w:val="20"/>
          <w:color w:val="auto"/>
        </w:rPr>
      </w:pPr>
      <w:r>
        <w:rPr>
          <w:rFonts w:ascii="Times New Roman" w:cs="Times New Roman" w:eastAsia="Times New Roman" w:hAnsi="Times New Roman"/>
          <w:sz w:val="18"/>
          <w:szCs w:val="18"/>
          <w:color w:val="auto"/>
        </w:rPr>
        <w:t>As more fully described in Note 4 to our condensed consolidated financial statements, at March 31, 2025, we had approximately $1.5 billion of excess of loss reinsurance covering NIW from January 1, 2018 through August 31, 2019 and August 1, 2020 through December 31, 2024 and quota share reinsurance on portions of our NIW effective September 1, 2019 through December 31, 2020 and January 1, 2022 through December 31, 2024. The impact on our reserves in future periods will be dependent upon the amount of delinquent notices received from loan servicers, the performance of defaults and our expectations for the amount of ultimate losses on these delinquencies.</w:t>
      </w:r>
    </w:p>
    <w:p>
      <w:pPr>
        <w:spacing w:after="0" w:line="1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Title Insurance</w:t>
      </w:r>
    </w:p>
    <w:p>
      <w:pPr>
        <w:spacing w:after="0" w:line="154" w:lineRule="exact"/>
        <w:rPr>
          <w:sz w:val="20"/>
          <w:szCs w:val="20"/>
          <w:color w:val="auto"/>
        </w:rPr>
      </w:pPr>
    </w:p>
    <w:p>
      <w:pPr>
        <w:ind w:right="40" w:firstLine="398"/>
        <w:spacing w:after="0" w:line="253" w:lineRule="auto"/>
        <w:rPr>
          <w:sz w:val="20"/>
          <w:szCs w:val="20"/>
          <w:color w:val="auto"/>
        </w:rPr>
      </w:pPr>
      <w:r>
        <w:rPr>
          <w:rFonts w:ascii="Times New Roman" w:cs="Times New Roman" w:eastAsia="Times New Roman" w:hAnsi="Times New Roman"/>
          <w:sz w:val="18"/>
          <w:szCs w:val="18"/>
          <w:color w:val="auto"/>
        </w:rPr>
        <w:t>Our reserve for title insurance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118" w:lineRule="exact"/>
        <w:rPr>
          <w:sz w:val="20"/>
          <w:szCs w:val="20"/>
          <w:color w:val="auto"/>
        </w:rPr>
      </w:pPr>
    </w:p>
    <w:p>
      <w:pPr>
        <w:ind w:right="40" w:firstLine="398"/>
        <w:spacing w:after="0" w:line="260"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also be reported many years later. By their nature, title claims are often complex, vary greatly in dollar amounts and are affected by economic and market conditions, as well as the legal environment existing at the time of settlement of the claims.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Estimating future title loss payments is difficult because of the complex nature of title claims, the long periods of time over which claims are paid, significantly varying dollar amounts of individual claims and other factors.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56" w:lineRule="exact"/>
        <w:rPr>
          <w:sz w:val="20"/>
          <w:szCs w:val="20"/>
          <w:color w:val="auto"/>
        </w:rPr>
      </w:pPr>
    </w:p>
    <w:p>
      <w:pPr>
        <w:ind w:right="100" w:firstLine="638"/>
        <w:spacing w:after="0" w:line="252" w:lineRule="auto"/>
        <w:rPr>
          <w:sz w:val="20"/>
          <w:szCs w:val="20"/>
          <w:color w:val="auto"/>
        </w:rPr>
      </w:pPr>
      <w:r>
        <w:rPr>
          <w:rFonts w:ascii="Times New Roman" w:cs="Times New Roman" w:eastAsia="Times New Roman" w:hAnsi="Times New Roman"/>
          <w:sz w:val="18"/>
          <w:szCs w:val="18"/>
          <w:color w:val="auto"/>
        </w:rPr>
        <w:t>We use reinsurance to provide protection against adverse loss experience in our mortgage insurance and title insurance portfolios and to expand our capital sources. When we enter into a reinsurance agreement, the reinsurer receives a premium and, in exchange, agrees to insure an agreed upon portion of incurred losses. These arrangements have the impact of reducing our earned premiums, but also reduce our mortgage insurance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42" w:lineRule="exact"/>
        <w:rPr>
          <w:sz w:val="20"/>
          <w:szCs w:val="20"/>
          <w:color w:val="auto"/>
        </w:rPr>
      </w:pPr>
    </w:p>
    <w:p>
      <w:pPr>
        <w:ind w:right="540" w:firstLine="638"/>
        <w:spacing w:after="0" w:line="275" w:lineRule="auto"/>
        <w:rPr>
          <w:sz w:val="20"/>
          <w:szCs w:val="20"/>
          <w:color w:val="auto"/>
        </w:rPr>
      </w:pPr>
      <w:r>
        <w:rPr>
          <w:rFonts w:ascii="Times New Roman" w:cs="Times New Roman" w:eastAsia="Times New Roman" w:hAnsi="Times New Roman"/>
          <w:sz w:val="18"/>
          <w:szCs w:val="18"/>
          <w:color w:val="auto"/>
        </w:rPr>
        <w:t>Our other underwriting and operating expenses include components that are substantially fixed, as well as expenses that generally increase or decrease in line with the level of mortgage insurance NIW, title insurance policies issued and settlement services provided.</w:t>
      </w:r>
    </w:p>
    <w:p>
      <w:pPr>
        <w:spacing w:after="0" w:line="97" w:lineRule="exact"/>
        <w:rPr>
          <w:sz w:val="20"/>
          <w:szCs w:val="20"/>
          <w:color w:val="auto"/>
        </w:rPr>
      </w:pPr>
    </w:p>
    <w:p>
      <w:pPr>
        <w:ind w:right="20" w:firstLine="682"/>
        <w:spacing w:after="0" w:line="260" w:lineRule="auto"/>
        <w:rPr>
          <w:sz w:val="20"/>
          <w:szCs w:val="20"/>
          <w:color w:val="auto"/>
        </w:rPr>
      </w:pPr>
      <w:r>
        <w:rPr>
          <w:rFonts w:ascii="Times New Roman" w:cs="Times New Roman" w:eastAsia="Times New Roman" w:hAnsi="Times New Roman"/>
          <w:sz w:val="18"/>
          <w:szCs w:val="18"/>
          <w:color w:val="auto"/>
        </w:rPr>
        <w:t>Our most significant expense is compensation and benefits for our employees, which represented 56% of other underwriting and operating expenses for the three months ended March 31, 2025, compared to 52% of other underwriting and operating expenses for the three months ended March 31, 2024. Compensation and benefits expense includes base and incentive cash compensation, stock compensation expense, benefits and payroll taxes.</w:t>
      </w:r>
    </w:p>
    <w:p>
      <w:pPr>
        <w:spacing w:after="0" w:line="111" w:lineRule="exact"/>
        <w:rPr>
          <w:sz w:val="20"/>
          <w:szCs w:val="20"/>
          <w:color w:val="auto"/>
        </w:rPr>
      </w:pPr>
    </w:p>
    <w:p>
      <w:pPr>
        <w:ind w:right="260" w:firstLine="638"/>
        <w:spacing w:after="0" w:line="260" w:lineRule="auto"/>
        <w:rPr>
          <w:sz w:val="20"/>
          <w:szCs w:val="20"/>
          <w:color w:val="auto"/>
        </w:rPr>
      </w:pPr>
      <w:r>
        <w:rPr>
          <w:rFonts w:ascii="Times New Roman" w:cs="Times New Roman" w:eastAsia="Times New Roman" w:hAnsi="Times New Roman"/>
          <w:sz w:val="18"/>
          <w:szCs w:val="18"/>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mortgage insurance IIF, title insurance policies issued and settlement services provided, our expenses will also continue to increase.</w:t>
      </w:r>
    </w:p>
    <w:p>
      <w:pPr>
        <w:spacing w:after="0" w:line="98" w:lineRule="exact"/>
        <w:rPr>
          <w:sz w:val="20"/>
          <w:szCs w:val="20"/>
          <w:color w:val="auto"/>
        </w:rPr>
      </w:pPr>
    </w:p>
    <w:p>
      <w:pPr>
        <w:ind w:right="380" w:firstLine="638"/>
        <w:spacing w:after="0" w:line="260" w:lineRule="auto"/>
        <w:rPr>
          <w:sz w:val="20"/>
          <w:szCs w:val="20"/>
          <w:color w:val="auto"/>
        </w:rPr>
      </w:pPr>
      <w:r>
        <w:rPr>
          <w:rFonts w:ascii="Times New Roman" w:cs="Times New Roman" w:eastAsia="Times New Roman" w:hAnsi="Times New Roman"/>
          <w:sz w:val="18"/>
          <w:szCs w:val="18"/>
          <w:color w:val="auto"/>
        </w:rPr>
        <w:t>Other underwriting and operating expenses also include premiums retained by agents, which represent the portion of title insurance premiums retained by our third-party agents pursuant to the terms of their respective agency contracts and are recorded as an expense. The percentage of premiums retained by agents vary according to regional differences in real estate closing practices and state regulations.</w:t>
      </w:r>
    </w:p>
    <w:p>
      <w:pPr>
        <w:spacing w:after="0" w:line="1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6" w:lineRule="exact"/>
        <w:rPr>
          <w:sz w:val="20"/>
          <w:szCs w:val="20"/>
          <w:color w:val="auto"/>
        </w:rPr>
      </w:pPr>
    </w:p>
    <w:p>
      <w:pPr>
        <w:ind w:right="80" w:firstLine="638"/>
        <w:spacing w:after="0" w:line="269" w:lineRule="auto"/>
        <w:rPr>
          <w:sz w:val="20"/>
          <w:szCs w:val="20"/>
          <w:color w:val="auto"/>
        </w:rPr>
      </w:pPr>
      <w:r>
        <w:rPr>
          <w:rFonts w:ascii="Times New Roman" w:cs="Times New Roman" w:eastAsia="Times New Roman" w:hAnsi="Times New Roman"/>
          <w:sz w:val="17"/>
          <w:szCs w:val="17"/>
          <w:color w:val="auto"/>
        </w:rPr>
        <w:t>Through June 30, 2024, interest expense was incurred as a result of borrowings under our secured credit facility (the “Existing Credit Facility”). Borrowings accrued interest at a floating rate tied to a standard short-term borrowing index, selected at the Company’s option, plus an applicable margin. On July 1, 2024, we completed an underwritten public offering of $500 million of 6.25% Senior Notes due in 2029 and used approximately $425 million of the net proceeds to repay all of the borrowings outstanding under the term loan portion of the Existing Credit Facility. Concurrently, on July 1, 2024, the Fourth Amended and Restated Credit Agreement (the “Revolving Credit Agreement”) became effective providing for an effective increase in the Company’s revolving credit facility borrowing capacity from $400 million to $500 million. See Note 6 to our condensed consolidated financial statements.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2" w:lineRule="exact"/>
        <w:rPr>
          <w:sz w:val="20"/>
          <w:szCs w:val="20"/>
          <w:color w:val="auto"/>
        </w:rPr>
      </w:pPr>
    </w:p>
    <w:p>
      <w:pPr>
        <w:jc w:val="both"/>
        <w:ind w:right="80" w:firstLine="638"/>
        <w:spacing w:after="0" w:line="255" w:lineRule="auto"/>
        <w:rPr>
          <w:sz w:val="20"/>
          <w:szCs w:val="20"/>
          <w:color w:val="auto"/>
        </w:rPr>
      </w:pPr>
      <w:r>
        <w:rPr>
          <w:rFonts w:ascii="Times New Roman" w:cs="Times New Roman" w:eastAsia="Times New Roman" w:hAnsi="Times New Roman"/>
          <w:sz w:val="18"/>
          <w:szCs w:val="18"/>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196" w:lineRule="exact"/>
        <w:rPr>
          <w:sz w:val="20"/>
          <w:szCs w:val="20"/>
          <w:color w:val="auto"/>
        </w:rPr>
      </w:pPr>
    </w:p>
    <w:p>
      <w:pPr>
        <w:ind w:firstLine="638"/>
        <w:spacing w:after="0" w:line="250" w:lineRule="auto"/>
        <w:rPr>
          <w:sz w:val="20"/>
          <w:szCs w:val="20"/>
          <w:color w:val="auto"/>
        </w:rPr>
      </w:pPr>
      <w:r>
        <w:rPr>
          <w:rFonts w:ascii="Times New Roman" w:cs="Times New Roman" w:eastAsia="Times New Roman" w:hAnsi="Times New Roman"/>
          <w:sz w:val="17"/>
          <w:szCs w:val="17"/>
          <w:color w:val="auto"/>
        </w:rPr>
        <w:t>Essent Group Ltd. ("Essent Group") and its wholly-owned subsidiary, Essent Re, are domiciled in Bermuda, and their income is currently not subject to a corporate income tax. See "—Legislative and Regulatory Developments—Bermuda Corporate Income Tax" above. Under a quota share reinsurance agreement, Essent Re reinsures 25% of Essent Guaranty’s NIW through December 31, 2020 and 35% of Essent Guaranty’s NIW after December 31, 2020. In April 2025, Essent Guaranty and Essent Re agreed to increase the quota share reinsurance coverage of Essent Guaranty’s NIW provided by Essent Re to 50% effective January 1, 2025. The quota share reinsurance coverage provided by Essent Re for Essent Guaranty’s NIW prior to January 1, 2025 will continue at the quota share percentage in effect at the time NIW was first ceded. Essent Re also provides insurance and reinsurance to Freddie Mac and Fannie Mae.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40" w:firstLine="638"/>
        <w:spacing w:after="0" w:line="275" w:lineRule="auto"/>
        <w:rPr>
          <w:sz w:val="20"/>
          <w:szCs w:val="20"/>
          <w:color w:val="auto"/>
        </w:rPr>
      </w:pPr>
      <w:r>
        <w:rPr>
          <w:rFonts w:ascii="Times New Roman" w:cs="Times New Roman" w:eastAsia="Times New Roman" w:hAnsi="Times New Roman"/>
          <w:sz w:val="18"/>
          <w:szCs w:val="18"/>
          <w:color w:val="auto"/>
        </w:rPr>
        <w:t>The amount of income tax expense or benefit recorded in future periods will be dependent on the jurisdictions in which we operate and the tax laws and regulations in effect.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Mortgage Insurance Earnings and Cash Flow Cycle</w:t>
      </w:r>
    </w:p>
    <w:p>
      <w:pPr>
        <w:spacing w:after="0" w:line="222" w:lineRule="exact"/>
        <w:rPr>
          <w:sz w:val="20"/>
          <w:szCs w:val="20"/>
          <w:color w:val="auto"/>
        </w:rPr>
      </w:pPr>
    </w:p>
    <w:p>
      <w:pPr>
        <w:ind w:right="140" w:firstLine="638"/>
        <w:spacing w:after="0" w:line="253" w:lineRule="auto"/>
        <w:rPr>
          <w:sz w:val="20"/>
          <w:szCs w:val="20"/>
          <w:color w:val="auto"/>
        </w:rPr>
      </w:pPr>
      <w:r>
        <w:rPr>
          <w:rFonts w:ascii="Times New Roman" w:cs="Times New Roman" w:eastAsia="Times New Roman" w:hAnsi="Times New Roman"/>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In Force</w:t>
      </w:r>
    </w:p>
    <w:p>
      <w:pPr>
        <w:spacing w:after="0" w:line="222" w:lineRule="exact"/>
        <w:rPr>
          <w:sz w:val="20"/>
          <w:szCs w:val="20"/>
          <w:color w:val="auto"/>
        </w:rPr>
      </w:pPr>
    </w:p>
    <w:p>
      <w:pPr>
        <w:ind w:right="240" w:firstLine="638"/>
        <w:spacing w:after="0" w:line="260" w:lineRule="auto"/>
        <w:rPr>
          <w:sz w:val="20"/>
          <w:szCs w:val="20"/>
          <w:color w:val="auto"/>
        </w:rPr>
      </w:pPr>
      <w:r>
        <w:rPr>
          <w:rFonts w:ascii="Times New Roman" w:cs="Times New Roman" w:eastAsia="Times New Roman" w:hAnsi="Times New Roman"/>
          <w:sz w:val="18"/>
          <w:szCs w:val="18"/>
          <w:color w:val="auto"/>
        </w:rPr>
        <w:t>As discussed above, mortgage insurance premiums we collect and earn are generated based on our IIF, which is a function of our NIW and cancellations. The following table includes a summary of the change in our IIF for the three months ended March 31, 2025 and 2024 for our U.S. mortgage insurance portfolio. In addition, this table includes our RIF at the end of each period.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IIF, beginning of period</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243,645,423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239,078,262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NIW - Flow</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9,945,336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(8,898,267)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(8,924,404)</w:t>
            </w:r>
          </w:p>
        </w:tc>
        <w:tc>
          <w:tcPr>
            <w:tcW w:w="0" w:type="dxa"/>
            <w:vAlign w:val="bottom"/>
          </w:tcPr>
          <w:p>
            <w:pPr>
              <w:spacing w:after="0"/>
              <w:rPr>
                <w:sz w:val="1"/>
                <w:szCs w:val="1"/>
                <w:color w:val="auto"/>
              </w:rPr>
            </w:pPr>
          </w:p>
        </w:tc>
      </w:tr>
      <w:tr>
        <w:trPr>
          <w:trHeight w:val="21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IIF, end of period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244,692,492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238,477,402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IIF during the period</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244,005,513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238,595,268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RIF, end of period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56,565,811</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54,686,533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9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IIF at March 31, 2025 by vintage:</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7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(through March 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42,418,290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40,073,857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47,911,728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33,665,162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 and prior</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244,692,492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Average Net Premium Rate</w:t>
      </w:r>
    </w:p>
    <w:p>
      <w:pPr>
        <w:spacing w:after="0" w:line="222" w:lineRule="exact"/>
        <w:rPr>
          <w:sz w:val="20"/>
          <w:szCs w:val="20"/>
          <w:color w:val="auto"/>
        </w:rPr>
      </w:pPr>
    </w:p>
    <w:p>
      <w:pPr>
        <w:ind w:right="60" w:firstLine="638"/>
        <w:spacing w:after="0" w:line="253" w:lineRule="auto"/>
        <w:rPr>
          <w:sz w:val="20"/>
          <w:szCs w:val="20"/>
          <w:color w:val="auto"/>
        </w:rPr>
      </w:pPr>
      <w:r>
        <w:rPr>
          <w:rFonts w:ascii="Times New Roman" w:cs="Times New Roman" w:eastAsia="Times New Roman" w:hAnsi="Times New Roman"/>
          <w:sz w:val="18"/>
          <w:szCs w:val="18"/>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gridSpan w:val="2"/>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average premium rate</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1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26"/>
        </w:trPr>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Single premium cancellations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average premium rate</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0.41</w:t>
            </w:r>
          </w:p>
        </w:tc>
      </w:tr>
      <w:tr>
        <w:trPr>
          <w:trHeight w:val="226"/>
        </w:trPr>
        <w:tc>
          <w:tcPr>
            <w:tcW w:w="8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6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6"/>
              </w:rPr>
              <w:t>(0.05)</w:t>
            </w:r>
          </w:p>
        </w:tc>
        <w:tc>
          <w:tcPr>
            <w:tcW w:w="100" w:type="dxa"/>
            <w:vAlign w:val="bottom"/>
          </w:tcPr>
          <w:p>
            <w:pPr>
              <w:spacing w:after="0"/>
              <w:rPr>
                <w:sz w:val="19"/>
                <w:szCs w:val="19"/>
                <w:color w:val="auto"/>
              </w:rPr>
            </w:pPr>
          </w:p>
        </w:tc>
        <w:tc>
          <w:tcPr>
            <w:tcW w:w="15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(0.05)</w:t>
            </w:r>
          </w:p>
        </w:tc>
      </w:tr>
      <w:tr>
        <w:trPr>
          <w:trHeight w:val="244"/>
        </w:trPr>
        <w:tc>
          <w:tcPr>
            <w:tcW w:w="8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premium rate</w:t>
            </w: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0.36 %</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right="220" w:firstLine="638"/>
        <w:spacing w:after="0" w:line="275" w:lineRule="auto"/>
        <w:rPr>
          <w:sz w:val="20"/>
          <w:szCs w:val="20"/>
          <w:color w:val="auto"/>
        </w:rPr>
      </w:pPr>
      <w:r>
        <w:rPr>
          <w:rFonts w:ascii="Times New Roman" w:cs="Times New Roman" w:eastAsia="Times New Roman" w:hAnsi="Times New Roman"/>
          <w:sz w:val="18"/>
          <w:szCs w:val="18"/>
          <w:color w:val="auto"/>
        </w:rPr>
        <w:t>The continued use of third-party reinsurance along with changes to the level of future cancellations of non-refundable single premium policies and mix of IIF may impact our average net premium rate in future periods.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Persistency Rate</w:t>
      </w:r>
    </w:p>
    <w:p>
      <w:pPr>
        <w:spacing w:after="0" w:line="222"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Risk-to-Capital</w:t>
      </w:r>
    </w:p>
    <w:p>
      <w:pPr>
        <w:spacing w:after="0" w:line="222" w:lineRule="exact"/>
        <w:rPr>
          <w:sz w:val="20"/>
          <w:szCs w:val="20"/>
          <w:color w:val="auto"/>
        </w:rPr>
      </w:pPr>
    </w:p>
    <w:p>
      <w:pPr>
        <w:ind w:right="100" w:firstLine="638"/>
        <w:spacing w:after="0" w:line="255" w:lineRule="auto"/>
        <w:rPr>
          <w:sz w:val="20"/>
          <w:szCs w:val="20"/>
          <w:color w:val="auto"/>
        </w:rPr>
      </w:pPr>
      <w:r>
        <w:rPr>
          <w:rFonts w:ascii="Times New Roman" w:cs="Times New Roman" w:eastAsia="Times New Roman" w:hAnsi="Times New Roman"/>
          <w:sz w:val="18"/>
          <w:szCs w:val="18"/>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83" w:lineRule="exact"/>
        <w:rPr>
          <w:sz w:val="20"/>
          <w:szCs w:val="20"/>
          <w:color w:val="auto"/>
        </w:rPr>
      </w:pPr>
    </w:p>
    <w:p>
      <w:pPr>
        <w:ind w:right="40" w:firstLine="638"/>
        <w:spacing w:after="0" w:line="251" w:lineRule="auto"/>
        <w:rPr>
          <w:sz w:val="20"/>
          <w:szCs w:val="20"/>
          <w:color w:val="auto"/>
        </w:rPr>
      </w:pPr>
      <w:r>
        <w:rPr>
          <w:rFonts w:ascii="Times New Roman" w:cs="Times New Roman" w:eastAsia="Times New Roman" w:hAnsi="Times New Roman"/>
          <w:sz w:val="18"/>
          <w:szCs w:val="18"/>
          <w:color w:val="auto"/>
        </w:rPr>
        <w:t>As of March 31, 2025, the net risk in force for Essent Guaranty was $35.0 billion and its statutory capital was $3.6 billion, resulting in a risk-to-capital ratio of 9.6:1. The amount of capital required varies in each jurisdiction in which we operate; however, generally, the maximum permitted risk-to-capital ratio is 25.0 to 1. State insurance regulators have continued to examine their respective capital rules to determine whether, in light of the 2007-2008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Consolidated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238,271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238,540</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245,590</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52,085</w:t>
            </w: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298,357</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84,615</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213,742</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181,719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140" w:lineRule="exact"/>
        <w:rPr>
          <w:sz w:val="20"/>
          <w:szCs w:val="20"/>
          <w:color w:val="auto"/>
        </w:rPr>
      </w:pPr>
    </w:p>
    <w:p>
      <w:pPr>
        <w:ind w:right="120" w:firstLine="638"/>
        <w:spacing w:after="0" w:line="260" w:lineRule="auto"/>
        <w:rPr>
          <w:sz w:val="20"/>
          <w:szCs w:val="20"/>
          <w:color w:val="auto"/>
        </w:rPr>
      </w:pPr>
      <w:r>
        <w:rPr>
          <w:rFonts w:ascii="Times New Roman" w:cs="Times New Roman" w:eastAsia="Times New Roman" w:hAnsi="Times New Roman"/>
          <w:sz w:val="18"/>
          <w:szCs w:val="18"/>
          <w:color w:val="auto"/>
        </w:rPr>
        <w:t>Net premiums earned for the three months ended March 31, 2025 were largely unchanged compared to the three months ended March 31, 2024. For more information, see Net Premiums Written and Earned under “Results of Operations: Mortgage Insurance” and Net Premiums Earned under “Results of Operations: Corporate &amp; Other”.</w:t>
      </w:r>
    </w:p>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net investment income was derived from the following sources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52,485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46,288</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right="80" w:firstLine="638"/>
        <w:spacing w:after="0" w:line="252" w:lineRule="auto"/>
        <w:rPr>
          <w:sz w:val="20"/>
          <w:szCs w:val="20"/>
          <w:color w:val="auto"/>
        </w:rPr>
      </w:pPr>
      <w:r>
        <w:rPr>
          <w:rFonts w:ascii="Times New Roman" w:cs="Times New Roman" w:eastAsia="Times New Roman" w:hAnsi="Times New Roman"/>
          <w:sz w:val="18"/>
          <w:szCs w:val="18"/>
          <w:color w:val="auto"/>
        </w:rPr>
        <w:t>The increase in net investment income for the three months ended March 31, 2025 as compared to the same period in 2024 was due to an increase in the pre-tax investment income yield as well as an increase in the weighted average balance of our investment portfolio. The pre-tax investment income yield increased from 3.7% in the three months ended March 31, 2024 to 3.8% in the three months ended March 31, 2025 primarily due to a general increase in investment yields due to rising interest rates. The average cash and investment portfolio balance increased to $6.4 billion for the three months ended March 31, 2025 from $5.8 billion for the three months ended March 31, 2024. The increase in the average cash and investment portfolio was primarily due to investing cash flows from operations. See “— Liquidity and Capital Resources” for further details of our investment portfolio.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Income (Loss) from Other Invested Assets</w:t>
      </w:r>
    </w:p>
    <w:p>
      <w:pPr>
        <w:spacing w:after="0" w:line="247" w:lineRule="exact"/>
        <w:rPr>
          <w:sz w:val="20"/>
          <w:szCs w:val="20"/>
          <w:color w:val="auto"/>
        </w:rPr>
      </w:pPr>
    </w:p>
    <w:p>
      <w:pPr>
        <w:ind w:right="160" w:firstLine="638"/>
        <w:spacing w:after="0" w:line="260" w:lineRule="auto"/>
        <w:rPr>
          <w:sz w:val="20"/>
          <w:szCs w:val="20"/>
          <w:color w:val="auto"/>
        </w:rPr>
      </w:pPr>
      <w:r>
        <w:rPr>
          <w:rFonts w:ascii="Times New Roman" w:cs="Times New Roman" w:eastAsia="Times New Roman" w:hAnsi="Times New Roman"/>
          <w:sz w:val="18"/>
          <w:szCs w:val="18"/>
          <w:color w:val="auto"/>
        </w:rPr>
        <w:t>Income (loss) from other invested assets for the three months ended March 31, 2025 was income of $7.4 million as compared to a loss of $1.9 million for the three months ended March 31, 2024. The increase in income from other invested assets was primarily due to favorable fair value adjustments recorded during the three months ended March 31, 2025 as compared to the same period in 2024.</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47" w:lineRule="exact"/>
        <w:rPr>
          <w:sz w:val="20"/>
          <w:szCs w:val="20"/>
          <w:color w:val="auto"/>
        </w:rPr>
      </w:pPr>
    </w:p>
    <w:p>
      <w:pPr>
        <w:ind w:right="100" w:firstLine="638"/>
        <w:spacing w:after="0" w:line="255" w:lineRule="auto"/>
        <w:rPr>
          <w:sz w:val="20"/>
          <w:szCs w:val="20"/>
          <w:color w:val="auto"/>
        </w:rPr>
      </w:pPr>
      <w:r>
        <w:rPr>
          <w:rFonts w:ascii="Times New Roman" w:cs="Times New Roman" w:eastAsia="Times New Roman" w:hAnsi="Times New Roman"/>
          <w:sz w:val="18"/>
          <w:szCs w:val="18"/>
          <w:color w:val="auto"/>
        </w:rPr>
        <w:t>Other income for the three months ended March 31, 2025 was $6.3 million as compared to $3.7 million for the three months ended March 31, 2024. The increase in other income was largely due to fair value adjustments on embedded derivatives contained in certain of our reinsurance agreements. For the three months ended March 31, 2025 we recorded a net unfavorable decrease in the fair value of the embedded derivatives of $0.2 million compared to a net unfavorable decrease of $1.9 million for the three months ended March 31, 2024.</w:t>
      </w: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Provision for Losses</w:t>
      </w:r>
    </w:p>
    <w:p>
      <w:pPr>
        <w:spacing w:after="0" w:line="154" w:lineRule="exact"/>
        <w:rPr>
          <w:sz w:val="20"/>
          <w:szCs w:val="20"/>
          <w:color w:val="auto"/>
        </w:rPr>
      </w:pPr>
    </w:p>
    <w:p>
      <w:pPr>
        <w:ind w:right="20" w:firstLine="398"/>
        <w:spacing w:after="0" w:line="255" w:lineRule="auto"/>
        <w:rPr>
          <w:sz w:val="20"/>
          <w:szCs w:val="20"/>
          <w:color w:val="auto"/>
        </w:rPr>
      </w:pPr>
      <w:r>
        <w:rPr>
          <w:rFonts w:ascii="Times New Roman" w:cs="Times New Roman" w:eastAsia="Times New Roman" w:hAnsi="Times New Roman"/>
          <w:sz w:val="18"/>
          <w:szCs w:val="18"/>
          <w:color w:val="auto"/>
        </w:rPr>
        <w:t>The increased provision for losses for the three months ended March 31, 2025 compared to the three months ended March 31, 2024 was primarily due to an increase in new defaults in the three months ended March 31, 2025, partially offset by an increase in cures, as well as the aging of defaults remaining within the mortgage insurance portfolio as of March 31, 2025, which resulted in an increase in our reserve per default. See “Results of Operations: Mortgage Insurance" for more information.</w:t>
      </w:r>
    </w:p>
    <w:p>
      <w:pPr>
        <w:spacing w:after="0" w:line="1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Other Underwriting and Operating Expenses</w:t>
      </w:r>
    </w:p>
    <w:p>
      <w:pPr>
        <w:spacing w:after="0" w:line="140" w:lineRule="exact"/>
        <w:rPr>
          <w:sz w:val="20"/>
          <w:szCs w:val="20"/>
          <w:color w:val="auto"/>
        </w:rPr>
      </w:pPr>
    </w:p>
    <w:p>
      <w:pPr>
        <w:jc w:val="both"/>
        <w:ind w:right="180" w:firstLine="398"/>
        <w:spacing w:after="0" w:line="260" w:lineRule="auto"/>
        <w:rPr>
          <w:sz w:val="20"/>
          <w:szCs w:val="20"/>
          <w:color w:val="auto"/>
        </w:rPr>
      </w:pPr>
      <w:r>
        <w:rPr>
          <w:rFonts w:ascii="Times New Roman" w:cs="Times New Roman" w:eastAsia="Times New Roman" w:hAnsi="Times New Roman"/>
          <w:sz w:val="18"/>
          <w:szCs w:val="18"/>
          <w:color w:val="auto"/>
        </w:rPr>
        <w:t>The increase in underwriting and operating expenses for the three months ended March 31, 2025 compared to the three months ended March 31, 2024 was primarily due to an increase in compensation expense, including stock compensation, as well as an increase other general operating expenses. For more information, see “Results of Operations: Mortgage Insurance” and “Results of Operations: Corporate &amp; Other.”</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33" w:lineRule="exact"/>
        <w:rPr>
          <w:sz w:val="20"/>
          <w:szCs w:val="20"/>
          <w:color w:val="auto"/>
        </w:rPr>
      </w:pPr>
    </w:p>
    <w:p>
      <w:pPr>
        <w:ind w:right="60" w:firstLine="398"/>
        <w:spacing w:after="0" w:line="249" w:lineRule="auto"/>
        <w:rPr>
          <w:sz w:val="20"/>
          <w:szCs w:val="20"/>
          <w:color w:val="auto"/>
        </w:rPr>
      </w:pPr>
      <w:r>
        <w:rPr>
          <w:rFonts w:ascii="Times New Roman" w:cs="Times New Roman" w:eastAsia="Times New Roman" w:hAnsi="Times New Roman"/>
          <w:sz w:val="17"/>
          <w:szCs w:val="17"/>
          <w:color w:val="auto"/>
        </w:rPr>
        <w:t>For the three months ended March 31, 2025, we incurred interest expense of $8.1 million as compared to $7.9 million for the three months ended March 31, 2024. On July 1, 2024, Essent Group completed an underwritten public offering of $500 million principal amount of 6.25% Senior Notes due 2029 (the “Senior Notes"). The Company used the net proceeds from the sale of the Senior Notes to repay all of the borrowings outstanding under the term loan portion of the Existing Credit Facility on July 1, 2024. The increase in interest expense was due to an increase in the average borrowings outstanding during the three months ended March 31, 2025 compared to same period in 2024. For the three month periods ended March 31, 2025, the average amount of borrowings outstanding were $500 million compared to $425 million for the three months ended March 31, 2024. For the three months ended March 31, 2025, our total borrowings had a weighted average interest rate of 6.25% as compared to 7.15% for the three months ended March 31, 2024, respectively.</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0" w:lineRule="exact"/>
        <w:rPr>
          <w:sz w:val="20"/>
          <w:szCs w:val="20"/>
          <w:color w:val="auto"/>
        </w:rPr>
      </w:pPr>
    </w:p>
    <w:p>
      <w:pPr>
        <w:ind w:firstLine="398"/>
        <w:spacing w:after="0" w:line="251" w:lineRule="auto"/>
        <w:rPr>
          <w:sz w:val="20"/>
          <w:szCs w:val="20"/>
          <w:color w:val="auto"/>
        </w:rPr>
      </w:pPr>
      <w:r>
        <w:rPr>
          <w:rFonts w:ascii="Times New Roman" w:cs="Times New Roman" w:eastAsia="Times New Roman" w:hAnsi="Times New Roman"/>
          <w:sz w:val="18"/>
          <w:szCs w:val="18"/>
          <w:color w:val="auto"/>
        </w:rPr>
        <w:t>Our subsidiaries in the United States file a consolidated U.S. Federal income tax return. Our income tax expense was $31.6 million and $32.0 million for the three months ended March 31, 2025 and 2024, respectively. The provision for income taxes for both the three months ended March 31, 2025 and 2024 was calculated using an estimated annual effective tax rate of 15.4%. For the three months ended March 31, 2025, income tax expense includes $1.6 million of discrete tax expense associated with realized and unrealized losses recognized during the period partially offset by $0.7 million excess tax benefits associated with the vesting of common shares and common share units. For the three months ended March 31, 2024, income tax expense includes $1.7 million of discrete tax benefit associated with realized and unrealized losses recognized during the period as well as excess tax benefits associated with the vesting of common shares and common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Mortgage Insurance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233,630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230,306</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44,201</w:t>
            </w:r>
          </w:p>
        </w:tc>
        <w:tc>
          <w:tcPr>
            <w:tcW w:w="0" w:type="dxa"/>
            <w:vAlign w:val="bottom"/>
          </w:tcPr>
          <w:p>
            <w:pPr>
              <w:spacing w:after="0"/>
              <w:rPr>
                <w:sz w:val="1"/>
                <w:szCs w:val="1"/>
                <w:color w:val="auto"/>
              </w:rPr>
            </w:pPr>
          </w:p>
        </w:tc>
      </w:tr>
      <w:tr>
        <w:trPr>
          <w:trHeight w:val="22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8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288,869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274,748</w:t>
            </w:r>
          </w:p>
        </w:tc>
        <w:tc>
          <w:tcPr>
            <w:tcW w:w="0" w:type="dxa"/>
            <w:vAlign w:val="bottom"/>
          </w:tcPr>
          <w:p>
            <w:pPr>
              <w:spacing w:after="0"/>
              <w:rPr>
                <w:sz w:val="1"/>
                <w:szCs w:val="1"/>
                <w:color w:val="auto"/>
              </w:rPr>
            </w:pPr>
          </w:p>
        </w:tc>
      </w:t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30,593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30,227</w:t>
            </w:r>
          </w:p>
        </w:tc>
        <w:tc>
          <w:tcPr>
            <w:tcW w:w="0" w:type="dxa"/>
            <w:vAlign w:val="bottom"/>
          </w:tcPr>
          <w:p>
            <w:pPr>
              <w:spacing w:after="0"/>
              <w:rPr>
                <w:sz w:val="1"/>
                <w:szCs w:val="1"/>
                <w:color w:val="auto"/>
              </w:rPr>
            </w:pPr>
          </w:p>
        </w:tc>
      </w:tr>
      <w:tr>
        <w:trPr>
          <w:trHeight w:val="219"/>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61,315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39,564</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13,014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11,618</w:t>
            </w:r>
          </w:p>
        </w:tc>
        <w:tc>
          <w:tcPr>
            <w:tcW w:w="0" w:type="dxa"/>
            <w:vAlign w:val="bottom"/>
          </w:tcPr>
          <w:p>
            <w:pPr>
              <w:spacing w:after="0"/>
              <w:rPr>
                <w:sz w:val="1"/>
                <w:szCs w:val="1"/>
                <w:color w:val="auto"/>
              </w:rPr>
            </w:pPr>
          </w:p>
        </w:tc>
      </w:tr>
      <w:tr>
        <w:trPr>
          <w:trHeight w:val="219"/>
        </w:trPr>
        <w:tc>
          <w:tcPr>
            <w:tcW w:w="80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74,329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51,182</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214,540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223,566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ratio (1)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ratio (2)</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Combined ratio</w:t>
            </w: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0" w:hanging="176"/>
        <w:spacing w:after="0"/>
        <w:tabs>
          <w:tab w:leader="none" w:pos="200"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Loss ratio is calculated by dividing the provision for losses and LAE by net premiums earned.</w:t>
      </w:r>
    </w:p>
    <w:p>
      <w:pPr>
        <w:spacing w:after="0" w:line="34" w:lineRule="exact"/>
        <w:rPr>
          <w:rFonts w:ascii="Times New Roman" w:cs="Times New Roman" w:eastAsia="Times New Roman" w:hAnsi="Times New Roman"/>
          <w:sz w:val="12"/>
          <w:szCs w:val="12"/>
          <w:b w:val="1"/>
          <w:bCs w:val="1"/>
          <w:color w:val="auto"/>
        </w:rPr>
      </w:pPr>
    </w:p>
    <w:p>
      <w:pPr>
        <w:ind w:left="200" w:hanging="176"/>
        <w:spacing w:after="0"/>
        <w:tabs>
          <w:tab w:leader="none" w:pos="200"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Expense ratio is calculated by dividing the sum of other underwriting and operating expenses and corporate expense allocations by net premiums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34860" cy="109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098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the Three Months Ended March 31, 2024</w:t>
      </w:r>
    </w:p>
    <w:p>
      <w:pPr>
        <w:spacing w:after="0" w:line="220"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our Mortgage Insurance segment reported income before income tax expense of $214.5 million, compared to income before income tax expense of $223.6 million for the three months ended March 31, 2024. The decrease in our operating results during the three months ended March 31, 2025 compared to the same period in 2024 was primarily due to an increase in the provision for losses partially offset by increases in net premiums earned, net investment income and income from other invested assets.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Net Premiums Written and Earned</w:t>
      </w:r>
    </w:p>
    <w:p>
      <w:pPr>
        <w:spacing w:after="0" w:line="222" w:lineRule="exact"/>
        <w:rPr>
          <w:sz w:val="20"/>
          <w:szCs w:val="20"/>
          <w:color w:val="auto"/>
        </w:rPr>
      </w:pPr>
    </w:p>
    <w:p>
      <w:pPr>
        <w:ind w:right="40" w:firstLine="638"/>
        <w:spacing w:after="0" w:line="283" w:lineRule="auto"/>
        <w:rPr>
          <w:sz w:val="20"/>
          <w:szCs w:val="20"/>
          <w:color w:val="auto"/>
        </w:rPr>
      </w:pPr>
      <w:r>
        <w:rPr>
          <w:rFonts w:ascii="Times New Roman" w:cs="Times New Roman" w:eastAsia="Times New Roman" w:hAnsi="Times New Roman"/>
          <w:sz w:val="17"/>
          <w:szCs w:val="17"/>
          <w:color w:val="auto"/>
        </w:rPr>
        <w:t>Net premiums earned increased in the three months ended March 31, 2025 by 1.4% compared to the three months ended March 31, 2024. The increase in net premiums earned was due to the increase in our average IIF from $238.6 billion for the three months ended March 31, 2024 to $244.0 billion for the three months ended and March 31, 2025. The average net premium rate was 0.36% for the three months ended March 31, 2025 and 2024, respectively.</w:t>
      </w:r>
    </w:p>
    <w:p>
      <w:pPr>
        <w:spacing w:after="0" w:line="185" w:lineRule="exact"/>
        <w:rPr>
          <w:sz w:val="20"/>
          <w:szCs w:val="20"/>
          <w:color w:val="auto"/>
        </w:rPr>
      </w:pPr>
    </w:p>
    <w:p>
      <w:pPr>
        <w:ind w:right="140" w:firstLine="638"/>
        <w:spacing w:after="0" w:line="260" w:lineRule="auto"/>
        <w:rPr>
          <w:sz w:val="20"/>
          <w:szCs w:val="20"/>
          <w:color w:val="auto"/>
        </w:rPr>
      </w:pPr>
      <w:r>
        <w:rPr>
          <w:rFonts w:ascii="Times New Roman" w:cs="Times New Roman" w:eastAsia="Times New Roman" w:hAnsi="Times New Roman"/>
          <w:sz w:val="18"/>
          <w:szCs w:val="18"/>
          <w:color w:val="auto"/>
        </w:rPr>
        <w:t>In the three months ended March 31, 2025 and 2024, unearned premiums decreased by $7.6 million and $7.1 million, respectively. The change in unearned premiums was a result of net premiums written on single premium policies of $1.8 million and $2.9 million, respectively, which was offset by $9.4 million and $10.0 million, respectively, of unearned premium that was recognized in earnings during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and Loss Adjustment Expenses</w:t>
      </w:r>
    </w:p>
    <w:p>
      <w:pPr>
        <w:spacing w:after="0" w:line="222" w:lineRule="exact"/>
        <w:rPr>
          <w:sz w:val="20"/>
          <w:szCs w:val="20"/>
          <w:color w:val="auto"/>
        </w:rPr>
      </w:pPr>
    </w:p>
    <w:p>
      <w:pPr>
        <w:jc w:val="both"/>
        <w:ind w:right="160" w:firstLine="638"/>
        <w:spacing w:after="0" w:line="255" w:lineRule="auto"/>
        <w:rPr>
          <w:sz w:val="20"/>
          <w:szCs w:val="20"/>
          <w:color w:val="auto"/>
        </w:rPr>
      </w:pPr>
      <w:r>
        <w:rPr>
          <w:rFonts w:ascii="Times New Roman" w:cs="Times New Roman" w:eastAsia="Times New Roman" w:hAnsi="Times New Roman"/>
          <w:sz w:val="18"/>
          <w:szCs w:val="18"/>
          <w:color w:val="auto"/>
        </w:rPr>
        <w:t>In the three months ended March 31, 2025 we recorded a provision for losses of $30.7 million compared to a provision of $9.3 million for the three months ended March 31, 2024. The increase in the provision for losses in the three months ended March 31, 2025 compared to the same period in the prior year was primarily due to an increase in new defaults in the three months ended March 31, 2025, partially offset by an increase in cures, as well as the aging of defaults remaining within the mortgage insurance portfolio as of March 31, 2025, which resulted in an increase in our reserve per default.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rollforward of insured loans in default for our U.S. mortgage insurance portfolio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980" w:type="dxa"/>
            <w:vAlign w:val="bottom"/>
            <w:gridSpan w:val="3"/>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6"/>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default inventory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new defaults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claims paid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rescissions and denials,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w:t>
            </w:r>
          </w:p>
        </w:tc>
      </w:tr>
      <w:tr>
        <w:trPr>
          <w:trHeight w:val="20"/>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includes additional information about our loans in default as of the dates indicated for our U.S. mortgage insurance portfolio:</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08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77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Case reserves (in thousands) </w:t>
            </w:r>
            <w:r>
              <w:rPr>
                <w:rFonts w:ascii="Times New Roman" w:cs="Times New Roman" w:eastAsia="Times New Roman" w:hAnsi="Times New Roman"/>
                <w:sz w:val="18"/>
                <w:szCs w:val="18"/>
                <w:b w:val="1"/>
                <w:bCs w:val="1"/>
                <w:color w:val="auto"/>
              </w:rPr>
              <w:t>(1)</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312,060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233,884</w:t>
            </w: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reserves (in thousands) </w:t>
            </w:r>
            <w:r>
              <w:rPr>
                <w:rFonts w:ascii="Times New Roman" w:cs="Times New Roman" w:eastAsia="Times New Roman" w:hAnsi="Times New Roman"/>
                <w:sz w:val="18"/>
                <w:szCs w:val="18"/>
                <w:b w:val="1"/>
                <w:bCs w:val="1"/>
                <w:color w:val="auto"/>
              </w:rPr>
              <w:t>(1)</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338,128</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253,565</w:t>
            </w: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17,759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13,992</w:t>
            </w: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case reserve per default (in thousands)</w:t>
            </w: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16.7</w:t>
            </w: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reserve per default (in thousands)</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18.1</w:t>
            </w:r>
          </w:p>
        </w:tc>
      </w:tr>
      <w:tr>
        <w:trPr>
          <w:trHeight w:val="22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2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received included in ending default inventory</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109855</wp:posOffset>
            </wp:positionV>
            <wp:extent cx="1383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227" w:lineRule="exact"/>
        <w:rPr>
          <w:sz w:val="20"/>
          <w:szCs w:val="20"/>
          <w:color w:val="auto"/>
        </w:rPr>
      </w:pPr>
    </w:p>
    <w:p>
      <w:pPr>
        <w:ind w:left="640" w:right="380" w:hanging="315"/>
        <w:spacing w:after="0" w:line="275" w:lineRule="auto"/>
        <w:tabs>
          <w:tab w:leader="none" w:pos="6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$52 thousand and $32 thousand as of March 31, 2025 and March 31, 2024.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U.S. mortgage insurance reserve balances for losses and LAE: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245,402</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Reinsurance recoverables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beginning of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221,397</w:t>
            </w: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provision for losses and LAE occurring in:</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39,396</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Incurred losses and LAE during the current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0" w:type="dxa"/>
            <w:vAlign w:val="bottom"/>
          </w:tcPr>
          <w:p>
            <w:pPr>
              <w:spacing w:after="0"/>
              <w:rPr>
                <w:sz w:val="1"/>
                <w:szCs w:val="1"/>
                <w:color w:val="auto"/>
              </w:rPr>
            </w:pPr>
          </w:p>
        </w:tc>
      </w:tr>
      <w:tr>
        <w:trPr>
          <w:trHeight w:val="206"/>
        </w:trPr>
        <w:tc>
          <w:tcPr>
            <w:tcW w:w="826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8"/>
                <w:szCs w:val="18"/>
                <w:color w:val="auto"/>
              </w:rPr>
              <w:t>Deduct payments for losses and LAE occurring in: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payments during the current period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reserve for losses and LAE at end of period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226,995</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 for losses and LAE at end of period (1)</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13830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320" w:lineRule="exact"/>
        <w:rPr>
          <w:sz w:val="20"/>
          <w:szCs w:val="20"/>
          <w:color w:val="auto"/>
        </w:rPr>
      </w:pPr>
    </w:p>
    <w:p>
      <w:pPr>
        <w:ind w:left="640" w:right="380" w:hanging="315"/>
        <w:spacing w:after="0" w:line="275" w:lineRule="auto"/>
        <w:tabs>
          <w:tab w:leader="none" w:pos="6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$52 thousand and $32 thousand as of March 31, 2025 and March 31, 2024.</w:t>
      </w:r>
    </w:p>
    <w:p>
      <w:pPr>
        <w:spacing w:after="0" w:line="190" w:lineRule="exact"/>
        <w:rPr>
          <w:sz w:val="20"/>
          <w:szCs w:val="20"/>
          <w:color w:val="auto"/>
        </w:rPr>
      </w:pPr>
    </w:p>
    <w:p>
      <w:pPr>
        <w:ind w:right="300" w:firstLine="638"/>
        <w:spacing w:after="0" w:line="275" w:lineRule="auto"/>
        <w:rPr>
          <w:sz w:val="20"/>
          <w:szCs w:val="20"/>
          <w:color w:val="auto"/>
        </w:rPr>
      </w:pPr>
      <w:r>
        <w:rPr>
          <w:rFonts w:ascii="Times New Roman" w:cs="Times New Roman" w:eastAsia="Times New Roman" w:hAnsi="Times New Roman"/>
          <w:sz w:val="18"/>
          <w:szCs w:val="18"/>
          <w:color w:val="auto"/>
        </w:rPr>
        <w:t>The following tables provide a detail of reserves and defaulted RIF by the number of missed payments and pending claims for our U.S. mortgage insurance portfolio:</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4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20" w:type="dxa"/>
            <w:vAlign w:val="bottom"/>
          </w:tcPr>
          <w:p>
            <w:pPr>
              <w:spacing w:after="0"/>
              <w:rPr>
                <w:sz w:val="11"/>
                <w:szCs w:val="11"/>
                <w:color w:val="auto"/>
              </w:rPr>
            </w:pPr>
          </w:p>
        </w:tc>
        <w:tc>
          <w:tcPr>
            <w:tcW w:w="12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6"/>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3480" w:type="dxa"/>
            <w:vAlign w:val="bottom"/>
            <w:gridSpan w:val="3"/>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60" w:type="dxa"/>
            <w:vAlign w:val="bottom"/>
          </w:tcPr>
          <w:p>
            <w:pPr>
              <w:spacing w:after="0"/>
              <w:rPr>
                <w:sz w:val="16"/>
                <w:szCs w:val="16"/>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RIF</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5"/>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426,195</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6"/>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1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194,642</w:t>
            </w:r>
          </w:p>
        </w:tc>
        <w:tc>
          <w:tcPr>
            <w:tcW w:w="13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6"/>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139,810</w:t>
            </w:r>
          </w:p>
        </w:tc>
        <w:tc>
          <w:tcPr>
            <w:tcW w:w="146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620,538</w:t>
            </w:r>
          </w:p>
        </w:tc>
        <w:tc>
          <w:tcPr>
            <w:tcW w:w="13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26"/>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105,783</w:t>
            </w:r>
          </w:p>
        </w:tc>
        <w:tc>
          <w:tcPr>
            <w:tcW w:w="1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172,129</w:t>
            </w:r>
          </w:p>
        </w:tc>
        <w:tc>
          <w:tcPr>
            <w:tcW w:w="13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6"/>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46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13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44"/>
        </w:trPr>
        <w:tc>
          <w:tcPr>
            <w:tcW w:w="3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1,429,293</w:t>
            </w:r>
          </w:p>
        </w:tc>
        <w:tc>
          <w:tcPr>
            <w:tcW w:w="1340" w:type="dxa"/>
            <w:vAlign w:val="bottom"/>
            <w:tcBorders>
              <w:top w:val="single" w:sz="8" w:color="CCEEFF"/>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6"/>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23,404</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338,128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right="600" w:hanging="315"/>
        <w:spacing w:after="0" w:line="275"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$52 thousand as of March 31, 2025.</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4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6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1"/>
                <w:szCs w:val="11"/>
                <w:color w:val="auto"/>
              </w:rPr>
            </w:pPr>
          </w:p>
        </w:tc>
        <w:tc>
          <w:tcPr>
            <w:tcW w:w="14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1"/>
                <w:szCs w:val="11"/>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Defaulted</w:t>
            </w:r>
          </w:p>
        </w:tc>
        <w:tc>
          <w:tcPr>
            <w:tcW w:w="120" w:type="dxa"/>
            <w:vAlign w:val="bottom"/>
          </w:tcPr>
          <w:p>
            <w:pPr>
              <w:spacing w:after="0"/>
              <w:rPr>
                <w:sz w:val="11"/>
                <w:szCs w:val="11"/>
                <w:color w:val="auto"/>
              </w:rPr>
            </w:pPr>
          </w:p>
        </w:tc>
        <w:tc>
          <w:tcPr>
            <w:tcW w:w="12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Reserves as a</w:t>
            </w:r>
          </w:p>
        </w:tc>
        <w:tc>
          <w:tcPr>
            <w:tcW w:w="0" w:type="dxa"/>
            <w:vAlign w:val="bottom"/>
          </w:tcPr>
          <w:p>
            <w:pPr>
              <w:spacing w:after="0"/>
              <w:rPr>
                <w:sz w:val="1"/>
                <w:szCs w:val="1"/>
                <w:color w:val="auto"/>
              </w:rPr>
            </w:pPr>
          </w:p>
        </w:tc>
      </w:tr>
      <w:tr>
        <w:trPr>
          <w:trHeight w:val="144"/>
        </w:trPr>
        <w:tc>
          <w:tcPr>
            <w:tcW w:w="3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4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4"/>
        </w:trPr>
        <w:tc>
          <w:tcPr>
            <w:tcW w:w="3480" w:type="dxa"/>
            <w:vAlign w:val="bottom"/>
            <w:gridSpan w:val="3"/>
            <w:vMerge w:val="continue"/>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60" w:type="dxa"/>
            <w:vAlign w:val="bottom"/>
          </w:tcPr>
          <w:p>
            <w:pPr>
              <w:spacing w:after="0"/>
              <w:rPr>
                <w:sz w:val="16"/>
                <w:szCs w:val="16"/>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8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RIF</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Defaulted RIF</w:t>
            </w:r>
          </w:p>
        </w:tc>
        <w:tc>
          <w:tcPr>
            <w:tcW w:w="0" w:type="dxa"/>
            <w:vAlign w:val="bottom"/>
          </w:tcPr>
          <w:p>
            <w:pPr>
              <w:spacing w:after="0"/>
              <w:rPr>
                <w:sz w:val="1"/>
                <w:szCs w:val="1"/>
                <w:color w:val="auto"/>
              </w:rPr>
            </w:pPr>
          </w:p>
        </w:tc>
      </w:tr>
      <w:tr>
        <w:trPr>
          <w:trHeight w:val="225"/>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Missed payments: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Two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333,652</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26"/>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Three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148,499</w:t>
            </w:r>
          </w:p>
        </w:tc>
        <w:tc>
          <w:tcPr>
            <w:tcW w:w="13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26"/>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 to eleven payments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104,123</w:t>
            </w:r>
          </w:p>
        </w:tc>
        <w:tc>
          <w:tcPr>
            <w:tcW w:w="146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426,513</w:t>
            </w:r>
          </w:p>
        </w:tc>
        <w:tc>
          <w:tcPr>
            <w:tcW w:w="13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26"/>
        </w:trPr>
        <w:tc>
          <w:tcPr>
            <w:tcW w:w="3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Twelve or more payments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80,025</w:t>
            </w:r>
          </w:p>
        </w:tc>
        <w:tc>
          <w:tcPr>
            <w:tcW w:w="1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130,816</w:t>
            </w:r>
          </w:p>
        </w:tc>
        <w:tc>
          <w:tcPr>
            <w:tcW w:w="1340" w:type="dxa"/>
            <w:vAlign w:val="bottom"/>
            <w:gridSpan w:val="2"/>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61</w:t>
            </w:r>
          </w:p>
        </w:tc>
        <w:tc>
          <w:tcPr>
            <w:tcW w:w="0" w:type="dxa"/>
            <w:vAlign w:val="bottom"/>
          </w:tcPr>
          <w:p>
            <w:pPr>
              <w:spacing w:after="0"/>
              <w:rPr>
                <w:sz w:val="1"/>
                <w:szCs w:val="1"/>
                <w:color w:val="auto"/>
              </w:rPr>
            </w:pPr>
          </w:p>
        </w:tc>
      </w:tr>
      <w:tr>
        <w:trPr>
          <w:trHeight w:val="226"/>
        </w:trPr>
        <w:tc>
          <w:tcPr>
            <w:tcW w:w="3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Pending claims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46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13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color w:val="auto"/>
                <w:w w:val="99"/>
              </w:rPr>
              <w:t>88</w:t>
            </w:r>
          </w:p>
        </w:tc>
        <w:tc>
          <w:tcPr>
            <w:tcW w:w="0" w:type="dxa"/>
            <w:vAlign w:val="bottom"/>
          </w:tcPr>
          <w:p>
            <w:pPr>
              <w:spacing w:after="0"/>
              <w:rPr>
                <w:sz w:val="1"/>
                <w:szCs w:val="1"/>
                <w:color w:val="auto"/>
              </w:rPr>
            </w:pPr>
          </w:p>
        </w:tc>
      </w:tr>
      <w:tr>
        <w:trPr>
          <w:trHeight w:val="244"/>
        </w:trPr>
        <w:tc>
          <w:tcPr>
            <w:tcW w:w="34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Total case reserves </w:t>
            </w:r>
            <w:r>
              <w:rPr>
                <w:rFonts w:ascii="Times New Roman" w:cs="Times New Roman" w:eastAsia="Times New Roman" w:hAnsi="Times New Roman"/>
                <w:sz w:val="18"/>
                <w:szCs w:val="18"/>
                <w:b w:val="1"/>
                <w:bCs w:val="1"/>
                <w:color w:val="auto"/>
              </w:rPr>
              <w:t>(2)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1,047,831</w:t>
            </w:r>
          </w:p>
        </w:tc>
        <w:tc>
          <w:tcPr>
            <w:tcW w:w="1340" w:type="dxa"/>
            <w:vAlign w:val="bottom"/>
            <w:tcBorders>
              <w:top w:val="single" w:sz="8" w:color="CCEEFF"/>
              <w:bottom w:val="single" w:sz="8" w:color="CCEEFF"/>
            </w:tcBorders>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6"/>
              </w:rPr>
              <w:t>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IBNR</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17,541</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48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LAE</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xml:space="preserve">Total reserves for losses and LAE </w:t>
            </w:r>
            <w:r>
              <w:rPr>
                <w:rFonts w:ascii="Times New Roman" w:cs="Times New Roman" w:eastAsia="Times New Roman" w:hAnsi="Times New Roman"/>
                <w:sz w:val="18"/>
                <w:szCs w:val="18"/>
                <w:b w:val="1"/>
                <w:bCs w:val="1"/>
                <w:color w:val="auto"/>
              </w:rPr>
              <w:t>(2)</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253,565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40" w:right="600" w:hanging="315"/>
        <w:spacing w:after="0" w:line="275" w:lineRule="auto"/>
        <w:tabs>
          <w:tab w:leader="none" w:pos="6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mortgage insurance portfolio reserves exclude reserves on GSE and other risk share risk in force at Essent Re of $32 thousand as of March 31, 2024.</w:t>
      </w:r>
    </w:p>
    <w:p>
      <w:pPr>
        <w:spacing w:after="0" w:line="190" w:lineRule="exact"/>
        <w:rPr>
          <w:sz w:val="20"/>
          <w:szCs w:val="20"/>
          <w:color w:val="auto"/>
        </w:rPr>
      </w:pPr>
    </w:p>
    <w:p>
      <w:pPr>
        <w:ind w:right="60" w:firstLine="638"/>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2025, the provision for losses and LAE was a provision of $30.7 million, comprised of $48.9 million of current year losses partially offset by $18.2 million of favorable prior years’ loss development. During the three months ended March 31, 2024, the provision for losses and LAE was $9.3 million, comprised of $39.4 million of current year losses partially offset by $30.1 million of favorable prior years’ loss development. In both periods, the prior years’ loss development was the result of a re-estimation of amounts ultimately to be paid on prior year defaults in the default inventory, including the impact of previously identified defaults that cured.</w:t>
      </w:r>
    </w:p>
    <w:p>
      <w:pPr>
        <w:spacing w:after="0" w:line="211" w:lineRule="exact"/>
        <w:rPr>
          <w:sz w:val="20"/>
          <w:szCs w:val="20"/>
          <w:color w:val="auto"/>
        </w:rPr>
      </w:pPr>
    </w:p>
    <w:p>
      <w:pPr>
        <w:ind w:right="520" w:firstLine="638"/>
        <w:spacing w:after="0" w:line="275" w:lineRule="auto"/>
        <w:rPr>
          <w:sz w:val="20"/>
          <w:szCs w:val="20"/>
          <w:color w:val="auto"/>
        </w:rPr>
      </w:pPr>
      <w:r>
        <w:rPr>
          <w:rFonts w:ascii="Times New Roman" w:cs="Times New Roman" w:eastAsia="Times New Roman" w:hAnsi="Times New Roman"/>
          <w:sz w:val="18"/>
          <w:szCs w:val="18"/>
          <w:color w:val="auto"/>
        </w:rPr>
        <w:t>The following table includes additional information about our claims paid and claim severity for our U.S. mortgage insurance portfolio for the periods indicated: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0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claims paid</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of claims paid</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severity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Mortgage Insurance segment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40" w:type="dxa"/>
            <w:vAlign w:val="bottom"/>
            <w:gridSpan w:val="8"/>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r>
      <w:tr>
        <w:trPr>
          <w:trHeight w:val="24"/>
        </w:trPr>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6"/>
        </w:trPr>
        <w:tc>
          <w:tcPr>
            <w:tcW w:w="6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19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Pr>
          <w:p>
            <w:pPr>
              <w:spacing w:after="0"/>
              <w:rPr>
                <w:sz w:val="16"/>
                <w:szCs w:val="16"/>
                <w:color w:val="auto"/>
              </w:rPr>
            </w:pPr>
          </w:p>
        </w:tc>
        <w:tc>
          <w:tcPr>
            <w:tcW w:w="7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6"/>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Ceding commission</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4"/>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298</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52" w:lineRule="exact"/>
        <w:rPr>
          <w:sz w:val="20"/>
          <w:szCs w:val="20"/>
          <w:color w:val="auto"/>
        </w:rPr>
      </w:pPr>
    </w:p>
    <w:p>
      <w:pPr>
        <w:ind w:left="640" w:hanging="235"/>
        <w:spacing w:after="0" w:line="237" w:lineRule="auto"/>
        <w:tabs>
          <w:tab w:leader="none" w:pos="615"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Compensation and benefits increased during the three months ended March 31, 2025 compared to the same period in 2024 primarily due to an increase in stock based compensation expense. Compensation and benefits includes salaries, wages and bonus, stock compensation expense, benefits and payroll taxes. The first quarter of each year typically has higher compensation and benefits expense than the subsequent quarters due to payroll taxes on annual bonus payouts and vesting of nonvested stock and stock units, as well as higher stock-based compensation expense.</w:t>
      </w:r>
    </w:p>
    <w:p>
      <w:pPr>
        <w:spacing w:after="0" w:line="127" w:lineRule="exact"/>
        <w:rPr>
          <w:rFonts w:ascii="Times New Roman" w:cs="Times New Roman" w:eastAsia="Times New Roman" w:hAnsi="Times New Roman"/>
          <w:sz w:val="19"/>
          <w:szCs w:val="19"/>
          <w:color w:val="auto"/>
        </w:rPr>
      </w:pPr>
    </w:p>
    <w:p>
      <w:pPr>
        <w:ind w:left="640" w:right="280" w:hanging="23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were largely unchanged for the three months ended March 31, 2025 compared to the same period in 2024, reflecting the effective premium tax rates for each period, respectively.</w:t>
      </w:r>
    </w:p>
    <w:p>
      <w:pPr>
        <w:spacing w:after="0" w:line="83" w:lineRule="exact"/>
        <w:rPr>
          <w:rFonts w:ascii="Times New Roman" w:cs="Times New Roman" w:eastAsia="Times New Roman" w:hAnsi="Times New Roman"/>
          <w:sz w:val="18"/>
          <w:szCs w:val="18"/>
          <w:color w:val="auto"/>
        </w:rPr>
      </w:pPr>
    </w:p>
    <w:p>
      <w:pPr>
        <w:ind w:left="640" w:right="160" w:hanging="23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ceding commission during the three months ended March 31, 2025 compared to the same period in 2024 results from increases in the amount of reinsured insurance in force under our outstanding quota share arrangements.</w:t>
      </w:r>
    </w:p>
    <w:p>
      <w:pPr>
        <w:spacing w:after="0" w:line="96" w:lineRule="exact"/>
        <w:rPr>
          <w:rFonts w:ascii="Times New Roman" w:cs="Times New Roman" w:eastAsia="Times New Roman" w:hAnsi="Times New Roman"/>
          <w:sz w:val="18"/>
          <w:szCs w:val="18"/>
          <w:color w:val="auto"/>
        </w:rPr>
      </w:pPr>
    </w:p>
    <w:p>
      <w:pPr>
        <w:ind w:left="640" w:right="200" w:hanging="235"/>
        <w:spacing w:after="0" w:line="27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were largely unchanged for the three months ended March 31, 2025 compared to the same period in 2024. Other expenses include professional fees, travel, marketing, hardware, software, rent, depreciation and amortization and other facilities expenses.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Corporate &amp; Other</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8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15,284</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investment gains (losses),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other invested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23,609</w:t>
            </w:r>
          </w:p>
        </w:tc>
        <w:tc>
          <w:tcPr>
            <w:tcW w:w="0" w:type="dxa"/>
            <w:vAlign w:val="bottom"/>
          </w:tcPr>
          <w:p>
            <w:pPr>
              <w:spacing w:after="0"/>
              <w:rPr>
                <w:sz w:val="1"/>
                <w:szCs w:val="1"/>
                <w:color w:val="auto"/>
              </w:rPr>
            </w:pPr>
          </w:p>
        </w:tc>
      </w:t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Losses and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losses and LAE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6"/>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and 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before allocations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45,051</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Corporate expense allocations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(11,618)</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losses and expenses after allocations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0" w:type="dxa"/>
            <w:vAlign w:val="bottom"/>
          </w:tcPr>
          <w:p>
            <w:pPr>
              <w:spacing w:after="0"/>
              <w:rPr>
                <w:sz w:val="1"/>
                <w:szCs w:val="1"/>
                <w:color w:val="auto"/>
              </w:rPr>
            </w:pPr>
          </w:p>
        </w:tc>
      </w:tr>
      <w:tr>
        <w:trPr>
          <w:trHeight w:val="21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p>
      <w:pPr>
        <w:spacing w:after="0" w:line="142" w:lineRule="exact"/>
        <w:rPr>
          <w:sz w:val="20"/>
          <w:szCs w:val="20"/>
          <w:color w:val="auto"/>
        </w:rPr>
      </w:pPr>
    </w:p>
    <w:p>
      <w:pPr>
        <w:ind w:right="20" w:firstLine="398"/>
        <w:spacing w:after="0" w:line="260" w:lineRule="auto"/>
        <w:rPr>
          <w:sz w:val="20"/>
          <w:szCs w:val="20"/>
          <w:color w:val="auto"/>
        </w:rPr>
      </w:pPr>
      <w:r>
        <w:rPr>
          <w:rFonts w:ascii="Times New Roman" w:cs="Times New Roman" w:eastAsia="Times New Roman" w:hAnsi="Times New Roman"/>
          <w:sz w:val="18"/>
          <w:szCs w:val="18"/>
          <w:color w:val="auto"/>
        </w:rPr>
        <w:t>Net premiums earned reported in Corporate &amp; Other relate to premiums earned by our title insurance operations. The decrease in net premiums earned in the three months ended March 31, 2025 compared to the three months ended March 31, 2024 is primarily due to a decrease in title insurance policies issued in 2025.</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Losses &amp; LAE</w:t>
      </w:r>
    </w:p>
    <w:p>
      <w:pPr>
        <w:spacing w:after="0" w:line="156" w:lineRule="exact"/>
        <w:rPr>
          <w:sz w:val="20"/>
          <w:szCs w:val="20"/>
          <w:color w:val="auto"/>
        </w:rPr>
      </w:pPr>
    </w:p>
    <w:p>
      <w:pPr>
        <w:ind w:right="260" w:firstLine="398"/>
        <w:spacing w:after="0" w:line="255" w:lineRule="auto"/>
        <w:rPr>
          <w:sz w:val="20"/>
          <w:szCs w:val="20"/>
          <w:color w:val="auto"/>
        </w:rPr>
      </w:pPr>
      <w:r>
        <w:rPr>
          <w:rFonts w:ascii="Times New Roman" w:cs="Times New Roman" w:eastAsia="Times New Roman" w:hAnsi="Times New Roman"/>
          <w:sz w:val="18"/>
          <w:szCs w:val="18"/>
          <w:color w:val="auto"/>
        </w:rPr>
        <w:t>The provision for losses reported in Corporate &amp; Other relates to loss provisions recorded by our title insurance operations. The decrease in the provision for losses in the three months ended March 31, 2025 compared to the three months ended March 31, 2024 is primarily due to a decrease in title insurance policies issued in 2025, partially offset by the impact of recent industry experience and trends. Title insurance reserves as of March 31, 2025 and December 31, 2024 were $18.4 million and 18.7 million, respectively.</w:t>
      </w:r>
    </w:p>
    <w:p>
      <w:pPr>
        <w:spacing w:after="0" w:line="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and Operating Expenses</w:t>
      </w:r>
    </w:p>
    <w:p>
      <w:pPr>
        <w:spacing w:after="0" w:line="1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Following are the components of other underwriting and operating expenses for the Corporate &amp; Other category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1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16"/>
                <w:szCs w:val="16"/>
                <w:color w:val="auto"/>
              </w:rPr>
            </w:pPr>
          </w:p>
        </w:tc>
      </w:tr>
      <w:tr>
        <w:trPr>
          <w:trHeight w:val="24"/>
        </w:trPr>
        <w:tc>
          <w:tcPr>
            <w:tcW w:w="7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6"/>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6"/>
                <w:szCs w:val="16"/>
                <w:color w:val="auto"/>
              </w:rPr>
            </w:pPr>
          </w:p>
        </w:tc>
      </w:tr>
      <w:tr>
        <w:trPr>
          <w:trHeight w:val="19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16"/>
                <w:szCs w:val="16"/>
                <w:color w:val="auto"/>
              </w:rPr>
            </w:pPr>
          </w:p>
        </w:tc>
        <w:tc>
          <w:tcPr>
            <w:tcW w:w="7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6"/>
        </w:trPr>
        <w:tc>
          <w:tcPr>
            <w:tcW w:w="7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6"/>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 taxes</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underwriting and operating expenses</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2"/>
        </w:trPr>
        <w:tc>
          <w:tcPr>
            <w:tcW w:w="7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2"/>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number of employees during the period</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significant factors contributing to the change in other underwriting and operating expenses are:</w:t>
      </w:r>
    </w:p>
    <w:p>
      <w:pPr>
        <w:spacing w:after="0" w:line="152" w:lineRule="exact"/>
        <w:rPr>
          <w:sz w:val="20"/>
          <w:szCs w:val="20"/>
          <w:color w:val="auto"/>
        </w:rPr>
      </w:pPr>
    </w:p>
    <w:p>
      <w:pPr>
        <w:ind w:left="640" w:right="120" w:hanging="235"/>
        <w:spacing w:after="0" w:line="25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increased in the three months ended March 31, 2025 compared to the same period in 2024 primarily due to increases in headcount and stock based compensation expense. Compensation and benefits includes salaries, wages and bonus, stock compensation expense, benefits and payroll taxes. The first quarter of each year typically has higher compensation and benefits expense than the subsequent quarters due to payroll taxes on annual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bonus payouts and vesting of nonvested stock and stock units, as well as higher stock-based compensation expense.</w:t>
      </w:r>
    </w:p>
    <w:p>
      <w:pPr>
        <w:spacing w:after="0" w:line="138" w:lineRule="exact"/>
        <w:rPr>
          <w:sz w:val="20"/>
          <w:szCs w:val="20"/>
          <w:color w:val="auto"/>
        </w:rPr>
      </w:pPr>
    </w:p>
    <w:p>
      <w:pPr>
        <w:ind w:left="640" w:right="200" w:hanging="23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 taxes increased during the three months ended March 31, 2025 compared to the same period in 2024 primarily due to $1.0 million of net expense associated with prior year premium tax returns.</w:t>
      </w:r>
    </w:p>
    <w:p>
      <w:pPr>
        <w:spacing w:after="0" w:line="96" w:lineRule="exact"/>
        <w:rPr>
          <w:rFonts w:ascii="Times New Roman" w:cs="Times New Roman" w:eastAsia="Times New Roman" w:hAnsi="Times New Roman"/>
          <w:sz w:val="18"/>
          <w:szCs w:val="18"/>
          <w:color w:val="auto"/>
        </w:rPr>
      </w:pPr>
    </w:p>
    <w:p>
      <w:pPr>
        <w:ind w:left="640" w:right="20" w:hanging="235"/>
        <w:spacing w:after="0" w:line="253"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title and settlement services direct cost, professional fees, travel, marketing, hardware, software, rent, depreciation and amortization and other facilities expenses. Other expenses also includes premiums retained by agents which represents the portion of title insurance premiums retained by our third-party agents pursuant to the terms of their respective agency contracts. Other expenses decreased in the three months ended March 31, 2025 compared to the same period in 2024 primarily due to decreases in title and settlement services direct cost and premiums retained by agents due to a decrease in title insurance policies issued 2025, partially offset by an increase in professional fees.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sources of funds consist primarily of:</w:t>
      </w:r>
    </w:p>
    <w:p>
      <w:pPr>
        <w:spacing w:after="0" w:line="218"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and interest income on the portfolio;</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that we will receive from our existing IIF as well as policies that we write in the future;</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our Revolving Credit Facility; and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capital shares.</w:t>
      </w:r>
    </w:p>
    <w:p>
      <w:pPr>
        <w:spacing w:after="0" w:line="218"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consist primarily of:</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payments under our policies;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and repayment of borrowings under our Senior Notes and Revolving Credit Facility;</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costs and operating expenses of our business;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common shares under the share repurchase plan approved by our Board of Directors; and</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shares.</w:t>
      </w:r>
    </w:p>
    <w:p>
      <w:pPr>
        <w:spacing w:after="0" w:line="218" w:lineRule="exact"/>
        <w:rPr>
          <w:sz w:val="20"/>
          <w:szCs w:val="20"/>
          <w:color w:val="auto"/>
        </w:rPr>
      </w:pPr>
    </w:p>
    <w:p>
      <w:pPr>
        <w:ind w:right="140" w:firstLine="638"/>
        <w:spacing w:after="0" w:line="253" w:lineRule="auto"/>
        <w:rPr>
          <w:sz w:val="20"/>
          <w:szCs w:val="20"/>
          <w:color w:val="auto"/>
        </w:rPr>
      </w:pPr>
      <w:r>
        <w:rPr>
          <w:rFonts w:ascii="Times New Roman" w:cs="Times New Roman" w:eastAsia="Times New Roman" w:hAnsi="Times New Roman"/>
          <w:sz w:val="18"/>
          <w:szCs w:val="18"/>
          <w:color w:val="auto"/>
        </w:rPr>
        <w:t>As of March 31, 2025, we had substantial liquidity with cash of $208.1 million, short-term investments of $537.0 million and fixed maturity investments of $5.3 billion. We also had $500 million available capacity under our Revolving Credit Facility. Holding company net cash and investments available for sale totaled $1.0 billion at March 31, 2025.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March 31, 2025.</w:t>
      </w:r>
    </w:p>
    <w:p>
      <w:pPr>
        <w:spacing w:after="0" w:line="211" w:lineRule="exact"/>
        <w:rPr>
          <w:sz w:val="20"/>
          <w:szCs w:val="20"/>
          <w:color w:val="auto"/>
        </w:rPr>
      </w:pPr>
    </w:p>
    <w:p>
      <w:pPr>
        <w:ind w:firstLine="638"/>
        <w:spacing w:after="0" w:line="252" w:lineRule="auto"/>
        <w:rPr>
          <w:sz w:val="20"/>
          <w:szCs w:val="20"/>
          <w:color w:val="auto"/>
        </w:rPr>
      </w:pPr>
      <w:r>
        <w:rPr>
          <w:rFonts w:ascii="Times New Roman" w:cs="Times New Roman" w:eastAsia="Times New Roman" w:hAnsi="Times New Roman"/>
          <w:sz w:val="18"/>
          <w:szCs w:val="18"/>
          <w:color w:val="auto"/>
        </w:rPr>
        <w:t>On July 1, 2024, we completed an underwritten public offering of $500 million of 6.25% Senior Notes due in 2029. The Company used the net proceeds from the sale of the Senior Notes to repay the $425 million of borrowings outstanding under the term loan portion of the Existing Credit Facility and intends to use the remaining net proceeds for general corporate purposes. On July 1, 2024, concurrently with the closing of the offering of the Senior Notes and the repayment of all of the borrowings outstanding under the term loan portion of the Existing Credit Facility, the Fourth Amended and Restated Credit Agreement (the “Revolving Credit Agreement”) became effective and amends and restates the Existing Credit Facility. The Revolving Credit Agreement provides for an effective increase in the Company’s revolving credit facility borrowing capacity from $400 million to $500 million.</w:t>
      </w:r>
    </w:p>
    <w:p>
      <w:pPr>
        <w:spacing w:after="0" w:line="210" w:lineRule="exact"/>
        <w:rPr>
          <w:sz w:val="20"/>
          <w:szCs w:val="20"/>
          <w:color w:val="auto"/>
        </w:rPr>
      </w:pPr>
    </w:p>
    <w:p>
      <w:pPr>
        <w:ind w:right="420" w:firstLine="638"/>
        <w:spacing w:after="0" w:line="275" w:lineRule="auto"/>
        <w:rPr>
          <w:sz w:val="20"/>
          <w:szCs w:val="20"/>
          <w:color w:val="auto"/>
        </w:rPr>
      </w:pPr>
      <w:r>
        <w:rPr>
          <w:rFonts w:ascii="Times New Roman" w:cs="Times New Roman" w:eastAsia="Times New Roman" w:hAnsi="Times New Roman"/>
          <w:sz w:val="18"/>
          <w:szCs w:val="18"/>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right="80" w:firstLine="638"/>
        <w:spacing w:after="0" w:line="236" w:lineRule="auto"/>
        <w:rPr>
          <w:sz w:val="20"/>
          <w:szCs w:val="20"/>
          <w:color w:val="auto"/>
        </w:rPr>
      </w:pPr>
      <w:r>
        <w:rPr>
          <w:rFonts w:ascii="Times New Roman" w:cs="Times New Roman" w:eastAsia="Times New Roman" w:hAnsi="Times New Roman"/>
          <w:sz w:val="18"/>
          <w:szCs w:val="18"/>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 the operating subsidiary level, liquidity could be impacted by any one of the following factors:</w:t>
      </w:r>
    </w:p>
    <w:p>
      <w:pPr>
        <w:spacing w:after="0" w:line="218"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the value of our investments;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sell investment assets to provide cash to fund operating needs;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expected revenues generated from operations;</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expected claim payments related to our IIF; or</w:t>
      </w:r>
    </w:p>
    <w:p>
      <w:pPr>
        <w:spacing w:after="0" w:line="24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operating expenses.</w:t>
      </w:r>
    </w:p>
    <w:p>
      <w:pPr>
        <w:spacing w:after="0" w:line="152" w:lineRule="exact"/>
        <w:rPr>
          <w:sz w:val="20"/>
          <w:szCs w:val="20"/>
          <w:color w:val="auto"/>
        </w:rPr>
      </w:pPr>
    </w:p>
    <w:p>
      <w:pPr>
        <w:ind w:firstLine="398"/>
        <w:spacing w:after="0" w:line="269" w:lineRule="auto"/>
        <w:rPr>
          <w:sz w:val="20"/>
          <w:szCs w:val="20"/>
          <w:color w:val="auto"/>
        </w:rPr>
      </w:pPr>
      <w:r>
        <w:rPr>
          <w:rFonts w:ascii="Times New Roman" w:cs="Times New Roman" w:eastAsia="Times New Roman" w:hAnsi="Times New Roman"/>
          <w:sz w:val="17"/>
          <w:szCs w:val="17"/>
          <w:color w:val="auto"/>
        </w:rPr>
        <w:t>Our U.S. insurance subsidiaries are subject to certain capital and dividend rules and regulations prescribed by jurisdictions in which they are authorized to operate and, in the case of Essent Guaranty,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without the prior approval of the Pennsylvania Insurance Department, dividends and other distributions may only be paid out of positive unassigned surplus. At March 31, 2025, Essent Guaranty had unassigned surplus of approximately $405.4 million. As of March 31, 2025, Essent Guaranty could pay additional ordinary dividends in 2025 of $405.4 million.</w:t>
      </w:r>
    </w:p>
    <w:p>
      <w:pPr>
        <w:spacing w:after="0" w:line="106" w:lineRule="exact"/>
        <w:rPr>
          <w:sz w:val="20"/>
          <w:szCs w:val="20"/>
          <w:color w:val="auto"/>
        </w:rPr>
      </w:pPr>
    </w:p>
    <w:p>
      <w:pPr>
        <w:ind w:right="40" w:firstLine="398"/>
        <w:spacing w:after="0" w:line="251" w:lineRule="auto"/>
        <w:rPr>
          <w:sz w:val="20"/>
          <w:szCs w:val="20"/>
          <w:color w:val="auto"/>
        </w:rPr>
      </w:pPr>
      <w:r>
        <w:rPr>
          <w:rFonts w:ascii="Times New Roman" w:cs="Times New Roman" w:eastAsia="Times New Roman" w:hAnsi="Times New Roman"/>
          <w:sz w:val="18"/>
          <w:szCs w:val="18"/>
          <w:color w:val="auto"/>
        </w:rPr>
        <w:t>Essent Re is subject to certain dividend restrictions as prescribed by the Bermuda Monetary Authority and under certain agreements with counterparties. Class 3B insurers must obtain the BMA's prior approval for a reduction by 15% or more of total statutory capital or for a reduction by 25% or more of total statutory capital and surplus as set forth in its previous year's statutory financial statements. In connection with a quota share reinsurance agreement with Essent Guaranty, Essent Re has agreed to maintain a minimum total equity of $100 million. As of March 31, 2025, Essent Re had total equity of $1.8 billion. In connection with its insurance and reinsurance activities, Essent Re is required to maintain assets in trusts for the benefit of its contractual counterparties. See Note 3 to our condensed consolidated financial statements. As of March 31, 2025, Essent Re could pay additional dividends in 2025 of $341.9 million without prior approval from the BMA.</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 March 31, 2025, our insurance subsidiaries were in compliance with these rules, regulations and agreements.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0" w:type="dxa"/>
            <w:vAlign w:val="bottom"/>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7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6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216,935</w:t>
            </w:r>
          </w:p>
        </w:tc>
        <w:tc>
          <w:tcPr>
            <w:tcW w:w="0" w:type="dxa"/>
            <w:vAlign w:val="bottom"/>
          </w:tcPr>
          <w:p>
            <w:pPr>
              <w:spacing w:after="0"/>
              <w:rPr>
                <w:sz w:val="1"/>
                <w:szCs w:val="1"/>
                <w:color w:val="auto"/>
              </w:rPr>
            </w:pPr>
          </w:p>
        </w:tc>
      </w:tr>
      <w:tr>
        <w:trPr>
          <w:trHeight w:val="226"/>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(151,298)</w:t>
            </w:r>
          </w:p>
        </w:tc>
        <w:tc>
          <w:tcPr>
            <w:tcW w:w="0" w:type="dxa"/>
            <w:vAlign w:val="bottom"/>
          </w:tcPr>
          <w:p>
            <w:pPr>
              <w:spacing w:after="0"/>
              <w:rPr>
                <w:sz w:val="1"/>
                <w:szCs w:val="1"/>
                <w:color w:val="auto"/>
              </w:rPr>
            </w:pPr>
          </w:p>
        </w:tc>
      </w:tr>
      <w:tr>
        <w:trPr>
          <w:trHeight w:val="226"/>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w:t>
            </w:r>
          </w:p>
        </w:tc>
        <w:tc>
          <w:tcPr>
            <w:tcW w:w="0" w:type="dxa"/>
            <w:vAlign w:val="bottom"/>
          </w:tcPr>
          <w:p>
            <w:pPr>
              <w:spacing w:after="0"/>
              <w:rPr>
                <w:sz w:val="1"/>
                <w:szCs w:val="1"/>
                <w:color w:val="auto"/>
              </w:rPr>
            </w:pPr>
          </w:p>
        </w:tc>
      </w:tr>
      <w:tr>
        <w:trPr>
          <w:trHeight w:val="21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76,586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2"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Cash flow provided by operating activities totaled $221.6 million for the three months ended March 31, 2025, as compared to $216.9 million for the three months ended March 31, 2024. The increase in cash flow provided by operating activities was primarily due to increases in investment income and other income partially offset by an increase in operating expenses paid in the three months ended March 31, 2025.</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2" w:lineRule="exact"/>
        <w:rPr>
          <w:sz w:val="20"/>
          <w:szCs w:val="20"/>
          <w:color w:val="auto"/>
        </w:rPr>
      </w:pPr>
    </w:p>
    <w:p>
      <w:pPr>
        <w:ind w:right="180" w:firstLine="638"/>
        <w:spacing w:after="0" w:line="255" w:lineRule="auto"/>
        <w:rPr>
          <w:sz w:val="20"/>
          <w:szCs w:val="20"/>
          <w:color w:val="auto"/>
        </w:rPr>
      </w:pPr>
      <w:r>
        <w:rPr>
          <w:rFonts w:ascii="Times New Roman" w:cs="Times New Roman" w:eastAsia="Times New Roman" w:hAnsi="Times New Roman"/>
          <w:sz w:val="18"/>
          <w:szCs w:val="18"/>
          <w:color w:val="auto"/>
        </w:rPr>
        <w:t>Cash flows provided by investing activities totaled $55.5 million for the three months ended March 31, 2025 compared to $151.3 million used in investing activities for the three months ended March 31, 2024. Cash flows provided by investing activities in the three months ended March 31, 2025 were the result of maintaining higher cash balances to fund future financing activities. In the three months ended March 31, 2024 cash flow used in investing activities relates primarily to investing cash flows from operations.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2" w:lineRule="exact"/>
        <w:rPr>
          <w:sz w:val="20"/>
          <w:szCs w:val="20"/>
          <w:color w:val="auto"/>
        </w:rPr>
      </w:pPr>
    </w:p>
    <w:p>
      <w:pPr>
        <w:ind w:right="220" w:firstLine="638"/>
        <w:spacing w:after="0" w:line="260" w:lineRule="auto"/>
        <w:rPr>
          <w:sz w:val="20"/>
          <w:szCs w:val="20"/>
          <w:color w:val="auto"/>
        </w:rPr>
      </w:pPr>
      <w:r>
        <w:rPr>
          <w:rFonts w:ascii="Times New Roman" w:cs="Times New Roman" w:eastAsia="Times New Roman" w:hAnsi="Times New Roman"/>
          <w:sz w:val="18"/>
          <w:szCs w:val="18"/>
          <w:color w:val="auto"/>
        </w:rPr>
        <w:t>Cash flow used in financing activities totaled $200.5 million and $43.2 million for the three months ended March 31, 2025 and 2024, respectively, primarily related to the quarterly cash dividends paid, repurchases of common stock under our share repurchase plans and treasury stock acquired from employees to satisfy tax withholding obligations.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Insurance Company Capital</w:t>
      </w:r>
    </w:p>
    <w:p>
      <w:pPr>
        <w:spacing w:after="0" w:line="222" w:lineRule="exact"/>
        <w:rPr>
          <w:sz w:val="20"/>
          <w:szCs w:val="20"/>
          <w:color w:val="auto"/>
        </w:rPr>
      </w:pPr>
    </w:p>
    <w:p>
      <w:pPr>
        <w:ind w:right="20" w:firstLine="638"/>
        <w:spacing w:after="0" w:line="250" w:lineRule="auto"/>
        <w:rPr>
          <w:sz w:val="20"/>
          <w:szCs w:val="20"/>
          <w:color w:val="auto"/>
        </w:rPr>
      </w:pPr>
      <w:r>
        <w:rPr>
          <w:rFonts w:ascii="Times New Roman" w:cs="Times New Roman" w:eastAsia="Times New Roman" w:hAnsi="Times New Roman"/>
          <w:sz w:val="18"/>
          <w:szCs w:val="18"/>
          <w:color w:val="auto"/>
        </w:rPr>
        <w:t>We compute a risk-to-capital ratio for our U.S. mortgage insurance companies on a separate company statutory basis, as well as for our combined mortgage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14" w:lineRule="exact"/>
        <w:rPr>
          <w:sz w:val="20"/>
          <w:szCs w:val="20"/>
          <w:color w:val="auto"/>
        </w:rPr>
      </w:pPr>
    </w:p>
    <w:p>
      <w:pPr>
        <w:jc w:val="both"/>
        <w:ind w:firstLine="638"/>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2025 and 2024, no capital contributions were made to our U.S. mortgage insurance subsidiaries and Essent Guaranty paid dividends to Essent US Holdings, Inc. of $65 million and $45 million, respectively. During the three months ended March 31, 2025, and 2024, no capital contributions were made to Essent Title Insurance.</w:t>
      </w:r>
    </w:p>
    <w:p>
      <w:pPr>
        <w:spacing w:after="0" w:line="204" w:lineRule="exact"/>
        <w:rPr>
          <w:sz w:val="20"/>
          <w:szCs w:val="20"/>
          <w:color w:val="auto"/>
        </w:rPr>
      </w:pPr>
    </w:p>
    <w:p>
      <w:pPr>
        <w:ind w:right="160" w:firstLine="638"/>
        <w:spacing w:after="0" w:line="253" w:lineRule="auto"/>
        <w:rPr>
          <w:sz w:val="20"/>
          <w:szCs w:val="20"/>
          <w:color w:val="auto"/>
        </w:rPr>
      </w:pPr>
      <w:r>
        <w:rPr>
          <w:rFonts w:ascii="Times New Roman" w:cs="Times New Roman" w:eastAsia="Times New Roman" w:hAnsi="Times New Roman"/>
          <w:sz w:val="18"/>
          <w:szCs w:val="18"/>
          <w:color w:val="auto"/>
        </w:rPr>
        <w:t>Prior to December 31, 2024, Essent Guaranty reinsured that portion of the risk that is in excess of 25% of the mortgage balance with respect to any loan insured prior to April 1, 2019, after consideration of other reinsurance, to Essent Guaranty of PA, Inc. On December 31, 2024, Essent Guaranty and Essent PA entered into a commutation and release agreement in which all outstanding risk in force assumed by Essent PA was commuted back to Essent Guaranty in exchange for cash. Upon the commutation and release, Essent PA surrendered its insurance license and is no longer an insurance subsidiary of Essent Group Ltd. as of December 31, 2024.</w:t>
      </w:r>
    </w:p>
    <w:p>
      <w:pPr>
        <w:spacing w:after="0" w:line="197" w:lineRule="exact"/>
        <w:rPr>
          <w:sz w:val="20"/>
          <w:szCs w:val="20"/>
          <w:color w:val="auto"/>
        </w:rPr>
      </w:pPr>
    </w:p>
    <w:p>
      <w:pPr>
        <w:ind w:right="240" w:firstLine="177"/>
        <w:spacing w:after="0" w:line="238" w:lineRule="auto"/>
        <w:rPr>
          <w:sz w:val="20"/>
          <w:szCs w:val="20"/>
          <w:color w:val="auto"/>
        </w:rPr>
      </w:pPr>
      <w:r>
        <w:rPr>
          <w:rFonts w:ascii="Times New Roman" w:cs="Times New Roman" w:eastAsia="Times New Roman" w:hAnsi="Times New Roman"/>
          <w:sz w:val="18"/>
          <w:szCs w:val="18"/>
          <w:color w:val="auto"/>
        </w:rPr>
        <w:t>Essent Guaranty has entered into reinsurance agreements that provide excess of loss reinsurance coverage for new defaults on portfolios of mortgage insurance policies issued from January 1, 2018 through August 31, 2019 and August 1, 2020 through December 31, 2024. The aggregate excess of loss reinsurance coverages decrease over a ten-year period as the underlying covered mortgages amortize. In April 2025, Essent entered into two excess of loss transactions with a panel of highly rated third-party reinsurers covering 20% of all eligible policies written by Essent Guaranty, Inc. in calendar years 2025 and 2026.</w:t>
      </w:r>
    </w:p>
    <w:p>
      <w:pPr>
        <w:spacing w:after="0" w:line="222" w:lineRule="exact"/>
        <w:rPr>
          <w:sz w:val="20"/>
          <w:szCs w:val="20"/>
          <w:color w:val="auto"/>
        </w:rPr>
      </w:pPr>
    </w:p>
    <w:p>
      <w:pPr>
        <w:ind w:right="40" w:firstLine="638"/>
        <w:spacing w:after="0" w:line="275" w:lineRule="auto"/>
        <w:rPr>
          <w:sz w:val="20"/>
          <w:szCs w:val="20"/>
          <w:color w:val="auto"/>
        </w:rPr>
      </w:pPr>
      <w:r>
        <w:rPr>
          <w:rFonts w:ascii="Times New Roman" w:cs="Times New Roman" w:eastAsia="Times New Roman" w:hAnsi="Times New Roman"/>
          <w:sz w:val="17"/>
          <w:szCs w:val="17"/>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claims. These reinsurance coverages also reduces net risk in force and PMIERs Minimum Required Assets. See Note 4 to our condensed consolidated financial statements.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Essent Guaranty's quota share reinsurance agreements as of March 31, 2025: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QSR Agreement</w:t>
            </w:r>
          </w:p>
        </w:tc>
        <w:tc>
          <w:tcPr>
            <w:tcW w:w="7280" w:type="dxa"/>
            <w:vAlign w:val="bottom"/>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Coverage Period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Ceding Percenta</w:t>
            </w:r>
          </w:p>
        </w:tc>
        <w:tc>
          <w:tcPr>
            <w:tcW w:w="0" w:type="dxa"/>
            <w:vAlign w:val="bottom"/>
          </w:tcPr>
          <w:p>
            <w:pPr>
              <w:spacing w:after="0"/>
              <w:rPr>
                <w:sz w:val="1"/>
                <w:szCs w:val="1"/>
                <w:color w:val="auto"/>
              </w:rPr>
            </w:pPr>
          </w:p>
        </w:tc>
      </w:tr>
      <w:tr>
        <w:trPr>
          <w:trHeight w:val="24"/>
        </w:trPr>
        <w:tc>
          <w:tcPr>
            <w:tcW w:w="4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QSR-2019</w:t>
            </w:r>
          </w:p>
        </w:tc>
        <w:tc>
          <w:tcPr>
            <w:tcW w:w="100" w:type="dxa"/>
            <w:vAlign w:val="bottom"/>
            <w:shd w:val="clear" w:color="auto" w:fill="CCEEFF"/>
          </w:tcPr>
          <w:p>
            <w:pPr>
              <w:spacing w:after="0"/>
              <w:rPr>
                <w:sz w:val="19"/>
                <w:szCs w:val="19"/>
                <w:color w:val="auto"/>
              </w:rPr>
            </w:pPr>
          </w:p>
        </w:tc>
        <w:tc>
          <w:tcPr>
            <w:tcW w:w="728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7"/>
              </w:rPr>
              <w:t>September 1, 2019 - December 31, 2020</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QSR-2022</w:t>
            </w:r>
          </w:p>
        </w:tc>
        <w:tc>
          <w:tcPr>
            <w:tcW w:w="72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8"/>
              </w:rPr>
              <w:t>January 1, 2022 - December 31, 2022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QSR-2023</w:t>
            </w:r>
          </w:p>
        </w:tc>
        <w:tc>
          <w:tcPr>
            <w:tcW w:w="728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8"/>
              </w:rPr>
              <w:t>January 1, 2023 - December 31, 2023</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8"/>
              </w:rPr>
              <w:t>17.5%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QSR-2024</w:t>
            </w:r>
          </w:p>
        </w:tc>
        <w:tc>
          <w:tcPr>
            <w:tcW w:w="72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8"/>
              </w:rPr>
              <w:t>January 1, 2024 - December 31, 2024</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QSR-2025</w:t>
            </w:r>
          </w:p>
        </w:tc>
        <w:tc>
          <w:tcPr>
            <w:tcW w:w="728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8"/>
              </w:rPr>
              <w:t>January 1, 2025 - December 31, 2025</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QSR-2026</w:t>
            </w:r>
          </w:p>
        </w:tc>
        <w:tc>
          <w:tcPr>
            <w:tcW w:w="7280" w:type="dxa"/>
            <w:vAlign w:val="bottom"/>
          </w:tcPr>
          <w:p>
            <w:pPr>
              <w:jc w:val="center"/>
              <w:ind w:left="654"/>
              <w:spacing w:after="0"/>
              <w:rPr>
                <w:sz w:val="20"/>
                <w:szCs w:val="20"/>
                <w:color w:val="auto"/>
              </w:rPr>
            </w:pPr>
            <w:r>
              <w:rPr>
                <w:rFonts w:ascii="Times New Roman" w:cs="Times New Roman" w:eastAsia="Times New Roman" w:hAnsi="Times New Roman"/>
                <w:sz w:val="18"/>
                <w:szCs w:val="18"/>
                <w:color w:val="auto"/>
                <w:w w:val="98"/>
              </w:rPr>
              <w:t>January 1, 2026 - December 31, 2026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48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94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(1) Under QSR-2019, Essent Guaranty cedes 40% of premiums on singles policies and 20% on all other policies.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0" w:type="dxa"/>
            <w:vAlign w:val="bottom"/>
          </w:tcPr>
          <w:p>
            <w:pPr>
              <w:spacing w:after="0"/>
              <w:rPr>
                <w:sz w:val="24"/>
                <w:szCs w:val="24"/>
                <w:color w:val="auto"/>
              </w:rPr>
            </w:pPr>
          </w:p>
        </w:tc>
        <w:tc>
          <w:tcPr>
            <w:tcW w:w="9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risk-to-capital calculation for Essent Guaranty as of March 31, 2025 was as follows: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w:t>
            </w:r>
          </w:p>
        </w:tc>
        <w:tc>
          <w:tcPr>
            <w:tcW w:w="7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Policyholders’ surplus</w:t>
            </w:r>
          </w:p>
        </w:tc>
        <w:tc>
          <w:tcPr>
            <w:tcW w:w="7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Contingency reserves</w:t>
            </w:r>
          </w:p>
        </w:tc>
        <w:tc>
          <w:tcPr>
            <w:tcW w:w="72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capital</w:t>
            </w:r>
          </w:p>
        </w:tc>
        <w:tc>
          <w:tcPr>
            <w:tcW w:w="7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risk in force</w:t>
            </w:r>
          </w:p>
        </w:tc>
        <w:tc>
          <w:tcPr>
            <w:tcW w:w="7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00" w:type="dxa"/>
            <w:vAlign w:val="bottom"/>
            <w:tcBorders>
              <w:bottom w:val="single" w:sz="8" w:color="CCEEFF"/>
            </w:tcBorders>
            <w:gridSpan w:val="3"/>
            <w:vMerge w:val="continue"/>
          </w:tcPr>
          <w:p>
            <w:pPr>
              <w:spacing w:after="0"/>
              <w:rPr>
                <w:sz w:val="17"/>
                <w:szCs w:val="17"/>
                <w:color w:val="auto"/>
              </w:rPr>
            </w:pPr>
          </w:p>
        </w:tc>
        <w:tc>
          <w:tcPr>
            <w:tcW w:w="72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5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34,968,089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Risk-to-capital ratio</w:t>
            </w:r>
          </w:p>
        </w:tc>
        <w:tc>
          <w:tcPr>
            <w:tcW w:w="7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right="240" w:firstLine="638"/>
        <w:spacing w:after="0" w:line="255" w:lineRule="auto"/>
        <w:rPr>
          <w:sz w:val="20"/>
          <w:szCs w:val="20"/>
          <w:color w:val="auto"/>
        </w:rPr>
      </w:pPr>
      <w:r>
        <w:rPr>
          <w:rFonts w:ascii="Times New Roman" w:cs="Times New Roman" w:eastAsia="Times New Roman" w:hAnsi="Times New Roman"/>
          <w:sz w:val="18"/>
          <w:szCs w:val="18"/>
          <w:color w:val="auto"/>
        </w:rPr>
        <w:t>For additional information regarding regulatory capital, see Note 14 to our condensed consolidated financial statements. The information above has been derived from the annual and quarterly statements of Essent Guaranty,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03" w:lineRule="exact"/>
        <w:rPr>
          <w:sz w:val="20"/>
          <w:szCs w:val="20"/>
          <w:color w:val="auto"/>
        </w:rPr>
      </w:pPr>
    </w:p>
    <w:p>
      <w:pPr>
        <w:ind w:right="160" w:firstLine="638"/>
        <w:spacing w:after="0" w:line="250" w:lineRule="auto"/>
        <w:rPr>
          <w:sz w:val="20"/>
          <w:szCs w:val="20"/>
          <w:color w:val="auto"/>
        </w:rPr>
      </w:pPr>
      <w:r>
        <w:rPr>
          <w:rFonts w:ascii="Times New Roman" w:cs="Times New Roman" w:eastAsia="Times New Roman" w:hAnsi="Times New Roman"/>
          <w:sz w:val="18"/>
          <w:szCs w:val="18"/>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In April 2025, Essent Guaranty and Essent Re agreed to increase the quota share reinsurance coverage of Essent Guaranty’s NIW provided by Essent Re to 50% effective January 1, 2025. The quota share reinsurance coverage provided by Essent Re for Essent Guaranty’s NIW prior to January 1, 2025 will continue at the quota share percentage in effect at the time NIW was first ceded. During the three months ended March 31, 2025 and 2024, Essent Re paid $100 million and $37.5 million in dividends to Essent Group, respectively. Essent Group made no capital contributions to Essent Re during the three months ended March 31, 2025 and 2024. As of March 31, 2025, Essent Re had total stockholders’ equity of $1.8 billion and net risk in force of $23.5 billion.</w:t>
      </w:r>
    </w:p>
    <w:p>
      <w:pPr>
        <w:spacing w:after="0" w:line="3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Financial Strength Ratings</w:t>
      </w:r>
    </w:p>
    <w:p>
      <w:pPr>
        <w:spacing w:after="0" w:line="222" w:lineRule="exact"/>
        <w:rPr>
          <w:sz w:val="20"/>
          <w:szCs w:val="20"/>
          <w:color w:val="auto"/>
        </w:rPr>
      </w:pPr>
    </w:p>
    <w:p>
      <w:pPr>
        <w:ind w:right="140" w:firstLine="638"/>
        <w:spacing w:after="0" w:line="260" w:lineRule="auto"/>
        <w:rPr>
          <w:sz w:val="20"/>
          <w:szCs w:val="20"/>
          <w:color w:val="auto"/>
        </w:rPr>
      </w:pPr>
      <w:r>
        <w:rPr>
          <w:rFonts w:ascii="Times New Roman" w:cs="Times New Roman" w:eastAsia="Times New Roman" w:hAnsi="Times New Roman"/>
          <w:sz w:val="18"/>
          <w:szCs w:val="18"/>
          <w:color w:val="auto"/>
        </w:rPr>
        <w:t>The insurer financial strength rating of Essent Guaranty, our principal mortgage insurance subsidiary, is rated A3 with a positive outlook by Moody’s Investors Service (“Moody's”), A- with a stable outlook by S&amp;P and A (Excellent) with stable outlook by AM Best. The insurer financial strength rating of Essent Re is A- with a stable outlook by S&amp;P and A (Excellent) with stable outlook by AM Best.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Private Mortgage Insurer Eligibility Requirements</w:t>
      </w:r>
    </w:p>
    <w:p>
      <w:pPr>
        <w:spacing w:after="0" w:line="222" w:lineRule="exact"/>
        <w:rPr>
          <w:sz w:val="20"/>
          <w:szCs w:val="20"/>
          <w:color w:val="auto"/>
        </w:rPr>
      </w:pPr>
    </w:p>
    <w:p>
      <w:pPr>
        <w:ind w:right="100" w:firstLine="638"/>
        <w:spacing w:after="0" w:line="250" w:lineRule="auto"/>
        <w:rPr>
          <w:sz w:val="20"/>
          <w:szCs w:val="20"/>
          <w:color w:val="auto"/>
        </w:rPr>
      </w:pPr>
      <w:r>
        <w:rPr>
          <w:rFonts w:ascii="Times New Roman" w:cs="Times New Roman" w:eastAsia="Times New Roman" w:hAnsi="Times New Roman"/>
          <w:sz w:val="18"/>
          <w:szCs w:val="18"/>
          <w:color w:val="auto"/>
        </w:rPr>
        <w:t>Fannie Mae and Freddie Mac, maintain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As of March 31, 2025, Essent Guaranty, our GSE-approved mortgage insurance company, was in compliance with the PMIERs. As of March 31, 2025, Essent Guaranty's Available Assets were $3.6 billion or 172% of its Minimum Required Assets of $2.1 billion based on our interpretation of the PMIERs.</w:t>
      </w:r>
    </w:p>
    <w:p>
      <w:pPr>
        <w:spacing w:after="0" w:line="360" w:lineRule="exact"/>
        <w:rPr>
          <w:sz w:val="20"/>
          <w:szCs w:val="20"/>
          <w:color w:val="auto"/>
        </w:rPr>
      </w:pPr>
    </w:p>
    <w:p>
      <w:pPr>
        <w:ind w:right="20" w:firstLine="638"/>
        <w:spacing w:after="0" w:line="272" w:lineRule="auto"/>
        <w:rPr>
          <w:sz w:val="20"/>
          <w:szCs w:val="20"/>
          <w:color w:val="auto"/>
        </w:rPr>
      </w:pPr>
      <w:r>
        <w:rPr>
          <w:rFonts w:ascii="Times New Roman" w:cs="Times New Roman" w:eastAsia="Times New Roman" w:hAnsi="Times New Roman"/>
          <w:sz w:val="17"/>
          <w:szCs w:val="17"/>
          <w:color w:val="auto"/>
        </w:rPr>
        <w:t>Under PMIERs guidance issued by the GSEs effective June 30, 2020, Essent will apply a 0.30 multiplier to the risk-based required asset amount factor for each insured loan in default backed by a property located in a FEMA Declared Major Disaster Area eligible for Individual Assistance and that either</w:t>
      </w:r>
    </w:p>
    <w:p>
      <w:pPr>
        <w:spacing w:after="0" w:line="1" w:lineRule="exact"/>
        <w:rPr>
          <w:sz w:val="20"/>
          <w:szCs w:val="20"/>
          <w:color w:val="auto"/>
        </w:rPr>
      </w:pPr>
    </w:p>
    <w:p>
      <w:pPr>
        <w:ind w:firstLine="6"/>
        <w:spacing w:after="0" w:line="246" w:lineRule="auto"/>
        <w:tabs>
          <w:tab w:leader="none" w:pos="2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18" w:lineRule="exact"/>
        <w:rPr>
          <w:sz w:val="20"/>
          <w:szCs w:val="20"/>
          <w:color w:val="auto"/>
        </w:rPr>
      </w:pPr>
    </w:p>
    <w:p>
      <w:pPr>
        <w:ind w:right="100" w:firstLine="638"/>
        <w:spacing w:after="0" w:line="269" w:lineRule="auto"/>
        <w:rPr>
          <w:sz w:val="20"/>
          <w:szCs w:val="20"/>
          <w:color w:val="auto"/>
        </w:rPr>
      </w:pPr>
      <w:r>
        <w:rPr>
          <w:rFonts w:ascii="Times New Roman" w:cs="Times New Roman" w:eastAsia="Times New Roman" w:hAnsi="Times New Roman"/>
          <w:sz w:val="17"/>
          <w:szCs w:val="17"/>
          <w:color w:val="auto"/>
        </w:rPr>
        <w:t>FHFA and the GSEs announced that effective November 1, 2023, defaulted loans will be no longer eligible for COVID forbearance plans and will follow the GSEs standard forbearance plans going forward. In August 2024, Fannie Mae and Freddie Mac, under the oversight of FHFA, issued an update to the planned sunset of the use of the 0.3x Required Asset multiplier for loans in a COVID forbearance plan. The sunset of the 0.3x Required Asset multiplier for loans in a COVID forbearance plan became effective on March 31, 2025. Also in August 2024, the GSEs issued updates to the PMIERs calculation of Available Assets. The updated PMIERs Available Asset requirements are subject to a phased-in implementation beginning with the quarter ending March 31, 2025, and will become fully effective on September 30, 2026. Essent expects to remain in full compliance with the PMIERs requirements.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2" w:lineRule="exact"/>
        <w:rPr>
          <w:sz w:val="20"/>
          <w:szCs w:val="20"/>
          <w:color w:val="auto"/>
        </w:rPr>
      </w:pPr>
    </w:p>
    <w:p>
      <w:pPr>
        <w:ind w:right="100" w:firstLine="638"/>
        <w:spacing w:after="0" w:line="260" w:lineRule="auto"/>
        <w:rPr>
          <w:sz w:val="20"/>
          <w:szCs w:val="20"/>
          <w:color w:val="auto"/>
        </w:rPr>
      </w:pPr>
      <w:r>
        <w:rPr>
          <w:rFonts w:ascii="Times New Roman" w:cs="Times New Roman" w:eastAsia="Times New Roman" w:hAnsi="Times New Roman"/>
          <w:sz w:val="18"/>
          <w:szCs w:val="18"/>
          <w:color w:val="auto"/>
        </w:rPr>
        <w:t>As of March 31, 2025, stockholders’ equity was $5.7 billion, compared to $5.6 billion as of December 31, 2024. Stockholders' equity increased primarily due to net income generated in 2025 and a decrease in accumulated other comprehensive loss related to a decrease in our net unrealized investment losses, partially offset by dividends paid and the repurchase of common shares under our share repurchase plan.</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2" w:lineRule="exact"/>
        <w:rPr>
          <w:sz w:val="20"/>
          <w:szCs w:val="20"/>
          <w:color w:val="auto"/>
        </w:rPr>
      </w:pPr>
    </w:p>
    <w:p>
      <w:pPr>
        <w:ind w:right="80" w:firstLine="638"/>
        <w:spacing w:after="0" w:line="275" w:lineRule="auto"/>
        <w:rPr>
          <w:sz w:val="20"/>
          <w:szCs w:val="20"/>
          <w:color w:val="auto"/>
        </w:rPr>
      </w:pPr>
      <w:r>
        <w:rPr>
          <w:rFonts w:ascii="Times New Roman" w:cs="Times New Roman" w:eastAsia="Times New Roman" w:hAnsi="Times New Roman"/>
          <w:sz w:val="18"/>
          <w:szCs w:val="18"/>
          <w:color w:val="auto"/>
        </w:rPr>
        <w:t>As of March 31, 2025 and December 31, 2024, investments totaled $6.2 billion. In addition, our total cash was $208.1 million as of March 31, 2025, compared to $131.5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Investments Available for Sale by Asset Class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300" w:type="dxa"/>
            <w:vAlign w:val="bottom"/>
          </w:tcPr>
          <w:p>
            <w:pPr>
              <w:spacing w:after="0"/>
              <w:rPr>
                <w:sz w:val="16"/>
                <w:szCs w:val="16"/>
                <w:color w:val="auto"/>
              </w:rPr>
            </w:pP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9"/>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4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240" w:type="dxa"/>
            <w:vAlign w:val="bottom"/>
            <w:gridSpan w:val="5"/>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6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6"/>
        </w:trPr>
        <w:tc>
          <w:tcPr>
            <w:tcW w:w="414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547,290</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6"/>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 agency mortgage-backed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1,125,436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debt securities(1)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583,501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securities(2)</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1,783,046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Residential and commercial mortgage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478,086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657,605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5,882,359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6"/>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8"/>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vMerge w:val="continue"/>
          </w:tcPr>
          <w:p>
            <w:pPr>
              <w:spacing w:after="0"/>
              <w:rPr>
                <w:sz w:val="24"/>
                <w:szCs w:val="24"/>
                <w:color w:val="auto"/>
              </w:rPr>
            </w:pPr>
          </w:p>
        </w:tc>
        <w:tc>
          <w:tcPr>
            <w:tcW w:w="14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4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(1) The following table summarizes municipal debt securities as of :</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4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revenue bonds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4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General obligation bonds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20" w:type="dxa"/>
            <w:vAlign w:val="bottom"/>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2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(2) The following table summarizes corporate debt securities as of :</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non-cyclical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Consumer, cyclical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Rating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Rating (1)</w:t>
            </w:r>
          </w:p>
        </w:tc>
        <w:tc>
          <w:tcPr>
            <w:tcW w:w="320" w:type="dxa"/>
            <w:vAlign w:val="bottom"/>
          </w:tcPr>
          <w:p>
            <w:pPr>
              <w:spacing w:after="0"/>
              <w:rPr>
                <w:sz w:val="16"/>
                <w:szCs w:val="16"/>
                <w:color w:val="auto"/>
              </w:rPr>
            </w:pPr>
          </w:p>
        </w:tc>
        <w:tc>
          <w:tcPr>
            <w:tcW w:w="204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Pr>
          <w:p>
            <w:pPr>
              <w:spacing w:after="0"/>
              <w:rPr>
                <w:sz w:val="2"/>
                <w:szCs w:val="2"/>
                <w:color w:val="auto"/>
              </w:rPr>
            </w:pPr>
          </w:p>
        </w:tc>
        <w:tc>
          <w:tcPr>
            <w:tcW w:w="20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00" w:type="dxa"/>
            <w:vAlign w:val="bottom"/>
            <w:gridSpan w:val="3"/>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6"/>
        </w:trPr>
        <w:tc>
          <w:tcPr>
            <w:tcW w:w="3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2,621,894</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2,513,014</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r>
        <w:trPr>
          <w:trHeight w:val="22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Aa1</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101,809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301,080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Aa3</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271,069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539,597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511,076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468,994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411,999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481,219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463,616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Baa1</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Baa2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209,913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Baa3</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151,729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 Baa3</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77,077</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 (2)</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5,449,827</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5,219,116</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tcBorders>
              <w:bottom w:val="single" w:sz="8" w:color="auto"/>
            </w:tcBorders>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ratings issued by Moody’s, if available. S&amp;P or Fitch Ratings ("Fitch") rating utilized if Moody’s not available.</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$432,532 and $657,605 of money market funds at March 31, 2025 and December 31, 2024, respectively.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Investments Available for Sale by Effective Duration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Duration</w:t>
            </w:r>
          </w:p>
        </w:tc>
        <w:tc>
          <w:tcPr>
            <w:tcW w:w="300" w:type="dxa"/>
            <w:vAlign w:val="bottom"/>
          </w:tcPr>
          <w:p>
            <w:pPr>
              <w:spacing w:after="0"/>
              <w:rPr>
                <w:sz w:val="16"/>
                <w:szCs w:val="16"/>
                <w:color w:val="auto"/>
              </w:rPr>
            </w:pPr>
          </w:p>
        </w:tc>
        <w:tc>
          <w:tcPr>
            <w:tcW w:w="20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26"/>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1 Year</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1,394,536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1,587,022</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0" w:type="dxa"/>
            <w:vAlign w:val="bottom"/>
          </w:tcPr>
          <w:p>
            <w:pPr>
              <w:spacing w:after="0"/>
              <w:rPr>
                <w:sz w:val="1"/>
                <w:szCs w:val="1"/>
                <w:color w:val="auto"/>
              </w:rPr>
            </w:pPr>
          </w:p>
        </w:tc>
      </w:tr>
      <w:tr>
        <w:trPr>
          <w:trHeight w:val="22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473,301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564,623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6"/>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2,339,582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2,279,740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 Available for Sale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5,882,359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5,876,721</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0" w:lineRule="exact"/>
        <w:rPr>
          <w:sz w:val="20"/>
          <w:szCs w:val="20"/>
          <w:color w:val="auto"/>
        </w:rPr>
      </w:pPr>
    </w:p>
    <w:p>
      <w:pPr>
        <w:ind w:right="100" w:firstLine="177"/>
        <w:spacing w:after="0" w:line="252" w:lineRule="auto"/>
        <w:rPr>
          <w:sz w:val="20"/>
          <w:szCs w:val="20"/>
          <w:color w:val="auto"/>
        </w:rPr>
      </w:pPr>
      <w:r>
        <w:rPr>
          <w:rFonts w:ascii="Times New Roman" w:cs="Times New Roman" w:eastAsia="Times New Roman" w:hAnsi="Times New Roman"/>
          <w:sz w:val="18"/>
          <w:szCs w:val="18"/>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March 31, 2025, our estimated off-balance sheet maximum exposure to loss from the Radnor Re entities was $0.2 million, representing the estimated net present value of investment earnings on the assets in the reinsurance trusts. See Note 4 to our condensed consolidated financial statements for additional information.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the filing date of this report, there were no significant changes in our critical accounting policies from those discussed in our 2024 Form 10-K.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recently issued accounting standards adopted or under evaluation.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0" w:lineRule="exact"/>
        <w:rPr>
          <w:sz w:val="20"/>
          <w:szCs w:val="20"/>
          <w:color w:val="auto"/>
        </w:rPr>
      </w:pPr>
    </w:p>
    <w:p>
      <w:pPr>
        <w:ind w:right="40" w:firstLine="638"/>
        <w:spacing w:after="0" w:line="255" w:lineRule="auto"/>
        <w:rPr>
          <w:sz w:val="20"/>
          <w:szCs w:val="20"/>
          <w:color w:val="auto"/>
        </w:rPr>
      </w:pPr>
      <w:r>
        <w:rPr>
          <w:rFonts w:ascii="Times New Roman" w:cs="Times New Roman" w:eastAsia="Times New Roman" w:hAnsi="Times New Roman"/>
          <w:sz w:val="18"/>
          <w:szCs w:val="18"/>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83" w:lineRule="exact"/>
        <w:rPr>
          <w:sz w:val="20"/>
          <w:szCs w:val="20"/>
          <w:color w:val="auto"/>
        </w:rPr>
      </w:pPr>
    </w:p>
    <w:p>
      <w:pPr>
        <w:ind w:right="440" w:firstLine="638"/>
        <w:spacing w:after="0" w:line="275" w:lineRule="auto"/>
        <w:rPr>
          <w:sz w:val="20"/>
          <w:szCs w:val="20"/>
          <w:color w:val="auto"/>
        </w:rPr>
      </w:pPr>
      <w:r>
        <w:rPr>
          <w:rFonts w:ascii="Times New Roman" w:cs="Times New Roman" w:eastAsia="Times New Roman" w:hAnsi="Times New Roman"/>
          <w:sz w:val="18"/>
          <w:szCs w:val="18"/>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61" w:lineRule="exact"/>
        <w:rPr>
          <w:sz w:val="20"/>
          <w:szCs w:val="20"/>
          <w:color w:val="auto"/>
        </w:rPr>
      </w:pPr>
    </w:p>
    <w:p>
      <w:pPr>
        <w:ind w:left="640" w:right="100" w:hanging="315"/>
        <w:spacing w:after="0" w:line="256" w:lineRule="auto"/>
        <w:tabs>
          <w:tab w:leader="none" w:pos="6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level of interest rates. </w:t>
      </w:r>
      <w:r>
        <w:rPr>
          <w:rFonts w:ascii="Times New Roman" w:cs="Times New Roman" w:eastAsia="Times New Roman" w:hAnsi="Times New Roman"/>
          <w:sz w:val="18"/>
          <w:szCs w:val="18"/>
          <w:color w:val="auto"/>
        </w:rPr>
        <w:t>Increasing interest rates may reduce the value of certain fixed-rate bonds held in the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9" w:lineRule="exact"/>
        <w:rPr>
          <w:rFonts w:ascii="Times New Roman" w:cs="Times New Roman" w:eastAsia="Times New Roman" w:hAnsi="Times New Roman"/>
          <w:sz w:val="18"/>
          <w:szCs w:val="18"/>
          <w:i w:val="1"/>
          <w:iCs w:val="1"/>
          <w:color w:val="auto"/>
        </w:rPr>
      </w:pPr>
    </w:p>
    <w:p>
      <w:pPr>
        <w:ind w:left="640" w:right="260" w:hanging="315"/>
        <w:spacing w:after="0" w:line="277" w:lineRule="auto"/>
        <w:tabs>
          <w:tab w:leader="none" w:pos="6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Changes to the term structure of interest rates. </w:t>
      </w:r>
      <w:r>
        <w:rPr>
          <w:rFonts w:ascii="Times New Roman" w:cs="Times New Roman" w:eastAsia="Times New Roman" w:hAnsi="Times New Roman"/>
          <w:sz w:val="18"/>
          <w:szCs w:val="18"/>
          <w:color w:val="auto"/>
        </w:rPr>
        <w:t>Rising or falling rates typically change by different amounts along the yield curve. These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have unforeseen impacts on the value of certain assets.</w:t>
      </w:r>
    </w:p>
    <w:p>
      <w:pPr>
        <w:spacing w:after="0" w:line="186" w:lineRule="exact"/>
        <w:rPr>
          <w:rFonts w:ascii="Times New Roman" w:cs="Times New Roman" w:eastAsia="Times New Roman" w:hAnsi="Times New Roman"/>
          <w:sz w:val="18"/>
          <w:szCs w:val="18"/>
          <w:i w:val="1"/>
          <w:iCs w:val="1"/>
          <w:color w:val="auto"/>
        </w:rPr>
      </w:pPr>
    </w:p>
    <w:p>
      <w:pPr>
        <w:ind w:left="640" w:right="540" w:hanging="315"/>
        <w:spacing w:after="0" w:line="307" w:lineRule="auto"/>
        <w:tabs>
          <w:tab w:leader="none" w:pos="635" w:val="left"/>
        </w:tabs>
        <w:numPr>
          <w:ilvl w:val="0"/>
          <w:numId w:val="2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Market volatility/changes in the real or perceived credit quality of investments. </w:t>
      </w:r>
      <w:r>
        <w:rPr>
          <w:rFonts w:ascii="Times New Roman" w:cs="Times New Roman" w:eastAsia="Times New Roman" w:hAnsi="Times New Roman"/>
          <w:sz w:val="17"/>
          <w:szCs w:val="17"/>
          <w:color w:val="auto"/>
        </w:rPr>
        <w:t>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(e.g., rating agency) assessments, will reduce the value and potentially the liquidity of investments.</w:t>
      </w:r>
    </w:p>
    <w:p>
      <w:pPr>
        <w:spacing w:after="0" w:line="163" w:lineRule="exact"/>
        <w:rPr>
          <w:rFonts w:ascii="Times New Roman" w:cs="Times New Roman" w:eastAsia="Times New Roman" w:hAnsi="Times New Roman"/>
          <w:sz w:val="17"/>
          <w:szCs w:val="17"/>
          <w:i w:val="1"/>
          <w:iCs w:val="1"/>
          <w:color w:val="auto"/>
        </w:rPr>
      </w:pPr>
    </w:p>
    <w:p>
      <w:pPr>
        <w:ind w:left="640" w:hanging="315"/>
        <w:spacing w:after="0" w:line="277" w:lineRule="auto"/>
        <w:tabs>
          <w:tab w:leader="none" w:pos="6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If the investment portfolio is highly concentrated in one asset, or in multiple assets whose values are highly correlated, the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total portfolio may be greatly affected by the change in value of just one asset or a group of highly correlated assets.</w:t>
      </w:r>
    </w:p>
    <w:p>
      <w:pPr>
        <w:spacing w:after="0" w:line="186" w:lineRule="exact"/>
        <w:rPr>
          <w:rFonts w:ascii="Times New Roman" w:cs="Times New Roman" w:eastAsia="Times New Roman" w:hAnsi="Times New Roman"/>
          <w:sz w:val="18"/>
          <w:szCs w:val="18"/>
          <w:i w:val="1"/>
          <w:iCs w:val="1"/>
          <w:color w:val="auto"/>
        </w:rPr>
      </w:pPr>
    </w:p>
    <w:p>
      <w:pPr>
        <w:ind w:left="640" w:right="160" w:hanging="315"/>
        <w:spacing w:after="0" w:line="277" w:lineRule="auto"/>
        <w:tabs>
          <w:tab w:leader="none" w:pos="63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Prepayment Risk. </w:t>
      </w:r>
      <w:r>
        <w:rPr>
          <w:rFonts w:ascii="Times New Roman" w:cs="Times New Roman" w:eastAsia="Times New Roman" w:hAnsi="Times New Roman"/>
          <w:sz w:val="18"/>
          <w:szCs w:val="18"/>
          <w:color w:val="auto"/>
        </w:rPr>
        <w:t>Bonds may have call provisions that permit debtors to repay prior to maturity when it is to their advantage. This typically occurs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rates fall below the interest rate of the debt.</w:t>
      </w:r>
    </w:p>
    <w:p>
      <w:pPr>
        <w:spacing w:after="0" w:line="162" w:lineRule="exact"/>
        <w:rPr>
          <w:sz w:val="20"/>
          <w:szCs w:val="20"/>
          <w:color w:val="auto"/>
        </w:rPr>
      </w:pPr>
    </w:p>
    <w:p>
      <w:pPr>
        <w:ind w:right="100" w:firstLine="638"/>
        <w:spacing w:after="0" w:line="260" w:lineRule="auto"/>
        <w:rPr>
          <w:sz w:val="20"/>
          <w:szCs w:val="20"/>
          <w:color w:val="auto"/>
        </w:rPr>
      </w:pPr>
      <w:r>
        <w:rPr>
          <w:rFonts w:ascii="Times New Roman" w:cs="Times New Roman" w:eastAsia="Times New Roman" w:hAnsi="Times New Roman"/>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7" w:lineRule="exact"/>
        <w:rPr>
          <w:sz w:val="20"/>
          <w:szCs w:val="20"/>
          <w:color w:val="auto"/>
        </w:rPr>
      </w:pPr>
    </w:p>
    <w:p>
      <w:pPr>
        <w:ind w:right="80" w:firstLine="638"/>
        <w:spacing w:after="0" w:line="255" w:lineRule="auto"/>
        <w:rPr>
          <w:sz w:val="20"/>
          <w:szCs w:val="20"/>
          <w:color w:val="auto"/>
        </w:rPr>
      </w:pPr>
      <w:r>
        <w:rPr>
          <w:rFonts w:ascii="Times New Roman" w:cs="Times New Roman" w:eastAsia="Times New Roman" w:hAnsi="Times New Roman"/>
          <w:sz w:val="18"/>
          <w:szCs w:val="18"/>
          <w:color w:val="auto"/>
        </w:rPr>
        <w:t>At March 31, 2025,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4.4 years, which means that an instantaneous parallel shift (movement up or down) in the yield curve of 100 basis points would result in a change of 4.4% in fair value of our investments available for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0"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18"/>
          <w:szCs w:val="18"/>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March 31, 2025, the end of the period covered by this Quarterly Report.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0" w:lineRule="exact"/>
        <w:rPr>
          <w:sz w:val="20"/>
          <w:szCs w:val="20"/>
          <w:color w:val="auto"/>
        </w:rPr>
      </w:pPr>
    </w:p>
    <w:p>
      <w:pPr>
        <w:jc w:val="both"/>
        <w:ind w:right="440" w:firstLine="638"/>
        <w:spacing w:after="0" w:line="260" w:lineRule="auto"/>
        <w:rPr>
          <w:sz w:val="20"/>
          <w:szCs w:val="20"/>
          <w:color w:val="auto"/>
        </w:rPr>
      </w:pPr>
      <w:r>
        <w:rPr>
          <w:rFonts w:ascii="Times New Roman" w:cs="Times New Roman" w:eastAsia="Times New Roman" w:hAnsi="Times New Roman"/>
          <w:sz w:val="18"/>
          <w:szCs w:val="18"/>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0" w:lineRule="exact"/>
        <w:rPr>
          <w:sz w:val="20"/>
          <w:szCs w:val="20"/>
          <w:color w:val="auto"/>
        </w:rPr>
      </w:pPr>
    </w:p>
    <w:p>
      <w:pPr>
        <w:ind w:firstLine="638"/>
        <w:spacing w:after="0" w:line="252" w:lineRule="auto"/>
        <w:rPr>
          <w:sz w:val="20"/>
          <w:szCs w:val="20"/>
          <w:color w:val="auto"/>
        </w:rPr>
      </w:pPr>
      <w:r>
        <w:rPr>
          <w:rFonts w:ascii="Times New Roman" w:cs="Times New Roman" w:eastAsia="Times New Roman" w:hAnsi="Times New Roman"/>
          <w:sz w:val="18"/>
          <w:szCs w:val="18"/>
          <w:color w:val="auto"/>
        </w:rPr>
        <w:t>Risk factors that affect our business and financial results are discussed in Part I, Item 1A. “Risk Factors” in our Annual Report on Form 10-K for the year ended December 31, 2024.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Securities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sets forth information regarding repurchases of our common shares during the three months ended March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00" w:type="dxa"/>
            <w:vAlign w:val="bottom"/>
          </w:tcPr>
          <w:p>
            <w:pPr>
              <w:spacing w:after="0"/>
              <w:rPr>
                <w:sz w:val="13"/>
                <w:szCs w:val="13"/>
                <w:color w:val="auto"/>
              </w:rPr>
            </w:pPr>
          </w:p>
        </w:tc>
        <w:tc>
          <w:tcPr>
            <w:tcW w:w="156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2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07"/>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1"/>
                <w:szCs w:val="11"/>
                <w:color w:val="auto"/>
              </w:rPr>
            </w:pPr>
          </w:p>
        </w:tc>
        <w:tc>
          <w:tcPr>
            <w:tcW w:w="1560" w:type="dxa"/>
            <w:vAlign w:val="bottom"/>
          </w:tcPr>
          <w:p>
            <w:pPr>
              <w:jc w:val="center"/>
              <w:ind w:right="107"/>
              <w:spacing w:after="0" w:line="133"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6"/>
        </w:trPr>
        <w:tc>
          <w:tcPr>
            <w:tcW w:w="3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as Part of Publicly</w:t>
            </w:r>
          </w:p>
        </w:tc>
        <w:tc>
          <w:tcPr>
            <w:tcW w:w="200" w:type="dxa"/>
            <w:vAlign w:val="bottom"/>
          </w:tcPr>
          <w:p>
            <w:pPr>
              <w:spacing w:after="0"/>
              <w:rPr>
                <w:sz w:val="12"/>
                <w:szCs w:val="12"/>
                <w:color w:val="auto"/>
              </w:rPr>
            </w:pPr>
          </w:p>
        </w:tc>
        <w:tc>
          <w:tcPr>
            <w:tcW w:w="1560" w:type="dxa"/>
            <w:vAlign w:val="bottom"/>
          </w:tcPr>
          <w:p>
            <w:pPr>
              <w:jc w:val="center"/>
              <w:ind w:right="107"/>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3880" w:type="dxa"/>
            <w:vAlign w:val="bottom"/>
            <w:gridSpan w:val="3"/>
            <w:vMerge w:val="continue"/>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2"/>
                <w:szCs w:val="12"/>
                <w:color w:val="auto"/>
              </w:rPr>
            </w:pPr>
          </w:p>
        </w:tc>
        <w:tc>
          <w:tcPr>
            <w:tcW w:w="1560" w:type="dxa"/>
            <w:vAlign w:val="bottom"/>
          </w:tcPr>
          <w:p>
            <w:pPr>
              <w:jc w:val="center"/>
              <w:ind w:right="127"/>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Paid Per Share</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6"/>
                <w:szCs w:val="16"/>
                <w:color w:val="auto"/>
              </w:rPr>
            </w:pPr>
          </w:p>
        </w:tc>
        <w:tc>
          <w:tcPr>
            <w:tcW w:w="156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26"/>
        </w:trPr>
        <w:tc>
          <w:tcPr>
            <w:tcW w:w="3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 2025</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918,464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802,548</w:t>
            </w:r>
          </w:p>
        </w:tc>
        <w:tc>
          <w:tcPr>
            <w:tcW w:w="3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tcPr>
          <w:p>
            <w:pPr>
              <w:spacing w:after="0"/>
              <w:rPr>
                <w:sz w:val="19"/>
                <w:szCs w:val="19"/>
                <w:color w:val="auto"/>
              </w:rPr>
            </w:pPr>
          </w:p>
        </w:tc>
        <w:tc>
          <w:tcPr>
            <w:tcW w:w="17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802,548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1,225,913</w:t>
            </w:r>
          </w:p>
        </w:tc>
        <w:tc>
          <w:tcPr>
            <w:tcW w:w="340" w:type="dxa"/>
            <w:vAlign w:val="bottom"/>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1,063,609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2,784,621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490,035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8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40" w:right="80" w:hanging="315"/>
        <w:spacing w:after="0" w:line="238" w:lineRule="auto"/>
        <w:tabs>
          <w:tab w:leader="none" w:pos="6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the Company repurchased 2,612,759 common shares at a total cost of $147.3 million, completing the repurchase plan authorized in October 2023. In February 2025, the Board of Directors approved an additional $500 million share repurchase authorization that runs through year-end 2026. The remaining $490.0 million in the table represents the amount available to repurchase shares under the February 2025 share repurchase authorization as of March 31, 2025. In April 2025, we repurchased 1,102,525 shares for $61.0 million, leaving approximately $429.0 remaining for repurchases as of April 30,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Annual General Meeting of Shareholders</w:t>
      </w:r>
    </w:p>
    <w:p>
      <w:pPr>
        <w:spacing w:after="0" w:line="245" w:lineRule="exact"/>
        <w:rPr>
          <w:sz w:val="20"/>
          <w:szCs w:val="20"/>
          <w:color w:val="auto"/>
        </w:rPr>
      </w:pPr>
    </w:p>
    <w:p>
      <w:pPr>
        <w:ind w:right="180" w:firstLine="638"/>
        <w:spacing w:after="0" w:line="260" w:lineRule="auto"/>
        <w:rPr>
          <w:sz w:val="20"/>
          <w:szCs w:val="20"/>
          <w:color w:val="auto"/>
        </w:rPr>
      </w:pPr>
      <w:r>
        <w:rPr>
          <w:rFonts w:ascii="Times New Roman" w:cs="Times New Roman" w:eastAsia="Times New Roman" w:hAnsi="Times New Roman"/>
          <w:sz w:val="18"/>
          <w:szCs w:val="18"/>
          <w:color w:val="auto"/>
        </w:rPr>
        <w:t>On May 7, 2025, we held our 2025 Annual General Meeting of Shareholders (the "Annual Meeting"). A total of 103,215,815 common shares were entitled to vote as of March 7, 2025, the record date for the Annual Meeting, of which 96,145,590 shares were present in person or by proxy at the Annual Meeting.</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the final voting results for each matter presented to shareholders at the Annual Meeting.</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 Election of three Class II directors to serve through the 2028 Annual General Meeting of Shareholders: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40" w:type="dxa"/>
            <w:vAlign w:val="bottom"/>
          </w:tcPr>
          <w:p>
            <w:pPr>
              <w:spacing w:after="0"/>
              <w:rPr>
                <w:sz w:val="20"/>
                <w:szCs w:val="20"/>
                <w:color w:val="auto"/>
              </w:rPr>
            </w:pPr>
          </w:p>
        </w:tc>
        <w:tc>
          <w:tcPr>
            <w:tcW w:w="3300" w:type="dxa"/>
            <w:vAlign w:val="bottom"/>
          </w:tcPr>
          <w:p>
            <w:pPr>
              <w:jc w:val="center"/>
              <w:ind w:left="1071"/>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34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2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David C. Benson</w:t>
            </w:r>
          </w:p>
        </w:tc>
        <w:tc>
          <w:tcPr>
            <w:tcW w:w="3300" w:type="dxa"/>
            <w:vAlign w:val="bottom"/>
            <w:shd w:val="clear" w:color="auto" w:fill="CCEEFF"/>
          </w:tcPr>
          <w:p>
            <w:pPr>
              <w:jc w:val="center"/>
              <w:ind w:left="1071"/>
              <w:spacing w:after="0"/>
              <w:rPr>
                <w:sz w:val="20"/>
                <w:szCs w:val="20"/>
                <w:color w:val="auto"/>
              </w:rPr>
            </w:pPr>
            <w:r>
              <w:rPr>
                <w:rFonts w:ascii="Times New Roman" w:cs="Times New Roman" w:eastAsia="Times New Roman" w:hAnsi="Times New Roman"/>
                <w:sz w:val="18"/>
                <w:szCs w:val="18"/>
                <w:color w:val="auto"/>
                <w:w w:val="96"/>
              </w:rPr>
              <w:t>93,429,800</w:t>
            </w:r>
          </w:p>
        </w:tc>
        <w:tc>
          <w:tcPr>
            <w:tcW w:w="23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937,832</w:t>
            </w:r>
          </w:p>
        </w:tc>
        <w:tc>
          <w:tcPr>
            <w:tcW w:w="23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1,777,958</w:t>
            </w:r>
          </w:p>
        </w:tc>
      </w:tr>
      <w:tr>
        <w:trPr>
          <w:trHeight w:val="22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Angela L. Heise</w:t>
            </w:r>
          </w:p>
        </w:tc>
        <w:tc>
          <w:tcPr>
            <w:tcW w:w="3300" w:type="dxa"/>
            <w:vAlign w:val="bottom"/>
          </w:tcPr>
          <w:p>
            <w:pPr>
              <w:jc w:val="center"/>
              <w:ind w:left="1071"/>
              <w:spacing w:after="0"/>
              <w:rPr>
                <w:sz w:val="20"/>
                <w:szCs w:val="20"/>
                <w:color w:val="auto"/>
              </w:rPr>
            </w:pPr>
            <w:r>
              <w:rPr>
                <w:rFonts w:ascii="Times New Roman" w:cs="Times New Roman" w:eastAsia="Times New Roman" w:hAnsi="Times New Roman"/>
                <w:sz w:val="18"/>
                <w:szCs w:val="18"/>
                <w:color w:val="auto"/>
                <w:w w:val="96"/>
              </w:rPr>
              <w:t>92,161,066</w:t>
            </w:r>
          </w:p>
        </w:tc>
        <w:tc>
          <w:tcPr>
            <w:tcW w:w="236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7"/>
              </w:rPr>
              <w:t>2,206,566</w:t>
            </w:r>
          </w:p>
        </w:tc>
        <w:tc>
          <w:tcPr>
            <w:tcW w:w="23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7"/>
              </w:rPr>
              <w:t>1,777,958</w:t>
            </w:r>
          </w:p>
        </w:tc>
      </w:tr>
      <w:tr>
        <w:trPr>
          <w:trHeight w:val="22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April Galda Joyce</w:t>
            </w:r>
          </w:p>
        </w:tc>
        <w:tc>
          <w:tcPr>
            <w:tcW w:w="3300" w:type="dxa"/>
            <w:vAlign w:val="bottom"/>
            <w:shd w:val="clear" w:color="auto" w:fill="CCEEFF"/>
          </w:tcPr>
          <w:p>
            <w:pPr>
              <w:jc w:val="center"/>
              <w:ind w:left="1071"/>
              <w:spacing w:after="0"/>
              <w:rPr>
                <w:sz w:val="20"/>
                <w:szCs w:val="20"/>
                <w:color w:val="auto"/>
              </w:rPr>
            </w:pPr>
            <w:r>
              <w:rPr>
                <w:rFonts w:ascii="Times New Roman" w:cs="Times New Roman" w:eastAsia="Times New Roman" w:hAnsi="Times New Roman"/>
                <w:sz w:val="18"/>
                <w:szCs w:val="18"/>
                <w:color w:val="auto"/>
                <w:w w:val="96"/>
              </w:rPr>
              <w:t>93,428,874</w:t>
            </w:r>
          </w:p>
        </w:tc>
        <w:tc>
          <w:tcPr>
            <w:tcW w:w="236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8"/>
                <w:szCs w:val="18"/>
                <w:color w:val="auto"/>
                <w:w w:val="99"/>
              </w:rPr>
              <w:t>938,758</w:t>
            </w:r>
          </w:p>
        </w:tc>
        <w:tc>
          <w:tcPr>
            <w:tcW w:w="234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7"/>
              </w:rPr>
              <w:t>1,777,958</w:t>
            </w:r>
          </w:p>
        </w:tc>
      </w:tr>
    </w:tbl>
    <w:p>
      <w:pPr>
        <w:spacing w:after="0" w:line="314"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Proposal 2 - The re-appointment of PricewaterhouseCoopers LLP as the Company's independent registered public accounting firm for the year ending December 31, 2025 and until the 2026 Annual General Meeting of Shareholders, and the referral of the determination of the auditors' compensation to the board of directors, was ratified: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w:t>
            </w:r>
          </w:p>
        </w:tc>
        <w:tc>
          <w:tcPr>
            <w:tcW w:w="1780" w:type="dxa"/>
            <w:vAlign w:val="bottom"/>
            <w:shd w:val="clear" w:color="auto" w:fill="CCEEFF"/>
          </w:tcPr>
          <w:p>
            <w:pPr>
              <w:jc w:val="center"/>
              <w:ind w:right="371"/>
              <w:spacing w:after="0"/>
              <w:rPr>
                <w:sz w:val="20"/>
                <w:szCs w:val="20"/>
                <w:color w:val="auto"/>
              </w:rPr>
            </w:pPr>
            <w:r>
              <w:rPr>
                <w:rFonts w:ascii="Times New Roman" w:cs="Times New Roman" w:eastAsia="Times New Roman" w:hAnsi="Times New Roman"/>
                <w:sz w:val="18"/>
                <w:szCs w:val="18"/>
                <w:color w:val="auto"/>
                <w:w w:val="98"/>
              </w:rPr>
              <w:t>95,637,666</w:t>
            </w:r>
          </w:p>
        </w:tc>
      </w:tr>
      <w:tr>
        <w:trPr>
          <w:trHeight w:val="226"/>
        </w:trPr>
        <w:tc>
          <w:tcPr>
            <w:tcW w:w="33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1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9"/>
              </w:rPr>
              <w:t>477,586</w:t>
            </w:r>
          </w:p>
        </w:tc>
      </w:tr>
      <w:tr>
        <w:trPr>
          <w:trHeight w:val="226"/>
        </w:trPr>
        <w:tc>
          <w:tcPr>
            <w:tcW w:w="33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1780" w:type="dxa"/>
            <w:vAlign w:val="bottom"/>
            <w:shd w:val="clear" w:color="auto" w:fill="CCEEFF"/>
          </w:tcPr>
          <w:p>
            <w:pPr>
              <w:jc w:val="center"/>
              <w:ind w:right="371"/>
              <w:spacing w:after="0"/>
              <w:rPr>
                <w:sz w:val="20"/>
                <w:szCs w:val="20"/>
                <w:color w:val="auto"/>
              </w:rPr>
            </w:pPr>
            <w:r>
              <w:rPr>
                <w:rFonts w:ascii="Times New Roman" w:cs="Times New Roman" w:eastAsia="Times New Roman" w:hAnsi="Times New Roman"/>
                <w:sz w:val="18"/>
                <w:szCs w:val="18"/>
                <w:color w:val="auto"/>
                <w:w w:val="96"/>
              </w:rPr>
              <w:t>30,338</w:t>
            </w:r>
          </w:p>
        </w:tc>
      </w:tr>
      <w:tr>
        <w:trPr>
          <w:trHeight w:val="532"/>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3 - Provide a non-binding, advisory vote on our executive compensation:</w:t>
            </w:r>
          </w:p>
        </w:tc>
        <w:tc>
          <w:tcPr>
            <w:tcW w:w="1780" w:type="dxa"/>
            <w:vAlign w:val="bottom"/>
          </w:tcPr>
          <w:p>
            <w:pPr>
              <w:spacing w:after="0"/>
              <w:rPr>
                <w:sz w:val="24"/>
                <w:szCs w:val="24"/>
                <w:color w:val="auto"/>
              </w:rPr>
            </w:pPr>
          </w:p>
        </w:tc>
      </w:tr>
      <w:tr>
        <w:trPr>
          <w:trHeight w:val="265"/>
        </w:trPr>
        <w:tc>
          <w:tcPr>
            <w:tcW w:w="336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26"/>
        </w:trPr>
        <w:tc>
          <w:tcPr>
            <w:tcW w:w="33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Votes For</w:t>
            </w:r>
          </w:p>
        </w:tc>
        <w:tc>
          <w:tcPr>
            <w:tcW w:w="1780" w:type="dxa"/>
            <w:vAlign w:val="bottom"/>
            <w:shd w:val="clear" w:color="auto" w:fill="CCEEFF"/>
          </w:tcPr>
          <w:p>
            <w:pPr>
              <w:jc w:val="center"/>
              <w:ind w:right="371"/>
              <w:spacing w:after="0"/>
              <w:rPr>
                <w:sz w:val="20"/>
                <w:szCs w:val="20"/>
                <w:color w:val="auto"/>
              </w:rPr>
            </w:pPr>
            <w:r>
              <w:rPr>
                <w:rFonts w:ascii="Times New Roman" w:cs="Times New Roman" w:eastAsia="Times New Roman" w:hAnsi="Times New Roman"/>
                <w:sz w:val="18"/>
                <w:szCs w:val="18"/>
                <w:color w:val="auto"/>
                <w:w w:val="98"/>
              </w:rPr>
              <w:t>90,274,076</w:t>
            </w:r>
          </w:p>
        </w:tc>
      </w:tr>
      <w:tr>
        <w:trPr>
          <w:trHeight w:val="226"/>
        </w:trPr>
        <w:tc>
          <w:tcPr>
            <w:tcW w:w="336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Votes Against</w:t>
            </w:r>
          </w:p>
        </w:tc>
        <w:tc>
          <w:tcPr>
            <w:tcW w:w="1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4,062,630</w:t>
            </w:r>
          </w:p>
        </w:tc>
      </w:tr>
      <w:tr>
        <w:trPr>
          <w:trHeight w:val="226"/>
        </w:trPr>
        <w:tc>
          <w:tcPr>
            <w:tcW w:w="3360" w:type="dxa"/>
            <w:vAlign w:val="bottom"/>
          </w:tcPr>
          <w:p>
            <w:pPr>
              <w:spacing w:after="0"/>
              <w:rPr>
                <w:sz w:val="19"/>
                <w:szCs w:val="19"/>
                <w:color w:val="auto"/>
              </w:rPr>
            </w:pP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w:t>
            </w:r>
          </w:p>
        </w:tc>
        <w:tc>
          <w:tcPr>
            <w:tcW w:w="1780" w:type="dxa"/>
            <w:vAlign w:val="bottom"/>
            <w:shd w:val="clear" w:color="auto" w:fill="CCEEFF"/>
          </w:tcPr>
          <w:p>
            <w:pPr>
              <w:jc w:val="center"/>
              <w:ind w:right="371"/>
              <w:spacing w:after="0"/>
              <w:rPr>
                <w:sz w:val="20"/>
                <w:szCs w:val="20"/>
                <w:color w:val="auto"/>
              </w:rPr>
            </w:pPr>
            <w:r>
              <w:rPr>
                <w:rFonts w:ascii="Times New Roman" w:cs="Times New Roman" w:eastAsia="Times New Roman" w:hAnsi="Times New Roman"/>
                <w:sz w:val="18"/>
                <w:szCs w:val="18"/>
                <w:color w:val="auto"/>
                <w:w w:val="96"/>
              </w:rPr>
              <w:t>30,926</w:t>
            </w:r>
          </w:p>
        </w:tc>
      </w:tr>
      <w:tr>
        <w:trPr>
          <w:trHeight w:val="232"/>
        </w:trPr>
        <w:tc>
          <w:tcPr>
            <w:tcW w:w="336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Non-Votes</w:t>
            </w:r>
          </w:p>
        </w:tc>
        <w:tc>
          <w:tcPr>
            <w:tcW w:w="178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1,777,958</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Trading Plans</w:t>
      </w:r>
    </w:p>
    <w:p>
      <w:pPr>
        <w:spacing w:after="0" w:line="231" w:lineRule="exact"/>
        <w:rPr>
          <w:sz w:val="20"/>
          <w:szCs w:val="20"/>
          <w:color w:val="auto"/>
        </w:rPr>
      </w:pPr>
    </w:p>
    <w:p>
      <w:pPr>
        <w:ind w:right="100" w:firstLine="638"/>
        <w:spacing w:after="0"/>
        <w:rPr>
          <w:sz w:val="20"/>
          <w:szCs w:val="20"/>
          <w:color w:val="auto"/>
        </w:rPr>
      </w:pPr>
      <w:r>
        <w:rPr>
          <w:rFonts w:ascii="Times New Roman" w:cs="Times New Roman" w:eastAsia="Times New Roman" w:hAnsi="Times New Roman"/>
          <w:sz w:val="18"/>
          <w:szCs w:val="18"/>
          <w:color w:val="auto"/>
        </w:rPr>
        <w:t>On March 10, 2025, David Weinstock, the Company’s Senior Vice President and Chief Financial Officer, entered into a 10b5-1 sales plan (the “Plan”) intended to satisfy the affirmative defense of Rule 10b5-1(c) under the Exchange Act. The Plan provides for the sale of up to an aggregate of 5,000 shares of the Company’s common stock beneficially owned by Mr. Weinstock during the term of the Plan and will be in effect until the earlier of (1) June 12, 2026, and (2) the date on which an aggregate of 5,000 shares of the Company’s common stock have been sold under the Plan.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25"/>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w:t>
            </w:r>
          </w:p>
        </w:tc>
        <w:tc>
          <w:tcPr>
            <w:tcW w:w="106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60" w:type="dxa"/>
            <w:vAlign w:val="bottom"/>
            <w:vMerge w:val="restart"/>
          </w:tcPr>
          <w:p>
            <w:pPr>
              <w:ind w:left="4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9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Certification of Chief Executive Officer required by Rule 13a-14(a) or Rule 15d-14(a) of the Securities Exchange Act of 1934,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1"/>
        </w:trPr>
        <w:tc>
          <w:tcPr>
            <w:tcW w:w="60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Certification of Chief Financial Officer required by Rule 13a-14(a) or Rule 15d-14(a) of the Securities Exchange Act of 1934, as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191"/>
        </w:trPr>
        <w:tc>
          <w:tcPr>
            <w:tcW w:w="60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w w:val="98"/>
              </w:rPr>
              <w:t>Certification of Chief Executive Officer and Chief Financial Officer pursuant to 18 U.S.C. 1350, as adopted pursuant to Section 906 of</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0" w:type="dxa"/>
            <w:vAlign w:val="bottom"/>
          </w:tcPr>
          <w:p>
            <w:pPr>
              <w:spacing w:after="0"/>
              <w:rPr>
                <w:sz w:val="1"/>
                <w:szCs w:val="1"/>
                <w:color w:val="auto"/>
              </w:rPr>
            </w:pPr>
          </w:p>
        </w:tc>
      </w:tr>
    </w:tbl>
    <w:p>
      <w:pPr>
        <w:ind w:left="1560" w:right="340" w:hanging="1536"/>
        <w:spacing w:after="0" w:line="222" w:lineRule="auto"/>
        <w:tabs>
          <w:tab w:leader="none" w:pos="15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this Quarterly Report on Form 10-Q for the quarter ended March 31, 2025,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w:t>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969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9645" cy="8255"/>
                    </a:xfrm>
                    <a:prstGeom prst="rect">
                      <a:avLst/>
                    </a:prstGeom>
                    <a:noFill/>
                  </pic:spPr>
                </pic:pic>
              </a:graphicData>
            </a:graphic>
          </wp:anchor>
        </w:drawing>
      </w:r>
    </w:p>
    <w:p>
      <w:pPr>
        <w:ind w:left="1560" w:hanging="834"/>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the date indicated.</w:t>
      </w:r>
    </w:p>
    <w:p>
      <w:pPr>
        <w:spacing w:after="0" w:line="2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ESSENT GROUP LTD.</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15240</wp:posOffset>
            </wp:positionV>
            <wp:extent cx="2968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68625" cy="8255"/>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Mark A. Casale</w:t>
      </w:r>
    </w:p>
    <w:p>
      <w:pPr>
        <w:spacing w:after="0" w:line="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ind w:left="5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5340" w:val="left"/>
        </w:tabs>
        <w:rPr>
          <w:sz w:val="20"/>
          <w:szCs w:val="20"/>
          <w:color w:val="auto"/>
        </w:rPr>
      </w:pPr>
      <w:r>
        <w:rPr>
          <w:rFonts w:ascii="Times New Roman" w:cs="Times New Roman" w:eastAsia="Times New Roman" w:hAnsi="Times New Roman"/>
          <w:sz w:val="18"/>
          <w:szCs w:val="18"/>
          <w:color w:val="auto"/>
        </w:rPr>
        <w:t>Date: May 9, 2025</w:t>
      </w:r>
      <w:r>
        <w:rPr>
          <w:sz w:val="20"/>
          <w:szCs w:val="20"/>
          <w:color w:val="auto"/>
        </w:rPr>
        <w:tab/>
      </w:r>
      <w:r>
        <w:rPr>
          <w:rFonts w:ascii="Times New Roman" w:cs="Times New Roman" w:eastAsia="Times New Roman" w:hAnsi="Times New Roman"/>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15240</wp:posOffset>
            </wp:positionV>
            <wp:extent cx="2968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68625" cy="8255"/>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320" w:top="121" w:right="55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Casale, certify that:</w:t>
      </w:r>
    </w:p>
    <w:p>
      <w:pPr>
        <w:spacing w:after="0" w:line="218" w:lineRule="exact"/>
        <w:rPr>
          <w:sz w:val="20"/>
          <w:szCs w:val="20"/>
          <w:color w:val="auto"/>
        </w:rPr>
      </w:pPr>
    </w:p>
    <w:p>
      <w:pPr>
        <w:ind w:left="560" w:hanging="554"/>
        <w:spacing w:after="0"/>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18" w:lineRule="exact"/>
        <w:rPr>
          <w:rFonts w:ascii="Times New Roman" w:cs="Times New Roman" w:eastAsia="Times New Roman" w:hAnsi="Times New Roman"/>
          <w:sz w:val="18"/>
          <w:szCs w:val="18"/>
          <w:color w:val="auto"/>
        </w:rPr>
      </w:pPr>
    </w:p>
    <w:p>
      <w:pPr>
        <w:jc w:val="both"/>
        <w:ind w:right="420" w:firstLine="6"/>
        <w:spacing w:after="0" w:line="305" w:lineRule="auto"/>
        <w:tabs>
          <w:tab w:leader="none" w:pos="50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00" w:firstLine="6"/>
        <w:spacing w:after="0" w:line="275" w:lineRule="auto"/>
        <w:tabs>
          <w:tab w:leader="none" w:pos="5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firstLine="6"/>
        <w:spacing w:after="0" w:line="260" w:lineRule="auto"/>
        <w:tabs>
          <w:tab w:leader="none" w:pos="5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200" w:firstLine="484"/>
        <w:spacing w:after="0" w:line="260" w:lineRule="auto"/>
        <w:tabs>
          <w:tab w:leader="none" w:pos="9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40" w:firstLine="484"/>
        <w:spacing w:after="0" w:line="260" w:lineRule="auto"/>
        <w:tabs>
          <w:tab w:leader="none" w:pos="9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700" w:firstLine="484"/>
        <w:spacing w:after="0" w:line="275" w:lineRule="auto"/>
        <w:tabs>
          <w:tab w:leader="none" w:pos="99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right="160" w:firstLine="484"/>
        <w:spacing w:after="0" w:line="260" w:lineRule="auto"/>
        <w:tabs>
          <w:tab w:leader="none" w:pos="9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300" w:firstLine="6"/>
        <w:spacing w:after="0" w:line="275" w:lineRule="auto"/>
        <w:tabs>
          <w:tab w:leader="none" w:pos="5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140" w:firstLine="484"/>
        <w:spacing w:after="0" w:line="275" w:lineRule="auto"/>
        <w:tabs>
          <w:tab w:leader="none" w:pos="99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00" w:firstLine="484"/>
        <w:spacing w:after="0" w:line="275" w:lineRule="auto"/>
        <w:tabs>
          <w:tab w:leader="none" w:pos="100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4132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3258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Weinstock, certify that:</w:t>
      </w:r>
    </w:p>
    <w:p>
      <w:pPr>
        <w:spacing w:after="0" w:line="218" w:lineRule="exact"/>
        <w:rPr>
          <w:sz w:val="20"/>
          <w:szCs w:val="20"/>
          <w:color w:val="auto"/>
        </w:rPr>
      </w:pPr>
    </w:p>
    <w:p>
      <w:pPr>
        <w:ind w:left="560" w:hanging="554"/>
        <w:spacing w:after="0"/>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Essent Group Ltd.;</w:t>
      </w:r>
    </w:p>
    <w:p>
      <w:pPr>
        <w:spacing w:after="0" w:line="218" w:lineRule="exact"/>
        <w:rPr>
          <w:rFonts w:ascii="Times New Roman" w:cs="Times New Roman" w:eastAsia="Times New Roman" w:hAnsi="Times New Roman"/>
          <w:sz w:val="18"/>
          <w:szCs w:val="18"/>
          <w:color w:val="auto"/>
        </w:rPr>
      </w:pPr>
    </w:p>
    <w:p>
      <w:pPr>
        <w:jc w:val="both"/>
        <w:ind w:right="420" w:firstLine="6"/>
        <w:spacing w:after="0" w:line="305" w:lineRule="auto"/>
        <w:tabs>
          <w:tab w:leader="none" w:pos="50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Times New Roman" w:cs="Times New Roman" w:eastAsia="Times New Roman" w:hAnsi="Times New Roman"/>
          <w:sz w:val="17"/>
          <w:szCs w:val="17"/>
          <w:color w:val="auto"/>
        </w:rPr>
      </w:pPr>
    </w:p>
    <w:p>
      <w:pPr>
        <w:ind w:right="400" w:firstLine="6"/>
        <w:spacing w:after="0" w:line="275" w:lineRule="auto"/>
        <w:tabs>
          <w:tab w:leader="none" w:pos="5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firstLine="6"/>
        <w:spacing w:after="0" w:line="260" w:lineRule="auto"/>
        <w:tabs>
          <w:tab w:leader="none" w:pos="5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right="200" w:firstLine="484"/>
        <w:spacing w:after="0" w:line="260" w:lineRule="auto"/>
        <w:tabs>
          <w:tab w:leader="none" w:pos="9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right="40" w:firstLine="484"/>
        <w:spacing w:after="0" w:line="260" w:lineRule="auto"/>
        <w:tabs>
          <w:tab w:leader="none" w:pos="9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right="700" w:firstLine="484"/>
        <w:spacing w:after="0" w:line="275" w:lineRule="auto"/>
        <w:tabs>
          <w:tab w:leader="none" w:pos="99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8"/>
          <w:szCs w:val="18"/>
          <w:color w:val="auto"/>
        </w:rPr>
      </w:pPr>
    </w:p>
    <w:p>
      <w:pPr>
        <w:jc w:val="both"/>
        <w:ind w:right="160" w:firstLine="484"/>
        <w:spacing w:after="0" w:line="260" w:lineRule="auto"/>
        <w:tabs>
          <w:tab w:leader="none" w:pos="9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right="300" w:firstLine="6"/>
        <w:spacing w:after="0" w:line="275" w:lineRule="auto"/>
        <w:tabs>
          <w:tab w:leader="none" w:pos="5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right="140" w:firstLine="484"/>
        <w:spacing w:after="0" w:line="275" w:lineRule="auto"/>
        <w:tabs>
          <w:tab w:leader="none" w:pos="99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00" w:firstLine="484"/>
        <w:spacing w:after="0" w:line="275" w:lineRule="auto"/>
        <w:tabs>
          <w:tab w:leader="none" w:pos="10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4132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3258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6" w:right="339" w:bottom="1440" w:gutter="0" w:footer="0" w:header="0"/>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9" w:lineRule="exact"/>
        <w:rPr>
          <w:sz w:val="20"/>
          <w:szCs w:val="20"/>
          <w:color w:val="auto"/>
        </w:rPr>
      </w:pPr>
    </w:p>
    <w:p>
      <w:pPr>
        <w:jc w:val="center"/>
        <w:spacing w:after="0" w:line="277"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62"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8"/>
          <w:szCs w:val="18"/>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7" w:lineRule="exact"/>
        <w:rPr>
          <w:sz w:val="20"/>
          <w:szCs w:val="20"/>
          <w:color w:val="auto"/>
        </w:rPr>
      </w:pPr>
    </w:p>
    <w:p>
      <w:pPr>
        <w:ind w:right="260" w:firstLine="6"/>
        <w:spacing w:after="0" w:line="275" w:lineRule="auto"/>
        <w:tabs>
          <w:tab w:leader="none" w:pos="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2025 (the “Report”) fully complies with the requirements of Section 13(a) or 15(d) of the Securities Exchange Act of 1934; and</w:t>
      </w:r>
    </w:p>
    <w:p>
      <w:pPr>
        <w:spacing w:after="0" w:line="163" w:lineRule="exact"/>
        <w:rPr>
          <w:rFonts w:ascii="Times New Roman" w:cs="Times New Roman" w:eastAsia="Times New Roman" w:hAnsi="Times New Roman"/>
          <w:sz w:val="18"/>
          <w:szCs w:val="18"/>
          <w:color w:val="auto"/>
        </w:rPr>
      </w:pPr>
    </w:p>
    <w:p>
      <w:pPr>
        <w:ind w:right="340" w:firstLine="6"/>
        <w:spacing w:after="0" w:line="521" w:lineRule="auto"/>
        <w:tabs>
          <w:tab w:leader="none" w:pos="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9, 2025</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02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A. Casale</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550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Weinstock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0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2025-05-09T16:22:13Z</dcterms:created>
  <dcterms:modified xsi:type="dcterms:W3CDTF">2025-05-09T16:22:13Z</dcterms:modified>
</cp:coreProperties>
</file>