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9"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2072005</wp:posOffset>
            </wp:positionH>
            <wp:positionV relativeFrom="paragraph">
              <wp:posOffset>167640</wp:posOffset>
            </wp:positionV>
            <wp:extent cx="31216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2072005</wp:posOffset>
            </wp:positionH>
            <wp:positionV relativeFrom="paragraph">
              <wp:posOffset>324485</wp:posOffset>
            </wp:positionV>
            <wp:extent cx="31216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8" w:lineRule="exact"/>
        <w:rPr>
          <w:sz w:val="24"/>
          <w:szCs w:val="24"/>
          <w:color w:val="auto"/>
        </w:rPr>
      </w:pPr>
    </w:p>
    <w:p>
      <w:pPr>
        <w:ind w:left="80"/>
        <w:spacing w:after="0"/>
        <w:rPr>
          <w:sz w:val="20"/>
          <w:szCs w:val="20"/>
          <w:color w:val="auto"/>
        </w:rPr>
      </w:pPr>
      <w:r>
        <w:rPr>
          <w:rFonts w:ascii="Arial" w:cs="Arial" w:eastAsia="Arial" w:hAnsi="Arial"/>
          <w:sz w:val="18"/>
          <w:szCs w:val="18"/>
          <w:b w:val="1"/>
          <w:bCs w:val="1"/>
          <w:color w:val="auto"/>
        </w:rPr>
        <w:t>(Mark One)</w:t>
      </w:r>
    </w:p>
    <w:p>
      <w:pPr>
        <w:spacing w:after="0" w:line="230" w:lineRule="exact"/>
        <w:rPr>
          <w:sz w:val="24"/>
          <w:szCs w:val="24"/>
          <w:color w:val="auto"/>
        </w:rPr>
      </w:pPr>
    </w:p>
    <w:p>
      <w:pPr>
        <w:ind w:left="640" w:hanging="308"/>
        <w:spacing w:after="0"/>
        <w:tabs>
          <w:tab w:leader="none" w:pos="64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QUARTERLY REPORT PURSUANT TO SECTION 13 OR 15(d) OF THE SECURITIES EXCHANGE ACT OF</w:t>
      </w:r>
    </w:p>
    <w:p>
      <w:pPr>
        <w:spacing w:after="0" w:line="69" w:lineRule="exact"/>
        <w:rPr>
          <w:rFonts w:ascii="MS PGothic" w:cs="MS PGothic" w:eastAsia="MS PGothic" w:hAnsi="MS PGothic"/>
          <w:sz w:val="21"/>
          <w:szCs w:val="21"/>
          <w:color w:val="auto"/>
        </w:rPr>
      </w:pPr>
    </w:p>
    <w:p>
      <w:pPr>
        <w:spacing w:after="0"/>
        <w:rPr>
          <w:rFonts w:ascii="MS PGothic" w:cs="MS PGothic" w:eastAsia="MS PGothic" w:hAnsi="MS PGothic"/>
          <w:sz w:val="21"/>
          <w:szCs w:val="21"/>
          <w:color w:val="auto"/>
        </w:rPr>
      </w:pPr>
      <w:r>
        <w:rPr>
          <w:rFonts w:ascii="Arial" w:cs="Arial" w:eastAsia="Arial" w:hAnsi="Arial"/>
          <w:sz w:val="22"/>
          <w:szCs w:val="22"/>
          <w:b w:val="1"/>
          <w:bCs w:val="1"/>
          <w:color w:val="auto"/>
        </w:rPr>
        <w:t>1934</w:t>
      </w:r>
    </w:p>
    <w:p>
      <w:pPr>
        <w:spacing w:after="0" w:line="215"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For the period ended March 31, 2016</w:t>
      </w:r>
    </w:p>
    <w:p>
      <w:pPr>
        <w:spacing w:after="0" w:line="230" w:lineRule="exact"/>
        <w:rPr>
          <w:sz w:val="24"/>
          <w:szCs w:val="24"/>
          <w:color w:val="auto"/>
        </w:rPr>
      </w:pPr>
    </w:p>
    <w:p>
      <w:pPr>
        <w:ind w:left="600" w:hanging="268"/>
        <w:spacing w:after="0"/>
        <w:tabs>
          <w:tab w:leader="none" w:pos="600" w:val="left"/>
        </w:tabs>
        <w:numPr>
          <w:ilvl w:val="0"/>
          <w:numId w:val="2"/>
        </w:numPr>
        <w:rPr>
          <w:rFonts w:ascii="Arial" w:cs="Arial" w:eastAsia="Arial" w:hAnsi="Arial"/>
          <w:sz w:val="21"/>
          <w:szCs w:val="21"/>
          <w:b w:val="1"/>
          <w:bCs w:val="1"/>
          <w:color w:val="auto"/>
        </w:rPr>
      </w:pPr>
      <w:r>
        <w:rPr>
          <w:rFonts w:ascii="Arial" w:cs="Arial" w:eastAsia="Arial" w:hAnsi="Arial"/>
          <w:sz w:val="21"/>
          <w:szCs w:val="21"/>
          <w:b w:val="1"/>
          <w:bCs w:val="1"/>
          <w:color w:val="auto"/>
        </w:rPr>
        <w:t>TRANSITION REPORT PURSUANT TO SECTION 13 OR 15(d) OF THE SECURITIES EXCHANGE ACT OF</w:t>
      </w:r>
    </w:p>
    <w:p>
      <w:pPr>
        <w:spacing w:after="0" w:line="69" w:lineRule="exact"/>
        <w:rPr>
          <w:rFonts w:ascii="Arial" w:cs="Arial" w:eastAsia="Arial" w:hAnsi="Arial"/>
          <w:sz w:val="21"/>
          <w:szCs w:val="21"/>
          <w:b w:val="1"/>
          <w:bCs w:val="1"/>
          <w:color w:val="auto"/>
        </w:rPr>
      </w:pPr>
    </w:p>
    <w:p>
      <w:pPr>
        <w:spacing w:after="0"/>
        <w:rPr>
          <w:rFonts w:ascii="Arial" w:cs="Arial" w:eastAsia="Arial" w:hAnsi="Arial"/>
          <w:sz w:val="21"/>
          <w:szCs w:val="21"/>
          <w:b w:val="1"/>
          <w:bCs w:val="1"/>
          <w:color w:val="auto"/>
        </w:rPr>
      </w:pPr>
      <w:r>
        <w:rPr>
          <w:rFonts w:ascii="Arial" w:cs="Arial" w:eastAsia="Arial" w:hAnsi="Arial"/>
          <w:sz w:val="22"/>
          <w:szCs w:val="22"/>
          <w:b w:val="1"/>
          <w:bCs w:val="1"/>
          <w:color w:val="auto"/>
        </w:rPr>
        <w:t>1934</w:t>
      </w:r>
    </w:p>
    <w:p>
      <w:pPr>
        <w:sectPr>
          <w:pgSz w:w="11900" w:h="16838" w:orient="portrait"/>
          <w:cols w:equalWidth="0" w:num="1">
            <w:col w:w="11240"/>
          </w:cols>
          <w:pgMar w:left="240" w:top="233" w:right="419" w:bottom="1440" w:gutter="0" w:footer="0" w:header="0"/>
        </w:sectPr>
      </w:pPr>
    </w:p>
    <w:p>
      <w:pPr>
        <w:spacing w:after="0" w:line="215" w:lineRule="exact"/>
        <w:rPr>
          <w:sz w:val="24"/>
          <w:szCs w:val="24"/>
          <w:color w:val="auto"/>
        </w:rPr>
      </w:pPr>
    </w:p>
    <w:p>
      <w:pPr>
        <w:ind w:left="386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19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to</w:t>
      </w:r>
    </w:p>
    <w:p>
      <w:pPr>
        <w:spacing w:after="0" w:line="200" w:lineRule="exact"/>
        <w:rPr>
          <w:sz w:val="24"/>
          <w:szCs w:val="24"/>
          <w:color w:val="auto"/>
        </w:rPr>
      </w:pPr>
    </w:p>
    <w:p>
      <w:pPr>
        <w:sectPr>
          <w:pgSz w:w="11900" w:h="16838" w:orient="portrait"/>
          <w:cols w:equalWidth="0" w:num="2">
            <w:col w:w="6200" w:space="620"/>
            <w:col w:w="4420"/>
          </w:cols>
          <w:pgMar w:left="240" w:top="233" w:right="419" w:bottom="1440" w:gutter="0" w:footer="0" w:header="0"/>
          <w:type w:val="continuous"/>
        </w:sectPr>
      </w:pPr>
    </w:p>
    <w:p>
      <w:pPr>
        <w:spacing w:after="0" w:line="48" w:lineRule="exact"/>
        <w:rPr>
          <w:sz w:val="24"/>
          <w:szCs w:val="24"/>
          <w:color w:val="auto"/>
        </w:rPr>
      </w:pPr>
    </w:p>
    <w:p>
      <w:pPr>
        <w:jc w:val="center"/>
        <w:ind w:right="-139"/>
        <w:spacing w:after="0"/>
        <w:rPr>
          <w:sz w:val="20"/>
          <w:szCs w:val="20"/>
          <w:color w:val="auto"/>
        </w:rPr>
      </w:pPr>
      <w:r>
        <w:rPr>
          <w:rFonts w:ascii="Arial" w:cs="Arial" w:eastAsia="Arial" w:hAnsi="Arial"/>
          <w:sz w:val="16"/>
          <w:szCs w:val="16"/>
          <w:b w:val="1"/>
          <w:bCs w:val="1"/>
          <w:color w:val="auto"/>
        </w:rPr>
        <w:t>Commission file number 001-36157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2072005</wp:posOffset>
            </wp:positionH>
            <wp:positionV relativeFrom="paragraph">
              <wp:posOffset>194945</wp:posOffset>
            </wp:positionV>
            <wp:extent cx="31216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ectPr>
          <w:pgSz w:w="11900" w:h="16838" w:orient="portrait"/>
          <w:cols w:equalWidth="0" w:num="1">
            <w:col w:w="11240"/>
          </w:cols>
          <w:pgMar w:left="240" w:top="233" w:right="419" w:bottom="1440" w:gutter="0" w:footer="0" w:header="0"/>
          <w:type w:val="continuous"/>
        </w:sectPr>
      </w:pPr>
    </w:p>
    <w:p>
      <w:pPr>
        <w:spacing w:after="0" w:line="200" w:lineRule="exact"/>
        <w:rPr>
          <w:sz w:val="24"/>
          <w:szCs w:val="24"/>
          <w:color w:val="auto"/>
        </w:rPr>
      </w:pPr>
    </w:p>
    <w:p>
      <w:pPr>
        <w:spacing w:after="0" w:line="309" w:lineRule="exact"/>
        <w:rPr>
          <w:sz w:val="24"/>
          <w:szCs w:val="24"/>
          <w:color w:val="auto"/>
        </w:rPr>
      </w:pPr>
    </w:p>
    <w:tbl>
      <w:tblPr>
        <w:tblLayout w:type="fixed"/>
        <w:tblInd w:w="1660" w:type="dxa"/>
        <w:tblCellMar>
          <w:top w:w="0" w:type="dxa"/>
          <w:left w:w="0" w:type="dxa"/>
          <w:bottom w:w="0" w:type="dxa"/>
          <w:right w:w="0" w:type="dxa"/>
        </w:tblCellMar>
      </w:tblPr>
      <w:tr>
        <w:trPr>
          <w:trHeight w:val="391"/>
        </w:trPr>
        <w:tc>
          <w:tcPr>
            <w:tcW w:w="1600" w:type="dxa"/>
            <w:vAlign w:val="bottom"/>
          </w:tcPr>
          <w:p>
            <w:pPr>
              <w:spacing w:after="0"/>
              <w:rPr>
                <w:sz w:val="24"/>
                <w:szCs w:val="24"/>
                <w:color w:val="auto"/>
              </w:rPr>
            </w:pPr>
          </w:p>
        </w:tc>
        <w:tc>
          <w:tcPr>
            <w:tcW w:w="4480" w:type="dxa"/>
            <w:vAlign w:val="bottom"/>
          </w:tcPr>
          <w:p>
            <w:pPr>
              <w:jc w:val="center"/>
              <w:ind w:left="320"/>
              <w:spacing w:after="0"/>
              <w:rPr>
                <w:sz w:val="20"/>
                <w:szCs w:val="20"/>
                <w:color w:val="auto"/>
              </w:rPr>
            </w:pPr>
            <w:r>
              <w:rPr>
                <w:rFonts w:ascii="Arial" w:cs="Arial" w:eastAsia="Arial" w:hAnsi="Arial"/>
                <w:sz w:val="32"/>
                <w:szCs w:val="32"/>
                <w:b w:val="1"/>
                <w:bCs w:val="1"/>
                <w:color w:val="auto"/>
                <w:w w:val="98"/>
              </w:rPr>
              <w:t>ESSENT GROUP LTD.</w:t>
            </w:r>
          </w:p>
        </w:tc>
        <w:tc>
          <w:tcPr>
            <w:tcW w:w="4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30"/>
        </w:trPr>
        <w:tc>
          <w:tcPr>
            <w:tcW w:w="1600" w:type="dxa"/>
            <w:vAlign w:val="bottom"/>
          </w:tcPr>
          <w:p>
            <w:pPr>
              <w:spacing w:after="0"/>
              <w:rPr>
                <w:sz w:val="20"/>
                <w:szCs w:val="20"/>
                <w:color w:val="auto"/>
              </w:rPr>
            </w:pPr>
          </w:p>
        </w:tc>
        <w:tc>
          <w:tcPr>
            <w:tcW w:w="4480" w:type="dxa"/>
            <w:vAlign w:val="bottom"/>
          </w:tcPr>
          <w:p>
            <w:pPr>
              <w:jc w:val="center"/>
              <w:ind w:left="340"/>
              <w:spacing w:after="0"/>
              <w:rPr>
                <w:sz w:val="20"/>
                <w:szCs w:val="20"/>
                <w:color w:val="auto"/>
              </w:rPr>
            </w:pPr>
            <w:r>
              <w:rPr>
                <w:rFonts w:ascii="Arial" w:cs="Arial" w:eastAsia="Arial" w:hAnsi="Arial"/>
                <w:sz w:val="18"/>
                <w:szCs w:val="18"/>
                <w:color w:val="auto"/>
                <w:w w:val="90"/>
              </w:rPr>
              <w:t>(Exact name of registrant as specified in its charter)</w:t>
            </w:r>
          </w:p>
        </w:tc>
        <w:tc>
          <w:tcPr>
            <w:tcW w:w="44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57"/>
        </w:trPr>
        <w:tc>
          <w:tcPr>
            <w:tcW w:w="1600" w:type="dxa"/>
            <w:vAlign w:val="bottom"/>
          </w:tcPr>
          <w:p>
            <w:pPr>
              <w:spacing w:after="0"/>
              <w:rPr>
                <w:sz w:val="22"/>
                <w:szCs w:val="22"/>
                <w:color w:val="auto"/>
              </w:rPr>
            </w:pPr>
          </w:p>
        </w:tc>
        <w:tc>
          <w:tcPr>
            <w:tcW w:w="448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40" w:type="dxa"/>
            <w:vAlign w:val="bottom"/>
          </w:tcPr>
          <w:p>
            <w:pPr>
              <w:spacing w:after="0"/>
              <w:rPr>
                <w:sz w:val="22"/>
                <w:szCs w:val="22"/>
                <w:color w:val="auto"/>
              </w:rPr>
            </w:pPr>
          </w:p>
        </w:tc>
      </w:tr>
      <w:tr>
        <w:trPr>
          <w:trHeight w:val="588"/>
        </w:trPr>
        <w:tc>
          <w:tcPr>
            <w:tcW w:w="6080" w:type="dxa"/>
            <w:vAlign w:val="bottom"/>
            <w:gridSpan w:val="2"/>
          </w:tcPr>
          <w:p>
            <w:pPr>
              <w:jc w:val="center"/>
              <w:ind w:right="3820"/>
              <w:spacing w:after="0"/>
              <w:rPr>
                <w:sz w:val="20"/>
                <w:szCs w:val="20"/>
                <w:color w:val="auto"/>
              </w:rPr>
            </w:pPr>
            <w:r>
              <w:rPr>
                <w:rFonts w:ascii="Arial" w:cs="Arial" w:eastAsia="Arial" w:hAnsi="Arial"/>
                <w:sz w:val="18"/>
                <w:szCs w:val="18"/>
                <w:b w:val="1"/>
                <w:bCs w:val="1"/>
                <w:color w:val="auto"/>
                <w:w w:val="92"/>
              </w:rPr>
              <w:t>Bermuda</w:t>
            </w:r>
          </w:p>
        </w:tc>
        <w:tc>
          <w:tcPr>
            <w:tcW w:w="1780" w:type="dxa"/>
            <w:vAlign w:val="bottom"/>
            <w:gridSpan w:val="2"/>
          </w:tcPr>
          <w:p>
            <w:pPr>
              <w:jc w:val="center"/>
              <w:ind w:left="10"/>
              <w:spacing w:after="0"/>
              <w:rPr>
                <w:sz w:val="20"/>
                <w:szCs w:val="20"/>
                <w:color w:val="auto"/>
              </w:rPr>
            </w:pPr>
            <w:r>
              <w:rPr>
                <w:rFonts w:ascii="Arial" w:cs="Arial" w:eastAsia="Arial" w:hAnsi="Arial"/>
                <w:sz w:val="18"/>
                <w:szCs w:val="18"/>
                <w:b w:val="1"/>
                <w:bCs w:val="1"/>
                <w:color w:val="auto"/>
                <w:w w:val="92"/>
              </w:rPr>
              <w:t>Not Applicable</w:t>
            </w:r>
          </w:p>
        </w:tc>
      </w:tr>
      <w:tr>
        <w:trPr>
          <w:trHeight w:val="256"/>
        </w:trPr>
        <w:tc>
          <w:tcPr>
            <w:tcW w:w="6080" w:type="dxa"/>
            <w:vAlign w:val="bottom"/>
            <w:gridSpan w:val="2"/>
          </w:tcPr>
          <w:p>
            <w:pPr>
              <w:jc w:val="center"/>
              <w:ind w:right="3800"/>
              <w:spacing w:after="0"/>
              <w:rPr>
                <w:sz w:val="20"/>
                <w:szCs w:val="20"/>
                <w:color w:val="auto"/>
              </w:rPr>
            </w:pPr>
            <w:r>
              <w:rPr>
                <w:rFonts w:ascii="Arial" w:cs="Arial" w:eastAsia="Arial" w:hAnsi="Arial"/>
                <w:sz w:val="18"/>
                <w:szCs w:val="18"/>
                <w:color w:val="auto"/>
                <w:w w:val="93"/>
              </w:rPr>
              <w:t>(State or other jurisdiction of</w:t>
            </w:r>
          </w:p>
        </w:tc>
        <w:tc>
          <w:tcPr>
            <w:tcW w:w="1780" w:type="dxa"/>
            <w:vAlign w:val="bottom"/>
            <w:gridSpan w:val="2"/>
          </w:tcPr>
          <w:p>
            <w:pPr>
              <w:jc w:val="center"/>
              <w:ind w:left="30"/>
              <w:spacing w:after="0"/>
              <w:rPr>
                <w:sz w:val="20"/>
                <w:szCs w:val="20"/>
                <w:color w:val="auto"/>
              </w:rPr>
            </w:pPr>
            <w:r>
              <w:rPr>
                <w:rFonts w:ascii="Arial" w:cs="Arial" w:eastAsia="Arial" w:hAnsi="Arial"/>
                <w:sz w:val="18"/>
                <w:szCs w:val="18"/>
                <w:color w:val="auto"/>
                <w:w w:val="92"/>
              </w:rPr>
              <w:t>(I.R.S. Employer</w:t>
            </w:r>
          </w:p>
        </w:tc>
      </w:tr>
      <w:tr>
        <w:trPr>
          <w:trHeight w:val="230"/>
        </w:trPr>
        <w:tc>
          <w:tcPr>
            <w:tcW w:w="6080" w:type="dxa"/>
            <w:vAlign w:val="bottom"/>
            <w:gridSpan w:val="2"/>
          </w:tcPr>
          <w:p>
            <w:pPr>
              <w:jc w:val="center"/>
              <w:ind w:right="3800"/>
              <w:spacing w:after="0"/>
              <w:rPr>
                <w:sz w:val="20"/>
                <w:szCs w:val="20"/>
                <w:color w:val="auto"/>
              </w:rPr>
            </w:pPr>
            <w:r>
              <w:rPr>
                <w:rFonts w:ascii="Arial" w:cs="Arial" w:eastAsia="Arial" w:hAnsi="Arial"/>
                <w:sz w:val="18"/>
                <w:szCs w:val="18"/>
                <w:color w:val="auto"/>
                <w:w w:val="93"/>
              </w:rPr>
              <w:t>incorporation or organization)</w:t>
            </w:r>
          </w:p>
        </w:tc>
        <w:tc>
          <w:tcPr>
            <w:tcW w:w="1780" w:type="dxa"/>
            <w:vAlign w:val="bottom"/>
            <w:gridSpan w:val="2"/>
          </w:tcPr>
          <w:p>
            <w:pPr>
              <w:jc w:val="center"/>
              <w:ind w:left="30"/>
              <w:spacing w:after="0"/>
              <w:rPr>
                <w:sz w:val="20"/>
                <w:szCs w:val="20"/>
                <w:color w:val="auto"/>
              </w:rPr>
            </w:pPr>
            <w:r>
              <w:rPr>
                <w:rFonts w:ascii="Arial" w:cs="Arial" w:eastAsia="Arial" w:hAnsi="Arial"/>
                <w:sz w:val="18"/>
                <w:szCs w:val="18"/>
                <w:color w:val="auto"/>
                <w:w w:val="94"/>
              </w:rPr>
              <w:t>Identification Number)</w:t>
            </w:r>
          </w:p>
        </w:tc>
      </w:tr>
      <w:tr>
        <w:trPr>
          <w:trHeight w:val="252"/>
        </w:trPr>
        <w:tc>
          <w:tcPr>
            <w:tcW w:w="1600" w:type="dxa"/>
            <w:vAlign w:val="bottom"/>
          </w:tcPr>
          <w:p>
            <w:pPr>
              <w:spacing w:after="0"/>
              <w:rPr>
                <w:sz w:val="21"/>
                <w:szCs w:val="21"/>
                <w:color w:val="auto"/>
              </w:rPr>
            </w:pPr>
          </w:p>
        </w:tc>
        <w:tc>
          <w:tcPr>
            <w:tcW w:w="4480" w:type="dxa"/>
            <w:vAlign w:val="bottom"/>
          </w:tcPr>
          <w:p>
            <w:pPr>
              <w:jc w:val="center"/>
              <w:ind w:left="320"/>
              <w:spacing w:after="0"/>
              <w:rPr>
                <w:sz w:val="20"/>
                <w:szCs w:val="20"/>
                <w:color w:val="auto"/>
              </w:rPr>
            </w:pPr>
            <w:r>
              <w:rPr>
                <w:rFonts w:ascii="Arial" w:cs="Arial" w:eastAsia="Arial" w:hAnsi="Arial"/>
                <w:sz w:val="18"/>
                <w:szCs w:val="18"/>
                <w:b w:val="1"/>
                <w:bCs w:val="1"/>
                <w:color w:val="auto"/>
                <w:w w:val="89"/>
              </w:rPr>
              <w:t>Clarendon House</w:t>
            </w:r>
          </w:p>
        </w:tc>
        <w:tc>
          <w:tcPr>
            <w:tcW w:w="44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16"/>
        </w:trPr>
        <w:tc>
          <w:tcPr>
            <w:tcW w:w="1600" w:type="dxa"/>
            <w:vAlign w:val="bottom"/>
          </w:tcPr>
          <w:p>
            <w:pPr>
              <w:spacing w:after="0"/>
              <w:rPr>
                <w:sz w:val="18"/>
                <w:szCs w:val="18"/>
                <w:color w:val="auto"/>
              </w:rPr>
            </w:pPr>
          </w:p>
        </w:tc>
        <w:tc>
          <w:tcPr>
            <w:tcW w:w="4480" w:type="dxa"/>
            <w:vAlign w:val="bottom"/>
          </w:tcPr>
          <w:p>
            <w:pPr>
              <w:jc w:val="center"/>
              <w:ind w:left="320"/>
              <w:spacing w:after="0"/>
              <w:rPr>
                <w:sz w:val="20"/>
                <w:szCs w:val="20"/>
                <w:color w:val="auto"/>
              </w:rPr>
            </w:pPr>
            <w:r>
              <w:rPr>
                <w:rFonts w:ascii="Arial" w:cs="Arial" w:eastAsia="Arial" w:hAnsi="Arial"/>
                <w:sz w:val="18"/>
                <w:szCs w:val="18"/>
                <w:b w:val="1"/>
                <w:bCs w:val="1"/>
                <w:color w:val="auto"/>
                <w:w w:val="90"/>
              </w:rPr>
              <w:t>2 Church Street</w:t>
            </w:r>
          </w:p>
        </w:tc>
        <w:tc>
          <w:tcPr>
            <w:tcW w:w="44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20"/>
        </w:trPr>
        <w:tc>
          <w:tcPr>
            <w:tcW w:w="1600" w:type="dxa"/>
            <w:vAlign w:val="bottom"/>
          </w:tcPr>
          <w:p>
            <w:pPr>
              <w:spacing w:after="0"/>
              <w:rPr>
                <w:sz w:val="19"/>
                <w:szCs w:val="19"/>
                <w:color w:val="auto"/>
              </w:rPr>
            </w:pPr>
          </w:p>
        </w:tc>
        <w:tc>
          <w:tcPr>
            <w:tcW w:w="4480" w:type="dxa"/>
            <w:vAlign w:val="bottom"/>
          </w:tcPr>
          <w:p>
            <w:pPr>
              <w:jc w:val="center"/>
              <w:ind w:left="320"/>
              <w:spacing w:after="0"/>
              <w:rPr>
                <w:sz w:val="20"/>
                <w:szCs w:val="20"/>
                <w:color w:val="auto"/>
              </w:rPr>
            </w:pPr>
            <w:r>
              <w:rPr>
                <w:rFonts w:ascii="Arial" w:cs="Arial" w:eastAsia="Arial" w:hAnsi="Arial"/>
                <w:sz w:val="18"/>
                <w:szCs w:val="18"/>
                <w:b w:val="1"/>
                <w:bCs w:val="1"/>
                <w:color w:val="auto"/>
                <w:w w:val="94"/>
              </w:rPr>
              <w:t>Hamilton HM11, Bermuda</w:t>
            </w:r>
          </w:p>
        </w:tc>
        <w:tc>
          <w:tcPr>
            <w:tcW w:w="44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0"/>
        </w:trPr>
        <w:tc>
          <w:tcPr>
            <w:tcW w:w="1600" w:type="dxa"/>
            <w:vAlign w:val="bottom"/>
          </w:tcPr>
          <w:p>
            <w:pPr>
              <w:spacing w:after="0"/>
              <w:rPr>
                <w:sz w:val="20"/>
                <w:szCs w:val="20"/>
                <w:color w:val="auto"/>
              </w:rPr>
            </w:pPr>
          </w:p>
        </w:tc>
        <w:tc>
          <w:tcPr>
            <w:tcW w:w="4480" w:type="dxa"/>
            <w:vAlign w:val="bottom"/>
          </w:tcPr>
          <w:p>
            <w:pPr>
              <w:jc w:val="center"/>
              <w:ind w:left="320"/>
              <w:spacing w:after="0"/>
              <w:rPr>
                <w:sz w:val="20"/>
                <w:szCs w:val="20"/>
                <w:color w:val="auto"/>
              </w:rPr>
            </w:pPr>
            <w:r>
              <w:rPr>
                <w:rFonts w:ascii="Arial" w:cs="Arial" w:eastAsia="Arial" w:hAnsi="Arial"/>
                <w:sz w:val="18"/>
                <w:szCs w:val="18"/>
                <w:color w:val="auto"/>
                <w:w w:val="91"/>
              </w:rPr>
              <w:t>(Address of principal executive offices and zip code)</w:t>
            </w:r>
          </w:p>
        </w:tc>
        <w:tc>
          <w:tcPr>
            <w:tcW w:w="44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418"/>
        </w:trPr>
        <w:tc>
          <w:tcPr>
            <w:tcW w:w="6080" w:type="dxa"/>
            <w:vAlign w:val="bottom"/>
            <w:gridSpan w:val="2"/>
          </w:tcPr>
          <w:p>
            <w:pPr>
              <w:jc w:val="center"/>
              <w:ind w:left="1950"/>
              <w:spacing w:after="0"/>
              <w:rPr>
                <w:sz w:val="20"/>
                <w:szCs w:val="20"/>
                <w:color w:val="auto"/>
              </w:rPr>
            </w:pPr>
            <w:r>
              <w:rPr>
                <w:rFonts w:ascii="Arial" w:cs="Arial" w:eastAsia="Arial" w:hAnsi="Arial"/>
                <w:sz w:val="18"/>
                <w:szCs w:val="18"/>
                <w:b w:val="1"/>
                <w:bCs w:val="1"/>
                <w:color w:val="auto"/>
                <w:w w:val="90"/>
              </w:rPr>
              <w:t>(441) 297-9901</w:t>
            </w:r>
          </w:p>
        </w:tc>
        <w:tc>
          <w:tcPr>
            <w:tcW w:w="4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30"/>
        </w:trPr>
        <w:tc>
          <w:tcPr>
            <w:tcW w:w="1600" w:type="dxa"/>
            <w:vAlign w:val="bottom"/>
          </w:tcPr>
          <w:p>
            <w:pPr>
              <w:spacing w:after="0"/>
              <w:rPr>
                <w:sz w:val="20"/>
                <w:szCs w:val="20"/>
                <w:color w:val="auto"/>
              </w:rPr>
            </w:pPr>
          </w:p>
        </w:tc>
        <w:tc>
          <w:tcPr>
            <w:tcW w:w="4480" w:type="dxa"/>
            <w:vAlign w:val="bottom"/>
          </w:tcPr>
          <w:p>
            <w:pPr>
              <w:jc w:val="center"/>
              <w:ind w:left="320"/>
              <w:spacing w:after="0"/>
              <w:rPr>
                <w:sz w:val="20"/>
                <w:szCs w:val="20"/>
                <w:color w:val="auto"/>
              </w:rPr>
            </w:pPr>
            <w:r>
              <w:rPr>
                <w:rFonts w:ascii="Arial" w:cs="Arial" w:eastAsia="Arial" w:hAnsi="Arial"/>
                <w:sz w:val="18"/>
                <w:szCs w:val="18"/>
                <w:color w:val="auto"/>
                <w:w w:val="90"/>
              </w:rPr>
              <w:t>(Registrant’s telephone number, including area code)</w:t>
            </w:r>
          </w:p>
        </w:tc>
        <w:tc>
          <w:tcPr>
            <w:tcW w:w="440" w:type="dxa"/>
            <w:vAlign w:val="bottom"/>
          </w:tcPr>
          <w:p>
            <w:pPr>
              <w:spacing w:after="0"/>
              <w:rPr>
                <w:sz w:val="20"/>
                <w:szCs w:val="20"/>
                <w:color w:val="auto"/>
              </w:rPr>
            </w:pPr>
          </w:p>
        </w:tc>
        <w:tc>
          <w:tcPr>
            <w:tcW w:w="1340" w:type="dxa"/>
            <w:vAlign w:val="bottom"/>
          </w:tcPr>
          <w:p>
            <w:pPr>
              <w:spacing w:after="0"/>
              <w:rPr>
                <w:sz w:val="20"/>
                <w:szCs w:val="20"/>
                <w:color w:val="auto"/>
              </w:rPr>
            </w:pPr>
          </w:p>
        </w:tc>
      </w:tr>
    </w:tbl>
    <w:p>
      <w:pPr>
        <w:spacing w:after="0" w:line="229" w:lineRule="exact"/>
        <w:rPr>
          <w:sz w:val="24"/>
          <w:szCs w:val="24"/>
          <w:color w:val="auto"/>
        </w:rPr>
      </w:pPr>
    </w:p>
    <w:p>
      <w:pPr>
        <w:jc w:val="both"/>
        <w:ind w:right="60" w:firstLine="554"/>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84" w:lineRule="exact"/>
        <w:rPr>
          <w:sz w:val="24"/>
          <w:szCs w:val="24"/>
          <w:color w:val="auto"/>
        </w:rPr>
      </w:pPr>
    </w:p>
    <w:p>
      <w:pPr>
        <w:ind w:right="60" w:firstLine="554"/>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84" w:lineRule="exact"/>
        <w:rPr>
          <w:sz w:val="24"/>
          <w:szCs w:val="24"/>
          <w:color w:val="auto"/>
        </w:rPr>
      </w:pPr>
    </w:p>
    <w:p>
      <w:pPr>
        <w:ind w:left="56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See the definitions of “large accelerated filer,” “accelerated filer” and “smaller reporting company” in Rule 12b-2 of the Exchange Act.</w:t>
      </w:r>
    </w:p>
    <w:p>
      <w:pPr>
        <w:sectPr>
          <w:pgSz w:w="11900" w:h="16838" w:orient="portrait"/>
          <w:cols w:equalWidth="0" w:num="1">
            <w:col w:w="11240"/>
          </w:cols>
          <w:pgMar w:left="240" w:top="233" w:right="419" w:bottom="1440" w:gutter="0" w:footer="0" w:header="0"/>
          <w:type w:val="continuous"/>
        </w:sectPr>
      </w:pPr>
    </w:p>
    <w:p>
      <w:pPr>
        <w:spacing w:after="0" w:line="157" w:lineRule="exact"/>
        <w:rPr>
          <w:sz w:val="24"/>
          <w:szCs w:val="24"/>
          <w:color w:val="auto"/>
        </w:rPr>
      </w:pPr>
    </w:p>
    <w:p>
      <w:pPr>
        <w:ind w:left="1880"/>
        <w:spacing w:after="0"/>
        <w:rPr>
          <w:sz w:val="20"/>
          <w:szCs w:val="20"/>
          <w:color w:val="auto"/>
        </w:rPr>
      </w:pPr>
      <w:r>
        <w:rPr>
          <w:rFonts w:ascii="Arial" w:cs="Arial" w:eastAsia="Arial" w:hAnsi="Arial"/>
          <w:sz w:val="16"/>
          <w:szCs w:val="16"/>
          <w:color w:val="auto"/>
        </w:rPr>
        <w:t>Large accelerated filer x</w:t>
      </w:r>
    </w:p>
    <w:p>
      <w:pPr>
        <w:spacing w:after="0" w:line="20" w:lineRule="exact"/>
        <w:rPr>
          <w:sz w:val="24"/>
          <w:szCs w:val="24"/>
          <w:color w:val="auto"/>
        </w:rPr>
      </w:pPr>
      <w:r>
        <w:rPr>
          <w:sz w:val="24"/>
          <w:szCs w:val="24"/>
          <w:color w:val="auto"/>
        </w:rPr>
        <w:br w:type="column"/>
      </w:r>
    </w:p>
    <w:p>
      <w:pPr>
        <w:spacing w:after="0" w:line="137"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o</w:t>
      </w:r>
    </w:p>
    <w:p>
      <w:pPr>
        <w:spacing w:after="0" w:line="86" w:lineRule="exact"/>
        <w:rPr>
          <w:sz w:val="24"/>
          <w:szCs w:val="24"/>
          <w:color w:val="auto"/>
        </w:rPr>
      </w:pPr>
    </w:p>
    <w:p>
      <w:pPr>
        <w:sectPr>
          <w:pgSz w:w="11900" w:h="16838" w:orient="portrait"/>
          <w:cols w:equalWidth="0" w:num="2">
            <w:col w:w="7300" w:space="720"/>
            <w:col w:w="3220"/>
          </w:cols>
          <w:pgMar w:left="240" w:top="233" w:right="419" w:bottom="1440" w:gutter="0" w:footer="0" w:header="0"/>
          <w:type w:val="continuous"/>
        </w:sectPr>
      </w:pPr>
    </w:p>
    <w:p>
      <w:pPr>
        <w:ind w:left="1920"/>
        <w:spacing w:after="0"/>
        <w:rPr>
          <w:sz w:val="20"/>
          <w:szCs w:val="20"/>
          <w:color w:val="auto"/>
        </w:rPr>
      </w:pPr>
      <w:r>
        <w:rPr>
          <w:rFonts w:ascii="Arial" w:cs="Arial" w:eastAsia="Arial" w:hAnsi="Arial"/>
          <w:sz w:val="16"/>
          <w:szCs w:val="16"/>
          <w:color w:val="auto"/>
        </w:rPr>
        <w:t>Non-accelerated filer 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Smaller reporting company o</w:t>
      </w:r>
    </w:p>
    <w:p>
      <w:pPr>
        <w:spacing w:after="0" w:line="200" w:lineRule="exact"/>
        <w:rPr>
          <w:sz w:val="24"/>
          <w:szCs w:val="24"/>
          <w:color w:val="auto"/>
        </w:rPr>
      </w:pPr>
    </w:p>
    <w:p>
      <w:pPr>
        <w:sectPr>
          <w:pgSz w:w="11900" w:h="16838" w:orient="portrait"/>
          <w:cols w:equalWidth="0" w:num="2">
            <w:col w:w="6920" w:space="720"/>
            <w:col w:w="3600"/>
          </w:cols>
          <w:pgMar w:left="240" w:top="233" w:right="419" w:bottom="1440" w:gutter="0" w:footer="0" w:header="0"/>
          <w:type w:val="continuous"/>
        </w:sectPr>
      </w:pPr>
    </w:p>
    <w:p>
      <w:pPr>
        <w:spacing w:after="0" w:line="43" w:lineRule="exact"/>
        <w:rPr>
          <w:sz w:val="24"/>
          <w:szCs w:val="24"/>
          <w:color w:val="auto"/>
        </w:rPr>
      </w:pPr>
    </w:p>
    <w:p>
      <w:pPr>
        <w:ind w:left="600" w:right="1500" w:hanging="41"/>
        <w:spacing w:after="0" w:line="239"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o No </w:t>
      </w:r>
      <w:r>
        <w:rPr>
          <w:rFonts w:ascii="MS PGothic" w:cs="MS PGothic" w:eastAsia="MS PGothic" w:hAnsi="MS PGothic"/>
          <w:sz w:val="18"/>
          <w:szCs w:val="18"/>
          <w:color w:val="auto"/>
        </w:rPr>
        <w:t>☒</w:t>
      </w:r>
      <w:r>
        <w:rPr>
          <w:rFonts w:ascii="Arial" w:cs="Arial" w:eastAsia="Arial" w:hAnsi="Arial"/>
          <w:sz w:val="18"/>
          <w:szCs w:val="18"/>
          <w:color w:val="auto"/>
        </w:rPr>
        <w:t xml:space="preserve"> The number of the registrant’s common shares outstanding as of May 2, 2016 was 93,071,500.</w:t>
      </w:r>
    </w:p>
    <w:p>
      <w:pPr>
        <w:sectPr>
          <w:pgSz w:w="11900" w:h="16838" w:orient="portrait"/>
          <w:cols w:equalWidth="0" w:num="1">
            <w:col w:w="11240"/>
          </w:cols>
          <w:pgMar w:left="240" w:top="233" w:right="41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640" w:type="dxa"/>
            <w:vAlign w:val="bottom"/>
            <w:gridSpan w:val="9"/>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80"/>
        </w:trPr>
        <w:tc>
          <w:tcPr>
            <w:tcW w:w="4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980" w:type="dxa"/>
            <w:vAlign w:val="bottom"/>
            <w:gridSpan w:val="9"/>
          </w:tcPr>
          <w:p>
            <w:pPr>
              <w:jc w:val="center"/>
              <w:ind w:right="4040"/>
              <w:spacing w:after="0"/>
              <w:rPr>
                <w:sz w:val="20"/>
                <w:szCs w:val="20"/>
                <w:color w:val="auto"/>
              </w:rPr>
            </w:pPr>
            <w:r>
              <w:rPr>
                <w:rFonts w:ascii="Arial" w:cs="Arial" w:eastAsia="Arial" w:hAnsi="Arial"/>
                <w:sz w:val="18"/>
                <w:szCs w:val="18"/>
                <w:b w:val="1"/>
                <w:bCs w:val="1"/>
                <w:color w:val="auto"/>
                <w:w w:val="89"/>
              </w:rPr>
              <w:t>Essent Group Ltd. and Subsidiaries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980" w:type="dxa"/>
            <w:vAlign w:val="bottom"/>
            <w:gridSpan w:val="9"/>
          </w:tcPr>
          <w:p>
            <w:pPr>
              <w:jc w:val="center"/>
              <w:ind w:right="4040"/>
              <w:spacing w:after="0"/>
              <w:rPr>
                <w:sz w:val="20"/>
                <w:szCs w:val="20"/>
                <w:color w:val="auto"/>
              </w:rPr>
            </w:pPr>
            <w:r>
              <w:rPr>
                <w:rFonts w:ascii="Arial" w:cs="Arial" w:eastAsia="Arial" w:hAnsi="Arial"/>
                <w:sz w:val="18"/>
                <w:szCs w:val="18"/>
                <w:b w:val="1"/>
                <w:bCs w:val="1"/>
                <w:color w:val="auto"/>
                <w:w w:val="95"/>
              </w:rPr>
              <w:t>Form 10-Q</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980" w:type="dxa"/>
            <w:vAlign w:val="bottom"/>
            <w:gridSpan w:val="9"/>
          </w:tcPr>
          <w:p>
            <w:pPr>
              <w:jc w:val="center"/>
              <w:ind w:right="4020"/>
              <w:spacing w:after="0"/>
              <w:rPr>
                <w:sz w:val="20"/>
                <w:szCs w:val="20"/>
                <w:color w:val="auto"/>
              </w:rPr>
            </w:pPr>
            <w:r>
              <w:rPr>
                <w:rFonts w:ascii="Arial" w:cs="Arial" w:eastAsia="Arial" w:hAnsi="Arial"/>
                <w:sz w:val="18"/>
                <w:szCs w:val="18"/>
                <w:b w:val="1"/>
                <w:bCs w:val="1"/>
                <w:color w:val="auto"/>
                <w:w w:val="93"/>
              </w:rPr>
              <w:t>Index</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54"/>
        </w:trPr>
        <w:tc>
          <w:tcPr>
            <w:tcW w:w="40" w:type="dxa"/>
            <w:vAlign w:val="bottom"/>
          </w:tcPr>
          <w:p>
            <w:pPr>
              <w:spacing w:after="0"/>
              <w:rPr>
                <w:sz w:val="24"/>
                <w:szCs w:val="24"/>
                <w:color w:val="auto"/>
              </w:rPr>
            </w:pPr>
          </w:p>
        </w:tc>
        <w:tc>
          <w:tcPr>
            <w:tcW w:w="1600" w:type="dxa"/>
            <w:vAlign w:val="bottom"/>
            <w:gridSpan w:val="8"/>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PART I.</w:t>
              </w:r>
            </w:hyperlink>
          </w:p>
        </w:tc>
        <w:tc>
          <w:tcPr>
            <w:tcW w:w="9580" w:type="dxa"/>
            <w:vAlign w:val="bottom"/>
            <w:gridSpan w:val="17"/>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FINANCIAL INFORMATION</w:t>
              </w:r>
            </w:hyperlink>
          </w:p>
        </w:tc>
        <w:tc>
          <w:tcPr>
            <w:tcW w:w="180" w:type="dxa"/>
            <w:vAlign w:val="bottom"/>
            <w:gridSpan w:val="2"/>
          </w:tcPr>
          <w:p>
            <w:pPr>
              <w:jc w:val="right"/>
              <w:spacing w:after="0"/>
              <w:rPr>
                <w:rFonts w:ascii="Arial" w:cs="Arial" w:eastAsia="Arial" w:hAnsi="Arial"/>
                <w:sz w:val="18"/>
                <w:szCs w:val="18"/>
                <w:color w:val="0000EE"/>
              </w:rPr>
            </w:pPr>
            <w:hyperlink w:anchor="page5">
              <w:r>
                <w:rPr>
                  <w:rFonts w:ascii="Arial" w:cs="Arial" w:eastAsia="Arial" w:hAnsi="Arial"/>
                  <w:sz w:val="18"/>
                  <w:szCs w:val="18"/>
                  <w:color w:val="0000EE"/>
                </w:rPr>
                <w:t>1</w:t>
              </w:r>
            </w:hyperlink>
          </w:p>
        </w:tc>
      </w:tr>
      <w:tr>
        <w:trPr>
          <w:trHeight w:val="20"/>
        </w:trPr>
        <w:tc>
          <w:tcPr>
            <w:tcW w:w="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520"/>
        </w:trPr>
        <w:tc>
          <w:tcPr>
            <w:tcW w:w="40" w:type="dxa"/>
            <w:vAlign w:val="bottom"/>
          </w:tcPr>
          <w:p>
            <w:pPr>
              <w:spacing w:after="0"/>
              <w:rPr>
                <w:sz w:val="24"/>
                <w:szCs w:val="24"/>
                <w:color w:val="auto"/>
              </w:rPr>
            </w:pPr>
          </w:p>
        </w:tc>
        <w:tc>
          <w:tcPr>
            <w:tcW w:w="540" w:type="dxa"/>
            <w:vAlign w:val="bottom"/>
            <w:tcBorders>
              <w:bottom w:val="single" w:sz="8" w:color="0000EE"/>
            </w:tcBorders>
          </w:tcPr>
          <w:p>
            <w:pPr>
              <w:spacing w:after="0"/>
              <w:rPr>
                <w:rFonts w:ascii="Arial" w:cs="Arial" w:eastAsia="Arial" w:hAnsi="Arial"/>
                <w:sz w:val="18"/>
                <w:szCs w:val="18"/>
                <w:b w:val="1"/>
                <w:bCs w:val="1"/>
                <w:color w:val="0000EE"/>
                <w:w w:val="91"/>
              </w:rPr>
            </w:pPr>
            <w:hyperlink w:anchor="page5">
              <w:r>
                <w:rPr>
                  <w:rFonts w:ascii="Arial" w:cs="Arial" w:eastAsia="Arial" w:hAnsi="Arial"/>
                  <w:sz w:val="18"/>
                  <w:szCs w:val="18"/>
                  <w:b w:val="1"/>
                  <w:bCs w:val="1"/>
                  <w:color w:val="0000EE"/>
                  <w:w w:val="91"/>
                </w:rPr>
                <w:t>Item 1.</w:t>
              </w:r>
            </w:hyperlink>
          </w:p>
        </w:tc>
        <w:tc>
          <w:tcPr>
            <w:tcW w:w="80" w:type="dxa"/>
            <w:vAlign w:val="bottom"/>
          </w:tcPr>
          <w:p>
            <w:pPr>
              <w:spacing w:after="0"/>
              <w:rPr>
                <w:sz w:val="24"/>
                <w:szCs w:val="24"/>
                <w:color w:val="auto"/>
              </w:rPr>
            </w:pPr>
          </w:p>
        </w:tc>
        <w:tc>
          <w:tcPr>
            <w:tcW w:w="980" w:type="dxa"/>
            <w:vAlign w:val="bottom"/>
            <w:gridSpan w:val="6"/>
          </w:tcPr>
          <w:p>
            <w:pPr>
              <w:spacing w:after="0"/>
              <w:rPr>
                <w:sz w:val="24"/>
                <w:szCs w:val="24"/>
                <w:color w:val="auto"/>
              </w:rPr>
            </w:pPr>
          </w:p>
        </w:tc>
        <w:tc>
          <w:tcPr>
            <w:tcW w:w="2600" w:type="dxa"/>
            <w:vAlign w:val="bottom"/>
            <w:tcBorders>
              <w:bottom w:val="single" w:sz="8" w:color="0000EE"/>
            </w:tcBorders>
            <w:gridSpan w:val="8"/>
          </w:tcPr>
          <w:p>
            <w:pPr>
              <w:spacing w:after="0"/>
              <w:rPr>
                <w:rFonts w:ascii="Arial" w:cs="Arial" w:eastAsia="Arial" w:hAnsi="Arial"/>
                <w:sz w:val="18"/>
                <w:szCs w:val="18"/>
                <w:b w:val="1"/>
                <w:bCs w:val="1"/>
                <w:color w:val="0000EE"/>
                <w:w w:val="90"/>
              </w:rPr>
            </w:pPr>
            <w:hyperlink w:anchor="page5">
              <w:r>
                <w:rPr>
                  <w:rFonts w:ascii="Arial" w:cs="Arial" w:eastAsia="Arial" w:hAnsi="Arial"/>
                  <w:sz w:val="18"/>
                  <w:szCs w:val="18"/>
                  <w:b w:val="1"/>
                  <w:bCs w:val="1"/>
                  <w:color w:val="0000EE"/>
                  <w:w w:val="90"/>
                </w:rPr>
                <w:t>Financial Statements (Unaudited)</w:t>
              </w:r>
            </w:hyperlink>
          </w:p>
        </w:tc>
        <w:tc>
          <w:tcPr>
            <w:tcW w:w="6980" w:type="dxa"/>
            <w:vAlign w:val="bottom"/>
            <w:gridSpan w:val="9"/>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1</w:t>
              </w:r>
            </w:hyperlink>
          </w:p>
        </w:tc>
      </w:tr>
      <w:tr>
        <w:trPr>
          <w:trHeight w:val="520"/>
        </w:trPr>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80" w:type="dxa"/>
            <w:vAlign w:val="bottom"/>
            <w:tcBorders>
              <w:bottom w:val="single" w:sz="8" w:color="0000EE"/>
            </w:tcBorders>
            <w:gridSpan w:val="9"/>
          </w:tcPr>
          <w:p>
            <w:pPr>
              <w:spacing w:after="0"/>
              <w:rPr>
                <w:rFonts w:ascii="Arial" w:cs="Arial" w:eastAsia="Arial" w:hAnsi="Arial"/>
                <w:sz w:val="18"/>
                <w:szCs w:val="18"/>
                <w:b w:val="1"/>
                <w:bCs w:val="1"/>
                <w:color w:val="0000EE"/>
                <w:w w:val="88"/>
              </w:rPr>
            </w:pPr>
            <w:hyperlink w:anchor="page5">
              <w:r>
                <w:rPr>
                  <w:rFonts w:ascii="Arial" w:cs="Arial" w:eastAsia="Arial" w:hAnsi="Arial"/>
                  <w:sz w:val="18"/>
                  <w:szCs w:val="18"/>
                  <w:b w:val="1"/>
                  <w:bCs w:val="1"/>
                  <w:color w:val="0000EE"/>
                  <w:w w:val="88"/>
                </w:rPr>
                <w:t>Condensed Consolidated Balance Sheets (Unaudited)</w:t>
              </w:r>
            </w:hyperlink>
          </w:p>
        </w:tc>
        <w:tc>
          <w:tcPr>
            <w:tcW w:w="5500" w:type="dxa"/>
            <w:vAlign w:val="bottom"/>
            <w:gridSpan w:val="8"/>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1</w:t>
              </w:r>
            </w:hyperlink>
          </w:p>
        </w:tc>
      </w:tr>
      <w:tr>
        <w:trPr>
          <w:trHeight w:val="520"/>
        </w:trPr>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580" w:type="dxa"/>
            <w:vAlign w:val="bottom"/>
            <w:gridSpan w:val="17"/>
          </w:tcPr>
          <w:p>
            <w:pPr>
              <w:spacing w:after="0"/>
              <w:rPr>
                <w:rFonts w:ascii="Arial" w:cs="Arial" w:eastAsia="Arial" w:hAnsi="Arial"/>
                <w:sz w:val="18"/>
                <w:szCs w:val="18"/>
                <w:b w:val="1"/>
                <w:bCs w:val="1"/>
                <w:color w:val="0000EE"/>
              </w:rPr>
            </w:pPr>
            <w:hyperlink w:anchor="page6">
              <w:r>
                <w:rPr>
                  <w:rFonts w:ascii="Arial" w:cs="Arial" w:eastAsia="Arial" w:hAnsi="Arial"/>
                  <w:sz w:val="18"/>
                  <w:szCs w:val="18"/>
                  <w:b w:val="1"/>
                  <w:bCs w:val="1"/>
                  <w:color w:val="0000EE"/>
                </w:rPr>
                <w:t>Condensed Consolidated Statements of Comprehensive Income (Unaudited)</w:t>
              </w:r>
            </w:hyperlink>
          </w:p>
        </w:tc>
        <w:tc>
          <w:tcPr>
            <w:tcW w:w="180" w:type="dxa"/>
            <w:vAlign w:val="bottom"/>
            <w:gridSpan w:val="2"/>
          </w:tcPr>
          <w:p>
            <w:pPr>
              <w:jc w:val="right"/>
              <w:spacing w:after="0"/>
              <w:rPr>
                <w:rFonts w:ascii="Arial" w:cs="Arial" w:eastAsia="Arial" w:hAnsi="Arial"/>
                <w:sz w:val="18"/>
                <w:szCs w:val="18"/>
                <w:color w:val="0000EE"/>
              </w:rPr>
            </w:pPr>
            <w:hyperlink w:anchor="page6">
              <w:r>
                <w:rPr>
                  <w:rFonts w:ascii="Arial" w:cs="Arial" w:eastAsia="Arial" w:hAnsi="Arial"/>
                  <w:sz w:val="18"/>
                  <w:szCs w:val="18"/>
                  <w:color w:val="0000EE"/>
                </w:rPr>
                <w:t>2</w:t>
              </w:r>
            </w:hyperlink>
          </w:p>
        </w:tc>
      </w:tr>
      <w:tr>
        <w:trPr>
          <w:trHeight w:val="20"/>
        </w:trPr>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56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520"/>
        </w:trPr>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580" w:type="dxa"/>
            <w:vAlign w:val="bottom"/>
            <w:gridSpan w:val="17"/>
          </w:tcPr>
          <w:p>
            <w:pPr>
              <w:spacing w:after="0"/>
              <w:rPr>
                <w:rFonts w:ascii="Arial" w:cs="Arial" w:eastAsia="Arial" w:hAnsi="Arial"/>
                <w:sz w:val="18"/>
                <w:szCs w:val="18"/>
                <w:b w:val="1"/>
                <w:bCs w:val="1"/>
                <w:color w:val="0000EE"/>
              </w:rPr>
            </w:pPr>
            <w:hyperlink w:anchor="page7">
              <w:r>
                <w:rPr>
                  <w:rFonts w:ascii="Arial" w:cs="Arial" w:eastAsia="Arial" w:hAnsi="Arial"/>
                  <w:sz w:val="18"/>
                  <w:szCs w:val="18"/>
                  <w:b w:val="1"/>
                  <w:bCs w:val="1"/>
                  <w:color w:val="0000EE"/>
                </w:rPr>
                <w:t>Condensed Consolidated Statements of Changes in Stockholders’ Equity (Unaudited)</w:t>
              </w:r>
            </w:hyperlink>
          </w:p>
        </w:tc>
        <w:tc>
          <w:tcPr>
            <w:tcW w:w="180" w:type="dxa"/>
            <w:vAlign w:val="bottom"/>
            <w:gridSpan w:val="2"/>
          </w:tcPr>
          <w:p>
            <w:pPr>
              <w:jc w:val="right"/>
              <w:spacing w:after="0"/>
              <w:rPr>
                <w:rFonts w:ascii="Arial" w:cs="Arial" w:eastAsia="Arial" w:hAnsi="Arial"/>
                <w:sz w:val="18"/>
                <w:szCs w:val="18"/>
                <w:color w:val="0000EE"/>
              </w:rPr>
            </w:pPr>
            <w:hyperlink w:anchor="page7">
              <w:r>
                <w:rPr>
                  <w:rFonts w:ascii="Arial" w:cs="Arial" w:eastAsia="Arial" w:hAnsi="Arial"/>
                  <w:sz w:val="18"/>
                  <w:szCs w:val="18"/>
                  <w:color w:val="0000EE"/>
                </w:rPr>
                <w:t>3</w:t>
              </w:r>
            </w:hyperlink>
          </w:p>
        </w:tc>
      </w:tr>
      <w:tr>
        <w:trPr>
          <w:trHeight w:val="520"/>
        </w:trPr>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540" w:type="dxa"/>
            <w:vAlign w:val="bottom"/>
            <w:tcBorders>
              <w:top w:val="single" w:sz="8" w:color="0000EE"/>
            </w:tcBorders>
            <w:gridSpan w:val="15"/>
          </w:tcPr>
          <w:p>
            <w:pPr>
              <w:spacing w:after="0"/>
              <w:rPr>
                <w:rFonts w:ascii="Arial" w:cs="Arial" w:eastAsia="Arial" w:hAnsi="Arial"/>
                <w:sz w:val="18"/>
                <w:szCs w:val="18"/>
                <w:b w:val="1"/>
                <w:bCs w:val="1"/>
                <w:color w:val="0000EE"/>
              </w:rPr>
            </w:pPr>
            <w:hyperlink w:anchor="page8">
              <w:r>
                <w:rPr>
                  <w:rFonts w:ascii="Arial" w:cs="Arial" w:eastAsia="Arial" w:hAnsi="Arial"/>
                  <w:sz w:val="18"/>
                  <w:szCs w:val="18"/>
                  <w:b w:val="1"/>
                  <w:bCs w:val="1"/>
                  <w:color w:val="0000EE"/>
                </w:rPr>
                <w:t>Condensed Consolidated Statements of Cash Flows (Unaudited)</w:t>
              </w:r>
            </w:hyperlink>
          </w:p>
        </w:tc>
        <w:tc>
          <w:tcPr>
            <w:tcW w:w="3040" w:type="dxa"/>
            <w:vAlign w:val="bottom"/>
            <w:gridSpan w:val="2"/>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0000EE"/>
            </w:tcBorders>
          </w:tcPr>
          <w:p>
            <w:pPr>
              <w:jc w:val="right"/>
              <w:spacing w:after="0"/>
              <w:rPr>
                <w:rFonts w:ascii="Arial" w:cs="Arial" w:eastAsia="Arial" w:hAnsi="Arial"/>
                <w:sz w:val="18"/>
                <w:szCs w:val="18"/>
                <w:color w:val="0000EE"/>
                <w:w w:val="79"/>
              </w:rPr>
            </w:pPr>
            <w:hyperlink w:anchor="page8">
              <w:r>
                <w:rPr>
                  <w:rFonts w:ascii="Arial" w:cs="Arial" w:eastAsia="Arial" w:hAnsi="Arial"/>
                  <w:sz w:val="18"/>
                  <w:szCs w:val="18"/>
                  <w:color w:val="0000EE"/>
                  <w:w w:val="79"/>
                </w:rPr>
                <w:t>4</w:t>
              </w:r>
            </w:hyperlink>
          </w:p>
        </w:tc>
      </w:tr>
      <w:tr>
        <w:trPr>
          <w:trHeight w:val="20"/>
        </w:trPr>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56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520"/>
        </w:trPr>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20" w:type="dxa"/>
            <w:vAlign w:val="bottom"/>
            <w:tcBorders>
              <w:bottom w:val="single" w:sz="8" w:color="0000EE"/>
            </w:tcBorders>
            <w:gridSpan w:val="13"/>
          </w:tcPr>
          <w:p>
            <w:pPr>
              <w:spacing w:after="0"/>
              <w:rPr>
                <w:rFonts w:ascii="Arial" w:cs="Arial" w:eastAsia="Arial" w:hAnsi="Arial"/>
                <w:sz w:val="18"/>
                <w:szCs w:val="18"/>
                <w:b w:val="1"/>
                <w:bCs w:val="1"/>
                <w:color w:val="0000EE"/>
                <w:w w:val="89"/>
              </w:rPr>
            </w:pPr>
            <w:hyperlink w:anchor="page9">
              <w:r>
                <w:rPr>
                  <w:rFonts w:ascii="Arial" w:cs="Arial" w:eastAsia="Arial" w:hAnsi="Arial"/>
                  <w:sz w:val="18"/>
                  <w:szCs w:val="18"/>
                  <w:b w:val="1"/>
                  <w:bCs w:val="1"/>
                  <w:color w:val="0000EE"/>
                  <w:w w:val="89"/>
                </w:rPr>
                <w:t>Notes to Condensed Consolidated Financial Statements (Unaudited)</w:t>
              </w:r>
            </w:hyperlink>
          </w:p>
        </w:tc>
        <w:tc>
          <w:tcPr>
            <w:tcW w:w="4360" w:type="dxa"/>
            <w:vAlign w:val="bottom"/>
            <w:gridSpan w:val="4"/>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9">
              <w:r>
                <w:rPr>
                  <w:rFonts w:ascii="Arial" w:cs="Arial" w:eastAsia="Arial" w:hAnsi="Arial"/>
                  <w:sz w:val="18"/>
                  <w:szCs w:val="18"/>
                  <w:color w:val="0000EE"/>
                  <w:w w:val="79"/>
                </w:rPr>
                <w:t>5</w:t>
              </w:r>
            </w:hyperlink>
          </w:p>
        </w:tc>
      </w:tr>
      <w:tr>
        <w:trPr>
          <w:trHeight w:val="520"/>
        </w:trPr>
        <w:tc>
          <w:tcPr>
            <w:tcW w:w="40" w:type="dxa"/>
            <w:vAlign w:val="bottom"/>
          </w:tcPr>
          <w:p>
            <w:pPr>
              <w:spacing w:after="0"/>
              <w:rPr>
                <w:sz w:val="24"/>
                <w:szCs w:val="24"/>
                <w:color w:val="auto"/>
              </w:rPr>
            </w:pPr>
          </w:p>
        </w:tc>
        <w:tc>
          <w:tcPr>
            <w:tcW w:w="540" w:type="dxa"/>
            <w:vAlign w:val="bottom"/>
            <w:tcBorders>
              <w:bottom w:val="single" w:sz="8" w:color="0000EE"/>
            </w:tcBorders>
          </w:tcPr>
          <w:p>
            <w:pPr>
              <w:spacing w:after="0"/>
              <w:rPr>
                <w:rFonts w:ascii="Arial" w:cs="Arial" w:eastAsia="Arial" w:hAnsi="Arial"/>
                <w:sz w:val="18"/>
                <w:szCs w:val="18"/>
                <w:b w:val="1"/>
                <w:bCs w:val="1"/>
                <w:color w:val="0000EE"/>
                <w:w w:val="91"/>
              </w:rPr>
            </w:pPr>
            <w:hyperlink w:anchor="page23">
              <w:r>
                <w:rPr>
                  <w:rFonts w:ascii="Arial" w:cs="Arial" w:eastAsia="Arial" w:hAnsi="Arial"/>
                  <w:sz w:val="18"/>
                  <w:szCs w:val="18"/>
                  <w:b w:val="1"/>
                  <w:bCs w:val="1"/>
                  <w:color w:val="0000EE"/>
                  <w:w w:val="91"/>
                </w:rPr>
                <w:t>Item 2.</w:t>
              </w:r>
            </w:hyperlink>
          </w:p>
        </w:tc>
        <w:tc>
          <w:tcPr>
            <w:tcW w:w="1060" w:type="dxa"/>
            <w:vAlign w:val="bottom"/>
            <w:gridSpan w:val="7"/>
          </w:tcPr>
          <w:p>
            <w:pPr>
              <w:spacing w:after="0"/>
              <w:rPr>
                <w:sz w:val="24"/>
                <w:szCs w:val="24"/>
                <w:color w:val="auto"/>
              </w:rPr>
            </w:pPr>
          </w:p>
        </w:tc>
        <w:tc>
          <w:tcPr>
            <w:tcW w:w="6840" w:type="dxa"/>
            <w:vAlign w:val="bottom"/>
            <w:tcBorders>
              <w:bottom w:val="single" w:sz="8" w:color="0000EE"/>
            </w:tcBorders>
            <w:gridSpan w:val="16"/>
          </w:tcPr>
          <w:p>
            <w:pPr>
              <w:spacing w:after="0"/>
              <w:rPr>
                <w:rFonts w:ascii="Arial" w:cs="Arial" w:eastAsia="Arial" w:hAnsi="Arial"/>
                <w:sz w:val="18"/>
                <w:szCs w:val="18"/>
                <w:b w:val="1"/>
                <w:bCs w:val="1"/>
                <w:color w:val="0000EE"/>
                <w:w w:val="89"/>
              </w:rPr>
            </w:pPr>
            <w:hyperlink w:anchor="page23">
              <w:r>
                <w:rPr>
                  <w:rFonts w:ascii="Arial" w:cs="Arial" w:eastAsia="Arial" w:hAnsi="Arial"/>
                  <w:sz w:val="18"/>
                  <w:szCs w:val="18"/>
                  <w:b w:val="1"/>
                  <w:bCs w:val="1"/>
                  <w:color w:val="0000EE"/>
                  <w:w w:val="89"/>
                </w:rPr>
                <w:t>Management’s Discussion and Analysis of Financial Condition and Results of Operations</w:t>
              </w:r>
            </w:hyperlink>
          </w:p>
        </w:tc>
        <w:tc>
          <w:tcPr>
            <w:tcW w:w="274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23">
              <w:r>
                <w:rPr>
                  <w:rFonts w:ascii="Arial" w:cs="Arial" w:eastAsia="Arial" w:hAnsi="Arial"/>
                  <w:sz w:val="18"/>
                  <w:szCs w:val="18"/>
                  <w:color w:val="0000EE"/>
                  <w:w w:val="79"/>
                </w:rPr>
                <w:t>19</w:t>
              </w:r>
            </w:hyperlink>
          </w:p>
        </w:tc>
      </w:tr>
      <w:tr>
        <w:trPr>
          <w:trHeight w:val="520"/>
        </w:trPr>
        <w:tc>
          <w:tcPr>
            <w:tcW w:w="40" w:type="dxa"/>
            <w:vAlign w:val="bottom"/>
          </w:tcPr>
          <w:p>
            <w:pPr>
              <w:spacing w:after="0"/>
              <w:rPr>
                <w:sz w:val="24"/>
                <w:szCs w:val="24"/>
                <w:color w:val="auto"/>
              </w:rPr>
            </w:pPr>
          </w:p>
        </w:tc>
        <w:tc>
          <w:tcPr>
            <w:tcW w:w="540" w:type="dxa"/>
            <w:vAlign w:val="bottom"/>
          </w:tcPr>
          <w:p>
            <w:pPr>
              <w:spacing w:after="0"/>
              <w:rPr>
                <w:rFonts w:ascii="Arial" w:cs="Arial" w:eastAsia="Arial" w:hAnsi="Arial"/>
                <w:sz w:val="18"/>
                <w:szCs w:val="18"/>
                <w:b w:val="1"/>
                <w:bCs w:val="1"/>
                <w:color w:val="0000EE"/>
                <w:w w:val="91"/>
              </w:rPr>
            </w:pPr>
            <w:hyperlink w:anchor="page39">
              <w:r>
                <w:rPr>
                  <w:rFonts w:ascii="Arial" w:cs="Arial" w:eastAsia="Arial" w:hAnsi="Arial"/>
                  <w:sz w:val="18"/>
                  <w:szCs w:val="18"/>
                  <w:b w:val="1"/>
                  <w:bCs w:val="1"/>
                  <w:color w:val="0000EE"/>
                  <w:w w:val="91"/>
                </w:rPr>
                <w:t>Item 3.</w:t>
              </w:r>
            </w:hyperlink>
          </w:p>
        </w:tc>
        <w:tc>
          <w:tcPr>
            <w:tcW w:w="1060" w:type="dxa"/>
            <w:vAlign w:val="bottom"/>
            <w:gridSpan w:val="7"/>
          </w:tcPr>
          <w:p>
            <w:pPr>
              <w:spacing w:after="0"/>
              <w:rPr>
                <w:sz w:val="24"/>
                <w:szCs w:val="24"/>
                <w:color w:val="auto"/>
              </w:rPr>
            </w:pPr>
          </w:p>
        </w:tc>
        <w:tc>
          <w:tcPr>
            <w:tcW w:w="9580" w:type="dxa"/>
            <w:vAlign w:val="bottom"/>
            <w:gridSpan w:val="17"/>
          </w:tcPr>
          <w:p>
            <w:pPr>
              <w:spacing w:after="0"/>
              <w:rPr>
                <w:rFonts w:ascii="Arial" w:cs="Arial" w:eastAsia="Arial" w:hAnsi="Arial"/>
                <w:sz w:val="18"/>
                <w:szCs w:val="18"/>
                <w:b w:val="1"/>
                <w:bCs w:val="1"/>
                <w:color w:val="0000EE"/>
              </w:rPr>
            </w:pPr>
            <w:hyperlink w:anchor="page39">
              <w:r>
                <w:rPr>
                  <w:rFonts w:ascii="Arial" w:cs="Arial" w:eastAsia="Arial" w:hAnsi="Arial"/>
                  <w:sz w:val="18"/>
                  <w:szCs w:val="18"/>
                  <w:b w:val="1"/>
                  <w:bCs w:val="1"/>
                  <w:color w:val="0000EE"/>
                </w:rPr>
                <w:t>Quantitative and Qualitative Disclosures About Market Risk</w:t>
              </w:r>
            </w:hyperlink>
          </w:p>
        </w:tc>
        <w:tc>
          <w:tcPr>
            <w:tcW w:w="180" w:type="dxa"/>
            <w:vAlign w:val="bottom"/>
            <w:gridSpan w:val="2"/>
          </w:tcPr>
          <w:p>
            <w:pPr>
              <w:jc w:val="right"/>
              <w:spacing w:after="0"/>
              <w:rPr>
                <w:rFonts w:ascii="Arial" w:cs="Arial" w:eastAsia="Arial" w:hAnsi="Arial"/>
                <w:sz w:val="18"/>
                <w:szCs w:val="18"/>
                <w:color w:val="0000EE"/>
                <w:w w:val="79"/>
              </w:rPr>
            </w:pPr>
            <w:hyperlink w:anchor="page39">
              <w:r>
                <w:rPr>
                  <w:rFonts w:ascii="Arial" w:cs="Arial" w:eastAsia="Arial" w:hAnsi="Arial"/>
                  <w:sz w:val="18"/>
                  <w:szCs w:val="18"/>
                  <w:color w:val="0000EE"/>
                  <w:w w:val="79"/>
                </w:rPr>
                <w:t>35</w:t>
              </w:r>
            </w:hyperlink>
          </w:p>
        </w:tc>
      </w:tr>
      <w:tr>
        <w:trPr>
          <w:trHeight w:val="520"/>
        </w:trPr>
        <w:tc>
          <w:tcPr>
            <w:tcW w:w="40" w:type="dxa"/>
            <w:vAlign w:val="bottom"/>
          </w:tcPr>
          <w:p>
            <w:pPr>
              <w:spacing w:after="0"/>
              <w:rPr>
                <w:sz w:val="24"/>
                <w:szCs w:val="24"/>
                <w:color w:val="auto"/>
              </w:rPr>
            </w:pPr>
          </w:p>
        </w:tc>
        <w:tc>
          <w:tcPr>
            <w:tcW w:w="540" w:type="dxa"/>
            <w:vAlign w:val="bottom"/>
            <w:tcBorders>
              <w:top w:val="single" w:sz="8" w:color="0000EE"/>
              <w:bottom w:val="single" w:sz="8" w:color="0000EE"/>
            </w:tcBorders>
          </w:tcPr>
          <w:p>
            <w:pPr>
              <w:spacing w:after="0"/>
              <w:rPr>
                <w:rFonts w:ascii="Arial" w:cs="Arial" w:eastAsia="Arial" w:hAnsi="Arial"/>
                <w:sz w:val="18"/>
                <w:szCs w:val="18"/>
                <w:b w:val="1"/>
                <w:bCs w:val="1"/>
                <w:color w:val="0000EE"/>
                <w:w w:val="91"/>
              </w:rPr>
            </w:pPr>
            <w:hyperlink w:anchor="page39">
              <w:r>
                <w:rPr>
                  <w:rFonts w:ascii="Arial" w:cs="Arial" w:eastAsia="Arial" w:hAnsi="Arial"/>
                  <w:sz w:val="18"/>
                  <w:szCs w:val="18"/>
                  <w:b w:val="1"/>
                  <w:bCs w:val="1"/>
                  <w:color w:val="0000EE"/>
                  <w:w w:val="91"/>
                </w:rPr>
                <w:t>Item 4.</w:t>
              </w:r>
            </w:hyperlink>
          </w:p>
        </w:tc>
        <w:tc>
          <w:tcPr>
            <w:tcW w:w="1060" w:type="dxa"/>
            <w:vAlign w:val="bottom"/>
            <w:gridSpan w:val="7"/>
          </w:tcPr>
          <w:p>
            <w:pPr>
              <w:spacing w:after="0"/>
              <w:rPr>
                <w:sz w:val="24"/>
                <w:szCs w:val="24"/>
                <w:color w:val="auto"/>
              </w:rPr>
            </w:pPr>
          </w:p>
        </w:tc>
        <w:tc>
          <w:tcPr>
            <w:tcW w:w="1920" w:type="dxa"/>
            <w:vAlign w:val="bottom"/>
            <w:tcBorders>
              <w:top w:val="single" w:sz="8" w:color="0000EE"/>
              <w:bottom w:val="single" w:sz="8" w:color="0000EE"/>
            </w:tcBorders>
            <w:gridSpan w:val="5"/>
          </w:tcPr>
          <w:p>
            <w:pPr>
              <w:spacing w:after="0"/>
              <w:rPr>
                <w:rFonts w:ascii="Arial" w:cs="Arial" w:eastAsia="Arial" w:hAnsi="Arial"/>
                <w:sz w:val="18"/>
                <w:szCs w:val="18"/>
                <w:b w:val="1"/>
                <w:bCs w:val="1"/>
                <w:color w:val="0000EE"/>
                <w:w w:val="88"/>
              </w:rPr>
            </w:pPr>
            <w:hyperlink w:anchor="page39">
              <w:r>
                <w:rPr>
                  <w:rFonts w:ascii="Arial" w:cs="Arial" w:eastAsia="Arial" w:hAnsi="Arial"/>
                  <w:sz w:val="18"/>
                  <w:szCs w:val="18"/>
                  <w:b w:val="1"/>
                  <w:bCs w:val="1"/>
                  <w:color w:val="0000EE"/>
                  <w:w w:val="88"/>
                </w:rPr>
                <w:t>Controls and Procedures</w:t>
              </w:r>
            </w:hyperlink>
          </w:p>
        </w:tc>
        <w:tc>
          <w:tcPr>
            <w:tcW w:w="2740" w:type="dxa"/>
            <w:vAlign w:val="bottom"/>
            <w:tcBorders>
              <w:top w:val="single" w:sz="8" w:color="0000EE"/>
            </w:tcBorders>
            <w:gridSpan w:val="6"/>
          </w:tcPr>
          <w:p>
            <w:pPr>
              <w:spacing w:after="0"/>
              <w:rPr>
                <w:sz w:val="24"/>
                <w:szCs w:val="24"/>
                <w:color w:val="auto"/>
              </w:rPr>
            </w:pPr>
          </w:p>
        </w:tc>
        <w:tc>
          <w:tcPr>
            <w:tcW w:w="4920" w:type="dxa"/>
            <w:vAlign w:val="bottom"/>
            <w:gridSpan w:val="6"/>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39">
              <w:r>
                <w:rPr>
                  <w:rFonts w:ascii="Arial" w:cs="Arial" w:eastAsia="Arial" w:hAnsi="Arial"/>
                  <w:sz w:val="18"/>
                  <w:szCs w:val="18"/>
                  <w:color w:val="0000EE"/>
                  <w:w w:val="79"/>
                </w:rPr>
                <w:t>35</w:t>
              </w:r>
            </w:hyperlink>
          </w:p>
        </w:tc>
      </w:tr>
      <w:tr>
        <w:trPr>
          <w:trHeight w:val="520"/>
        </w:trPr>
        <w:tc>
          <w:tcPr>
            <w:tcW w:w="40" w:type="dxa"/>
            <w:vAlign w:val="bottom"/>
          </w:tcPr>
          <w:p>
            <w:pPr>
              <w:spacing w:after="0"/>
              <w:rPr>
                <w:sz w:val="24"/>
                <w:szCs w:val="24"/>
                <w:color w:val="auto"/>
              </w:rPr>
            </w:pPr>
          </w:p>
        </w:tc>
        <w:tc>
          <w:tcPr>
            <w:tcW w:w="700" w:type="dxa"/>
            <w:vAlign w:val="bottom"/>
            <w:gridSpan w:val="4"/>
          </w:tcPr>
          <w:p>
            <w:pPr>
              <w:spacing w:after="0"/>
              <w:rPr>
                <w:rFonts w:ascii="Arial" w:cs="Arial" w:eastAsia="Arial" w:hAnsi="Arial"/>
                <w:sz w:val="18"/>
                <w:szCs w:val="18"/>
                <w:b w:val="1"/>
                <w:bCs w:val="1"/>
                <w:color w:val="0000EE"/>
                <w:w w:val="98"/>
              </w:rPr>
            </w:pPr>
            <w:hyperlink w:anchor="page40">
              <w:r>
                <w:rPr>
                  <w:rFonts w:ascii="Arial" w:cs="Arial" w:eastAsia="Arial" w:hAnsi="Arial"/>
                  <w:sz w:val="18"/>
                  <w:szCs w:val="18"/>
                  <w:b w:val="1"/>
                  <w:bCs w:val="1"/>
                  <w:color w:val="0000EE"/>
                  <w:w w:val="98"/>
                </w:rPr>
                <w:t>PART II.</w:t>
              </w:r>
            </w:hyperlink>
          </w:p>
        </w:tc>
        <w:tc>
          <w:tcPr>
            <w:tcW w:w="900" w:type="dxa"/>
            <w:vAlign w:val="bottom"/>
            <w:gridSpan w:val="4"/>
          </w:tcPr>
          <w:p>
            <w:pPr>
              <w:spacing w:after="0"/>
              <w:rPr>
                <w:sz w:val="24"/>
                <w:szCs w:val="24"/>
                <w:color w:val="auto"/>
              </w:rPr>
            </w:pPr>
          </w:p>
        </w:tc>
        <w:tc>
          <w:tcPr>
            <w:tcW w:w="9580" w:type="dxa"/>
            <w:vAlign w:val="bottom"/>
            <w:gridSpan w:val="17"/>
          </w:tcPr>
          <w:p>
            <w:pPr>
              <w:spacing w:after="0"/>
              <w:rPr>
                <w:rFonts w:ascii="Arial" w:cs="Arial" w:eastAsia="Arial" w:hAnsi="Arial"/>
                <w:sz w:val="18"/>
                <w:szCs w:val="18"/>
                <w:b w:val="1"/>
                <w:bCs w:val="1"/>
                <w:color w:val="0000EE"/>
              </w:rPr>
            </w:pPr>
            <w:hyperlink w:anchor="page40">
              <w:r>
                <w:rPr>
                  <w:rFonts w:ascii="Arial" w:cs="Arial" w:eastAsia="Arial" w:hAnsi="Arial"/>
                  <w:sz w:val="18"/>
                  <w:szCs w:val="18"/>
                  <w:b w:val="1"/>
                  <w:bCs w:val="1"/>
                  <w:color w:val="0000EE"/>
                </w:rPr>
                <w:t>OTHER INFORMATION</w:t>
              </w:r>
            </w:hyperlink>
          </w:p>
        </w:tc>
        <w:tc>
          <w:tcPr>
            <w:tcW w:w="180" w:type="dxa"/>
            <w:vAlign w:val="bottom"/>
            <w:gridSpan w:val="2"/>
          </w:tcPr>
          <w:p>
            <w:pPr>
              <w:jc w:val="right"/>
              <w:spacing w:after="0"/>
              <w:rPr>
                <w:rFonts w:ascii="Arial" w:cs="Arial" w:eastAsia="Arial" w:hAnsi="Arial"/>
                <w:sz w:val="18"/>
                <w:szCs w:val="18"/>
                <w:color w:val="0000EE"/>
                <w:w w:val="79"/>
              </w:rPr>
            </w:pPr>
            <w:hyperlink w:anchor="page40">
              <w:r>
                <w:rPr>
                  <w:rFonts w:ascii="Arial" w:cs="Arial" w:eastAsia="Arial" w:hAnsi="Arial"/>
                  <w:sz w:val="18"/>
                  <w:szCs w:val="18"/>
                  <w:color w:val="0000EE"/>
                  <w:w w:val="79"/>
                </w:rPr>
                <w:t>36</w:t>
              </w:r>
            </w:hyperlink>
          </w:p>
        </w:tc>
      </w:tr>
      <w:tr>
        <w:trPr>
          <w:trHeight w:val="520"/>
        </w:trPr>
        <w:tc>
          <w:tcPr>
            <w:tcW w:w="40" w:type="dxa"/>
            <w:vAlign w:val="bottom"/>
          </w:tcPr>
          <w:p>
            <w:pPr>
              <w:spacing w:after="0"/>
              <w:rPr>
                <w:sz w:val="24"/>
                <w:szCs w:val="24"/>
                <w:color w:val="auto"/>
              </w:rPr>
            </w:pPr>
          </w:p>
        </w:tc>
        <w:tc>
          <w:tcPr>
            <w:tcW w:w="540" w:type="dxa"/>
            <w:vAlign w:val="bottom"/>
            <w:tcBorders>
              <w:top w:val="single" w:sz="8" w:color="0000EE"/>
            </w:tcBorders>
          </w:tcPr>
          <w:p>
            <w:pPr>
              <w:spacing w:after="0"/>
              <w:rPr>
                <w:rFonts w:ascii="Arial" w:cs="Arial" w:eastAsia="Arial" w:hAnsi="Arial"/>
                <w:sz w:val="18"/>
                <w:szCs w:val="18"/>
                <w:b w:val="1"/>
                <w:bCs w:val="1"/>
                <w:color w:val="0000EE"/>
                <w:w w:val="91"/>
              </w:rPr>
            </w:pPr>
            <w:hyperlink w:anchor="page40">
              <w:r>
                <w:rPr>
                  <w:rFonts w:ascii="Arial" w:cs="Arial" w:eastAsia="Arial" w:hAnsi="Arial"/>
                  <w:sz w:val="18"/>
                  <w:szCs w:val="18"/>
                  <w:b w:val="1"/>
                  <w:bCs w:val="1"/>
                  <w:color w:val="0000EE"/>
                  <w:w w:val="91"/>
                </w:rPr>
                <w:t>Item 1.</w:t>
              </w:r>
            </w:hyperlink>
          </w:p>
        </w:tc>
        <w:tc>
          <w:tcPr>
            <w:tcW w:w="160" w:type="dxa"/>
            <w:vAlign w:val="bottom"/>
            <w:tcBorders>
              <w:top w:val="single" w:sz="8" w:color="0000EE"/>
            </w:tcBorders>
            <w:gridSpan w:val="3"/>
          </w:tcPr>
          <w:p>
            <w:pPr>
              <w:spacing w:after="0"/>
              <w:rPr>
                <w:sz w:val="24"/>
                <w:szCs w:val="24"/>
                <w:color w:val="auto"/>
              </w:rPr>
            </w:pPr>
          </w:p>
        </w:tc>
        <w:tc>
          <w:tcPr>
            <w:tcW w:w="900" w:type="dxa"/>
            <w:vAlign w:val="bottom"/>
            <w:gridSpan w:val="4"/>
          </w:tcPr>
          <w:p>
            <w:pPr>
              <w:spacing w:after="0"/>
              <w:rPr>
                <w:sz w:val="24"/>
                <w:szCs w:val="24"/>
                <w:color w:val="auto"/>
              </w:rPr>
            </w:pPr>
          </w:p>
        </w:tc>
        <w:tc>
          <w:tcPr>
            <w:tcW w:w="2020" w:type="dxa"/>
            <w:vAlign w:val="bottom"/>
            <w:tcBorders>
              <w:top w:val="single" w:sz="8" w:color="0000EE"/>
            </w:tcBorders>
            <w:gridSpan w:val="6"/>
          </w:tcPr>
          <w:p>
            <w:pPr>
              <w:spacing w:after="0"/>
              <w:rPr>
                <w:rFonts w:ascii="Arial" w:cs="Arial" w:eastAsia="Arial" w:hAnsi="Arial"/>
                <w:sz w:val="18"/>
                <w:szCs w:val="18"/>
                <w:b w:val="1"/>
                <w:bCs w:val="1"/>
                <w:color w:val="0000EE"/>
              </w:rPr>
            </w:pPr>
            <w:hyperlink w:anchor="page40">
              <w:r>
                <w:rPr>
                  <w:rFonts w:ascii="Arial" w:cs="Arial" w:eastAsia="Arial" w:hAnsi="Arial"/>
                  <w:sz w:val="18"/>
                  <w:szCs w:val="18"/>
                  <w:b w:val="1"/>
                  <w:bCs w:val="1"/>
                  <w:color w:val="0000EE"/>
                </w:rPr>
                <w:t>Legal Proceedings</w:t>
              </w:r>
            </w:hyperlink>
          </w:p>
        </w:tc>
        <w:tc>
          <w:tcPr>
            <w:tcW w:w="7560" w:type="dxa"/>
            <w:vAlign w:val="bottom"/>
            <w:gridSpan w:val="11"/>
          </w:tcPr>
          <w:p>
            <w:pPr>
              <w:spacing w:after="0"/>
              <w:rPr>
                <w:sz w:val="24"/>
                <w:szCs w:val="24"/>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color w:val="0000EE"/>
                <w:w w:val="79"/>
              </w:rPr>
            </w:pPr>
            <w:hyperlink w:anchor="page40">
              <w:r>
                <w:rPr>
                  <w:rFonts w:ascii="Arial" w:cs="Arial" w:eastAsia="Arial" w:hAnsi="Arial"/>
                  <w:sz w:val="18"/>
                  <w:szCs w:val="18"/>
                  <w:color w:val="0000EE"/>
                  <w:w w:val="79"/>
                </w:rPr>
                <w:t>36</w:t>
              </w:r>
            </w:hyperlink>
          </w:p>
        </w:tc>
      </w:tr>
      <w:tr>
        <w:trPr>
          <w:trHeight w:val="20"/>
        </w:trPr>
        <w:tc>
          <w:tcPr>
            <w:tcW w:w="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140" w:type="dxa"/>
            <w:vAlign w:val="bottom"/>
            <w:gridSpan w:val="6"/>
          </w:tcPr>
          <w:p>
            <w:pPr>
              <w:spacing w:after="0" w:line="20" w:lineRule="exact"/>
              <w:rPr>
                <w:sz w:val="1"/>
                <w:szCs w:val="1"/>
                <w:color w:val="auto"/>
              </w:rPr>
            </w:pPr>
          </w:p>
        </w:tc>
        <w:tc>
          <w:tcPr>
            <w:tcW w:w="5000" w:type="dxa"/>
            <w:vAlign w:val="bottom"/>
            <w:gridSpan w:val="7"/>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520"/>
        </w:trPr>
        <w:tc>
          <w:tcPr>
            <w:tcW w:w="40" w:type="dxa"/>
            <w:vAlign w:val="bottom"/>
          </w:tcPr>
          <w:p>
            <w:pPr>
              <w:spacing w:after="0"/>
              <w:rPr>
                <w:sz w:val="24"/>
                <w:szCs w:val="24"/>
                <w:color w:val="auto"/>
              </w:rPr>
            </w:pPr>
          </w:p>
        </w:tc>
        <w:tc>
          <w:tcPr>
            <w:tcW w:w="1600" w:type="dxa"/>
            <w:vAlign w:val="bottom"/>
            <w:gridSpan w:val="8"/>
          </w:tcPr>
          <w:p>
            <w:pPr>
              <w:spacing w:after="0"/>
              <w:rPr>
                <w:rFonts w:ascii="Arial" w:cs="Arial" w:eastAsia="Arial" w:hAnsi="Arial"/>
                <w:sz w:val="18"/>
                <w:szCs w:val="18"/>
                <w:b w:val="1"/>
                <w:bCs w:val="1"/>
                <w:color w:val="0000EE"/>
              </w:rPr>
            </w:pPr>
            <w:hyperlink w:anchor="page40">
              <w:r>
                <w:rPr>
                  <w:rFonts w:ascii="Arial" w:cs="Arial" w:eastAsia="Arial" w:hAnsi="Arial"/>
                  <w:sz w:val="18"/>
                  <w:szCs w:val="18"/>
                  <w:b w:val="1"/>
                  <w:bCs w:val="1"/>
                  <w:color w:val="0000EE"/>
                </w:rPr>
                <w:t>Item 1A.</w:t>
              </w:r>
            </w:hyperlink>
          </w:p>
        </w:tc>
        <w:tc>
          <w:tcPr>
            <w:tcW w:w="9580" w:type="dxa"/>
            <w:vAlign w:val="bottom"/>
            <w:gridSpan w:val="17"/>
          </w:tcPr>
          <w:p>
            <w:pPr>
              <w:spacing w:after="0"/>
              <w:rPr>
                <w:rFonts w:ascii="Arial" w:cs="Arial" w:eastAsia="Arial" w:hAnsi="Arial"/>
                <w:sz w:val="18"/>
                <w:szCs w:val="18"/>
                <w:b w:val="1"/>
                <w:bCs w:val="1"/>
                <w:color w:val="0000EE"/>
              </w:rPr>
            </w:pPr>
            <w:hyperlink w:anchor="page40">
              <w:r>
                <w:rPr>
                  <w:rFonts w:ascii="Arial" w:cs="Arial" w:eastAsia="Arial" w:hAnsi="Arial"/>
                  <w:sz w:val="18"/>
                  <w:szCs w:val="18"/>
                  <w:b w:val="1"/>
                  <w:bCs w:val="1"/>
                  <w:color w:val="0000EE"/>
                </w:rPr>
                <w:t>Risk Factors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40">
              <w:r>
                <w:rPr>
                  <w:rFonts w:ascii="Arial" w:cs="Arial" w:eastAsia="Arial" w:hAnsi="Arial"/>
                  <w:sz w:val="18"/>
                  <w:szCs w:val="18"/>
                  <w:color w:val="0000EE"/>
                  <w:w w:val="79"/>
                </w:rPr>
                <w:t>36</w:t>
              </w:r>
            </w:hyperlink>
          </w:p>
        </w:tc>
      </w:tr>
      <w:tr>
        <w:trPr>
          <w:trHeight w:val="20"/>
        </w:trPr>
        <w:tc>
          <w:tcPr>
            <w:tcW w:w="40" w:type="dxa"/>
            <w:vAlign w:val="bottom"/>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140" w:type="dxa"/>
            <w:vAlign w:val="bottom"/>
            <w:gridSpan w:val="6"/>
          </w:tcPr>
          <w:p>
            <w:pPr>
              <w:spacing w:after="0" w:line="20" w:lineRule="exact"/>
              <w:rPr>
                <w:sz w:val="1"/>
                <w:szCs w:val="1"/>
                <w:color w:val="auto"/>
              </w:rPr>
            </w:pPr>
          </w:p>
        </w:tc>
        <w:tc>
          <w:tcPr>
            <w:tcW w:w="5000" w:type="dxa"/>
            <w:vAlign w:val="bottom"/>
            <w:gridSpan w:val="7"/>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520"/>
        </w:trPr>
        <w:tc>
          <w:tcPr>
            <w:tcW w:w="40" w:type="dxa"/>
            <w:vAlign w:val="bottom"/>
          </w:tcPr>
          <w:p>
            <w:pPr>
              <w:spacing w:after="0"/>
              <w:rPr>
                <w:sz w:val="24"/>
                <w:szCs w:val="24"/>
                <w:color w:val="auto"/>
              </w:rPr>
            </w:pPr>
          </w:p>
        </w:tc>
        <w:tc>
          <w:tcPr>
            <w:tcW w:w="540" w:type="dxa"/>
            <w:vAlign w:val="bottom"/>
            <w:tcBorders>
              <w:bottom w:val="single" w:sz="8" w:color="0000EE"/>
            </w:tcBorders>
          </w:tcPr>
          <w:p>
            <w:pPr>
              <w:spacing w:after="0"/>
              <w:rPr>
                <w:rFonts w:ascii="Arial" w:cs="Arial" w:eastAsia="Arial" w:hAnsi="Arial"/>
                <w:sz w:val="18"/>
                <w:szCs w:val="18"/>
                <w:b w:val="1"/>
                <w:bCs w:val="1"/>
                <w:color w:val="0000EE"/>
                <w:w w:val="91"/>
              </w:rPr>
            </w:pPr>
            <w:hyperlink w:anchor="page40">
              <w:r>
                <w:rPr>
                  <w:rFonts w:ascii="Arial" w:cs="Arial" w:eastAsia="Arial" w:hAnsi="Arial"/>
                  <w:sz w:val="18"/>
                  <w:szCs w:val="18"/>
                  <w:b w:val="1"/>
                  <w:bCs w:val="1"/>
                  <w:color w:val="0000EE"/>
                  <w:w w:val="91"/>
                </w:rPr>
                <w:t>Item 2.</w:t>
              </w:r>
            </w:hyperlink>
          </w:p>
        </w:tc>
        <w:tc>
          <w:tcPr>
            <w:tcW w:w="120" w:type="dxa"/>
            <w:vAlign w:val="bottom"/>
            <w:gridSpan w:val="2"/>
          </w:tcPr>
          <w:p>
            <w:pPr>
              <w:spacing w:after="0"/>
              <w:rPr>
                <w:sz w:val="24"/>
                <w:szCs w:val="24"/>
                <w:color w:val="auto"/>
              </w:rPr>
            </w:pPr>
          </w:p>
        </w:tc>
        <w:tc>
          <w:tcPr>
            <w:tcW w:w="940" w:type="dxa"/>
            <w:vAlign w:val="bottom"/>
            <w:gridSpan w:val="5"/>
          </w:tcPr>
          <w:p>
            <w:pPr>
              <w:spacing w:after="0"/>
              <w:rPr>
                <w:sz w:val="24"/>
                <w:szCs w:val="24"/>
                <w:color w:val="auto"/>
              </w:rPr>
            </w:pPr>
          </w:p>
        </w:tc>
        <w:tc>
          <w:tcPr>
            <w:tcW w:w="4580" w:type="dxa"/>
            <w:vAlign w:val="bottom"/>
            <w:tcBorders>
              <w:bottom w:val="single" w:sz="8" w:color="0000EE"/>
            </w:tcBorders>
            <w:gridSpan w:val="10"/>
          </w:tcPr>
          <w:p>
            <w:pPr>
              <w:spacing w:after="0"/>
              <w:rPr>
                <w:rFonts w:ascii="Arial" w:cs="Arial" w:eastAsia="Arial" w:hAnsi="Arial"/>
                <w:sz w:val="18"/>
                <w:szCs w:val="18"/>
                <w:b w:val="1"/>
                <w:bCs w:val="1"/>
                <w:color w:val="0000EE"/>
                <w:w w:val="87"/>
              </w:rPr>
            </w:pPr>
            <w:hyperlink w:anchor="page40">
              <w:r>
                <w:rPr>
                  <w:rFonts w:ascii="Arial" w:cs="Arial" w:eastAsia="Arial" w:hAnsi="Arial"/>
                  <w:sz w:val="18"/>
                  <w:szCs w:val="18"/>
                  <w:b w:val="1"/>
                  <w:bCs w:val="1"/>
                  <w:color w:val="0000EE"/>
                  <w:w w:val="87"/>
                </w:rPr>
                <w:t>Unregistered Sales of Equity Securities and Use of Proceeds</w:t>
              </w:r>
            </w:hyperlink>
          </w:p>
        </w:tc>
        <w:tc>
          <w:tcPr>
            <w:tcW w:w="5000" w:type="dxa"/>
            <w:vAlign w:val="bottom"/>
            <w:gridSpan w:val="7"/>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40">
              <w:r>
                <w:rPr>
                  <w:rFonts w:ascii="Arial" w:cs="Arial" w:eastAsia="Arial" w:hAnsi="Arial"/>
                  <w:sz w:val="18"/>
                  <w:szCs w:val="18"/>
                  <w:color w:val="0000EE"/>
                  <w:w w:val="79"/>
                </w:rPr>
                <w:t>36</w:t>
              </w:r>
            </w:hyperlink>
          </w:p>
        </w:tc>
      </w:tr>
      <w:tr>
        <w:trPr>
          <w:trHeight w:val="520"/>
        </w:trPr>
        <w:tc>
          <w:tcPr>
            <w:tcW w:w="40" w:type="dxa"/>
            <w:vAlign w:val="bottom"/>
          </w:tcPr>
          <w:p>
            <w:pPr>
              <w:spacing w:after="0"/>
              <w:rPr>
                <w:sz w:val="24"/>
                <w:szCs w:val="24"/>
                <w:color w:val="auto"/>
              </w:rPr>
            </w:pPr>
          </w:p>
        </w:tc>
        <w:tc>
          <w:tcPr>
            <w:tcW w:w="540" w:type="dxa"/>
            <w:vAlign w:val="bottom"/>
          </w:tcPr>
          <w:p>
            <w:pPr>
              <w:spacing w:after="0"/>
              <w:rPr>
                <w:rFonts w:ascii="Arial" w:cs="Arial" w:eastAsia="Arial" w:hAnsi="Arial"/>
                <w:sz w:val="18"/>
                <w:szCs w:val="18"/>
                <w:b w:val="1"/>
                <w:bCs w:val="1"/>
                <w:color w:val="0000EE"/>
                <w:w w:val="91"/>
              </w:rPr>
            </w:pPr>
            <w:hyperlink w:anchor="page40">
              <w:r>
                <w:rPr>
                  <w:rFonts w:ascii="Arial" w:cs="Arial" w:eastAsia="Arial" w:hAnsi="Arial"/>
                  <w:sz w:val="18"/>
                  <w:szCs w:val="18"/>
                  <w:b w:val="1"/>
                  <w:bCs w:val="1"/>
                  <w:color w:val="0000EE"/>
                  <w:w w:val="91"/>
                </w:rPr>
                <w:t>Item 5.</w:t>
              </w:r>
            </w:hyperlink>
          </w:p>
        </w:tc>
        <w:tc>
          <w:tcPr>
            <w:tcW w:w="1060" w:type="dxa"/>
            <w:vAlign w:val="bottom"/>
            <w:gridSpan w:val="7"/>
          </w:tcPr>
          <w:p>
            <w:pPr>
              <w:spacing w:after="0"/>
              <w:rPr>
                <w:sz w:val="24"/>
                <w:szCs w:val="24"/>
                <w:color w:val="auto"/>
              </w:rPr>
            </w:pPr>
          </w:p>
        </w:tc>
        <w:tc>
          <w:tcPr>
            <w:tcW w:w="9580" w:type="dxa"/>
            <w:vAlign w:val="bottom"/>
            <w:gridSpan w:val="17"/>
          </w:tcPr>
          <w:p>
            <w:pPr>
              <w:spacing w:after="0"/>
              <w:rPr>
                <w:rFonts w:ascii="Arial" w:cs="Arial" w:eastAsia="Arial" w:hAnsi="Arial"/>
                <w:sz w:val="18"/>
                <w:szCs w:val="18"/>
                <w:b w:val="1"/>
                <w:bCs w:val="1"/>
                <w:color w:val="0000EE"/>
              </w:rPr>
            </w:pPr>
            <w:hyperlink w:anchor="page40">
              <w:r>
                <w:rPr>
                  <w:rFonts w:ascii="Arial" w:cs="Arial" w:eastAsia="Arial" w:hAnsi="Arial"/>
                  <w:sz w:val="18"/>
                  <w:szCs w:val="18"/>
                  <w:b w:val="1"/>
                  <w:bCs w:val="1"/>
                  <w:color w:val="0000EE"/>
                </w:rPr>
                <w:t>Other Information</w:t>
              </w:r>
            </w:hyperlink>
          </w:p>
        </w:tc>
        <w:tc>
          <w:tcPr>
            <w:tcW w:w="180" w:type="dxa"/>
            <w:vAlign w:val="bottom"/>
            <w:gridSpan w:val="2"/>
          </w:tcPr>
          <w:p>
            <w:pPr>
              <w:jc w:val="right"/>
              <w:spacing w:after="0"/>
              <w:rPr>
                <w:rFonts w:ascii="Arial" w:cs="Arial" w:eastAsia="Arial" w:hAnsi="Arial"/>
                <w:sz w:val="18"/>
                <w:szCs w:val="18"/>
                <w:color w:val="0000EE"/>
                <w:w w:val="79"/>
              </w:rPr>
            </w:pPr>
            <w:hyperlink w:anchor="page40">
              <w:r>
                <w:rPr>
                  <w:rFonts w:ascii="Arial" w:cs="Arial" w:eastAsia="Arial" w:hAnsi="Arial"/>
                  <w:sz w:val="18"/>
                  <w:szCs w:val="18"/>
                  <w:color w:val="0000EE"/>
                  <w:w w:val="79"/>
                </w:rPr>
                <w:t>36</w:t>
              </w:r>
            </w:hyperlink>
          </w:p>
        </w:tc>
      </w:tr>
      <w:tr>
        <w:trPr>
          <w:trHeight w:val="547"/>
        </w:trPr>
        <w:tc>
          <w:tcPr>
            <w:tcW w:w="40" w:type="dxa"/>
            <w:vAlign w:val="bottom"/>
          </w:tcPr>
          <w:p>
            <w:pPr>
              <w:spacing w:after="0"/>
              <w:rPr>
                <w:sz w:val="24"/>
                <w:szCs w:val="24"/>
                <w:color w:val="auto"/>
              </w:rPr>
            </w:pPr>
          </w:p>
        </w:tc>
        <w:tc>
          <w:tcPr>
            <w:tcW w:w="540" w:type="dxa"/>
            <w:vAlign w:val="bottom"/>
            <w:tcBorders>
              <w:top w:val="single" w:sz="8" w:color="0000EE"/>
            </w:tcBorders>
          </w:tcPr>
          <w:p>
            <w:pPr>
              <w:spacing w:after="0"/>
              <w:rPr>
                <w:rFonts w:ascii="Arial" w:cs="Arial" w:eastAsia="Arial" w:hAnsi="Arial"/>
                <w:sz w:val="18"/>
                <w:szCs w:val="18"/>
                <w:b w:val="1"/>
                <w:bCs w:val="1"/>
                <w:color w:val="0000EE"/>
                <w:w w:val="91"/>
              </w:rPr>
            </w:pPr>
            <w:hyperlink w:anchor="page41">
              <w:r>
                <w:rPr>
                  <w:rFonts w:ascii="Arial" w:cs="Arial" w:eastAsia="Arial" w:hAnsi="Arial"/>
                  <w:sz w:val="18"/>
                  <w:szCs w:val="18"/>
                  <w:b w:val="1"/>
                  <w:bCs w:val="1"/>
                  <w:color w:val="0000EE"/>
                  <w:w w:val="91"/>
                </w:rPr>
                <w:t>Item 6.</w:t>
              </w:r>
            </w:hyperlink>
          </w:p>
        </w:tc>
        <w:tc>
          <w:tcPr>
            <w:tcW w:w="1060" w:type="dxa"/>
            <w:vAlign w:val="bottom"/>
            <w:gridSpan w:val="7"/>
          </w:tcPr>
          <w:p>
            <w:pPr>
              <w:spacing w:after="0"/>
              <w:rPr>
                <w:sz w:val="24"/>
                <w:szCs w:val="24"/>
                <w:color w:val="auto"/>
              </w:rPr>
            </w:pPr>
          </w:p>
        </w:tc>
        <w:tc>
          <w:tcPr>
            <w:tcW w:w="1440" w:type="dxa"/>
            <w:vAlign w:val="bottom"/>
            <w:tcBorders>
              <w:top w:val="single" w:sz="8" w:color="0000EE"/>
            </w:tcBorders>
            <w:gridSpan w:val="4"/>
          </w:tcPr>
          <w:p>
            <w:pPr>
              <w:spacing w:after="0"/>
              <w:rPr>
                <w:rFonts w:ascii="Arial" w:cs="Arial" w:eastAsia="Arial" w:hAnsi="Arial"/>
                <w:sz w:val="18"/>
                <w:szCs w:val="18"/>
                <w:b w:val="1"/>
                <w:bCs w:val="1"/>
                <w:color w:val="0000EE"/>
              </w:rPr>
            </w:pPr>
            <w:hyperlink w:anchor="page41">
              <w:r>
                <w:rPr>
                  <w:rFonts w:ascii="Arial" w:cs="Arial" w:eastAsia="Arial" w:hAnsi="Arial"/>
                  <w:sz w:val="18"/>
                  <w:szCs w:val="18"/>
                  <w:b w:val="1"/>
                  <w:bCs w:val="1"/>
                  <w:color w:val="0000EE"/>
                </w:rPr>
                <w:t>Exhibits</w:t>
              </w:r>
            </w:hyperlink>
          </w:p>
        </w:tc>
        <w:tc>
          <w:tcPr>
            <w:tcW w:w="8140" w:type="dxa"/>
            <w:vAlign w:val="bottom"/>
            <w:gridSpan w:val="13"/>
          </w:tcPr>
          <w:p>
            <w:pPr>
              <w:spacing w:after="0"/>
              <w:rPr>
                <w:sz w:val="24"/>
                <w:szCs w:val="24"/>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color w:val="0000EE"/>
                <w:w w:val="79"/>
              </w:rPr>
            </w:pPr>
            <w:hyperlink w:anchor="page41">
              <w:r>
                <w:rPr>
                  <w:rFonts w:ascii="Arial" w:cs="Arial" w:eastAsia="Arial" w:hAnsi="Arial"/>
                  <w:sz w:val="18"/>
                  <w:szCs w:val="18"/>
                  <w:color w:val="0000EE"/>
                  <w:w w:val="79"/>
                </w:rPr>
                <w:t>37</w:t>
              </w:r>
            </w:hyperlink>
          </w:p>
        </w:tc>
      </w:tr>
      <w:tr>
        <w:trPr>
          <w:trHeight w:val="20"/>
        </w:trPr>
        <w:tc>
          <w:tcPr>
            <w:tcW w:w="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520"/>
        </w:trPr>
        <w:tc>
          <w:tcPr>
            <w:tcW w:w="40" w:type="dxa"/>
            <w:vAlign w:val="bottom"/>
          </w:tcPr>
          <w:p>
            <w:pPr>
              <w:spacing w:after="0"/>
              <w:rPr>
                <w:sz w:val="24"/>
                <w:szCs w:val="24"/>
                <w:color w:val="auto"/>
              </w:rPr>
            </w:pPr>
          </w:p>
        </w:tc>
        <w:tc>
          <w:tcPr>
            <w:tcW w:w="1160" w:type="dxa"/>
            <w:vAlign w:val="bottom"/>
            <w:tcBorders>
              <w:bottom w:val="single" w:sz="8" w:color="0000EE"/>
            </w:tcBorders>
            <w:gridSpan w:val="5"/>
          </w:tcPr>
          <w:p>
            <w:pPr>
              <w:spacing w:after="0"/>
              <w:rPr>
                <w:rFonts w:ascii="Arial" w:cs="Arial" w:eastAsia="Arial" w:hAnsi="Arial"/>
                <w:sz w:val="18"/>
                <w:szCs w:val="18"/>
                <w:b w:val="1"/>
                <w:bCs w:val="1"/>
                <w:color w:val="0000EE"/>
                <w:w w:val="96"/>
              </w:rPr>
            </w:pPr>
            <w:hyperlink w:anchor="page42">
              <w:r>
                <w:rPr>
                  <w:rFonts w:ascii="Arial" w:cs="Arial" w:eastAsia="Arial" w:hAnsi="Arial"/>
                  <w:sz w:val="18"/>
                  <w:szCs w:val="18"/>
                  <w:b w:val="1"/>
                  <w:bCs w:val="1"/>
                  <w:color w:val="0000EE"/>
                  <w:w w:val="96"/>
                </w:rPr>
                <w:t>SIGNATURES</w:t>
              </w:r>
            </w:hyperlink>
          </w:p>
        </w:tc>
        <w:tc>
          <w:tcPr>
            <w:tcW w:w="440" w:type="dxa"/>
            <w:vAlign w:val="bottom"/>
            <w:gridSpan w:val="3"/>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42">
              <w:r>
                <w:rPr>
                  <w:rFonts w:ascii="Arial" w:cs="Arial" w:eastAsia="Arial" w:hAnsi="Arial"/>
                  <w:sz w:val="18"/>
                  <w:szCs w:val="18"/>
                  <w:color w:val="0000EE"/>
                  <w:w w:val="79"/>
                </w:rPr>
                <w:t>38</w:t>
              </w:r>
            </w:hyperlink>
          </w:p>
        </w:tc>
      </w:tr>
      <w:tr>
        <w:trPr>
          <w:trHeight w:val="520"/>
        </w:trPr>
        <w:tc>
          <w:tcPr>
            <w:tcW w:w="40" w:type="dxa"/>
            <w:vAlign w:val="bottom"/>
          </w:tcPr>
          <w:p>
            <w:pPr>
              <w:spacing w:after="0"/>
              <w:rPr>
                <w:sz w:val="24"/>
                <w:szCs w:val="24"/>
                <w:color w:val="auto"/>
              </w:rPr>
            </w:pPr>
          </w:p>
        </w:tc>
        <w:tc>
          <w:tcPr>
            <w:tcW w:w="1600" w:type="dxa"/>
            <w:vAlign w:val="bottom"/>
            <w:gridSpan w:val="8"/>
          </w:tcPr>
          <w:p>
            <w:pPr>
              <w:spacing w:after="0"/>
              <w:rPr>
                <w:rFonts w:ascii="Arial" w:cs="Arial" w:eastAsia="Arial" w:hAnsi="Arial"/>
                <w:sz w:val="18"/>
                <w:szCs w:val="18"/>
                <w:b w:val="1"/>
                <w:bCs w:val="1"/>
                <w:color w:val="0000EE"/>
              </w:rPr>
            </w:pPr>
            <w:hyperlink w:anchor="page43">
              <w:r>
                <w:rPr>
                  <w:rFonts w:ascii="Arial" w:cs="Arial" w:eastAsia="Arial" w:hAnsi="Arial"/>
                  <w:sz w:val="18"/>
                  <w:szCs w:val="18"/>
                  <w:b w:val="1"/>
                  <w:bCs w:val="1"/>
                  <w:color w:val="0000EE"/>
                </w:rPr>
                <w:t>EXHIBIT INDEX</w:t>
              </w:r>
            </w:hyperlink>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80" w:type="dxa"/>
            <w:vAlign w:val="bottom"/>
            <w:gridSpan w:val="2"/>
          </w:tcPr>
          <w:p>
            <w:pPr>
              <w:jc w:val="right"/>
              <w:spacing w:after="0"/>
              <w:rPr>
                <w:rFonts w:ascii="Arial" w:cs="Arial" w:eastAsia="Arial" w:hAnsi="Arial"/>
                <w:sz w:val="18"/>
                <w:szCs w:val="18"/>
                <w:color w:val="0000EE"/>
                <w:w w:val="79"/>
              </w:rPr>
            </w:pPr>
            <w:hyperlink w:anchor="page43">
              <w:r>
                <w:rPr>
                  <w:rFonts w:ascii="Arial" w:cs="Arial" w:eastAsia="Arial" w:hAnsi="Arial"/>
                  <w:sz w:val="18"/>
                  <w:szCs w:val="18"/>
                  <w:color w:val="0000EE"/>
                  <w:w w:val="79"/>
                </w:rPr>
                <w:t>39</w:t>
              </w:r>
            </w:hyperlink>
          </w:p>
        </w:tc>
      </w:tr>
      <w:tr>
        <w:trPr>
          <w:trHeight w:val="20"/>
        </w:trPr>
        <w:tc>
          <w:tcPr>
            <w:tcW w:w="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00"/>
          </w:cols>
          <w:pgMar w:left="240" w:top="108" w:right="25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Unless the context otherwise indicates or requires, the terms “we,” “our,” “us,” “Essent,” and the “Company,” as used in this Quarterly Report on</w:t>
      </w:r>
    </w:p>
    <w:p>
      <w:pPr>
        <w:spacing w:after="0" w:line="35" w:lineRule="exact"/>
        <w:rPr>
          <w:sz w:val="20"/>
          <w:szCs w:val="20"/>
          <w:color w:val="auto"/>
        </w:rPr>
      </w:pPr>
    </w:p>
    <w:p>
      <w:pPr>
        <w:ind w:right="80"/>
        <w:spacing w:after="0" w:line="290" w:lineRule="auto"/>
        <w:rPr>
          <w:sz w:val="20"/>
          <w:szCs w:val="20"/>
          <w:color w:val="auto"/>
        </w:rPr>
      </w:pPr>
      <w:r>
        <w:rPr>
          <w:rFonts w:ascii="Arial" w:cs="Arial" w:eastAsia="Arial" w:hAnsi="Arial"/>
          <w:sz w:val="17"/>
          <w:szCs w:val="17"/>
          <w:i w:val="1"/>
          <w:iCs w:val="1"/>
          <w:color w:val="auto"/>
        </w:rPr>
        <w:t>Form 10-Q, refer to Essent Group Ltd. and its directly and indirectly owned subsidiaries, including our primary operating subsidiary, Essent Guaranty, Inc., as a combined entity, except where otherwise stated or where it is clear that the terms mean only Essent Group Ltd. exclusive of its subsidiaries.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This Quarterly Report on Form 10-Q, or Quarterly Report, includes forward-looking statements pursuant to the “safe harbor” provisions of the Private Securities Litigation Reform Act of 1995. Forward-looking statements relate to expectations, beliefs, projections, future plans and strategies, anticipated events or trends and similar expressions concerning matters that are not historical facts or present facts or conditions, such as statements regarding our future financial condition or results of operations, our prospects and strategies for future growth, the introduction of new products and services, and the implementation of our marketing and branding strategies. In many cases, you can identify forward-looking statements by terms such as “may,” “will,” “should,” “expects,” “plans,” “anticipates,” “believes,” “estimates,” “predicts,” “potential” or the negative of these terms or other comparable terminology.</w:t>
      </w:r>
    </w:p>
    <w:p>
      <w:pPr>
        <w:spacing w:after="0" w:line="16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The forward-looking statements contained in this Quarterly Report reflect our views as of the date of this Quarterly Report about future events and are subject to risks, uncertainties, assumptions and changes in circumstances that may cause events or our actual activities or results to differ significantly from those expressed in any forward-looking statement. Although we believe that the expectations reflected in the forward-looking statements are reasonable, we cannot guarantee future events, results, actions, levels of activity, performance or achievements. A number of important factors could cause actual results to differ materially from those indicated by the forward-looking statements, including, but not limited to, those factors described below, factors described in Part I, Item 2 “Management’s Discussion and Analysis of Financial Condition and Results of Operations” of this Quarterly Report, and factors described in Part I, Item 1A “Risk Factors” of our Annual Report on Form 10-K for the year ended December 31, 2015 filed with the Securities and Exchange Commission. These factors include, without limitation, the following:</w:t>
      </w:r>
    </w:p>
    <w:p>
      <w:pPr>
        <w:spacing w:after="0" w:line="179" w:lineRule="exact"/>
        <w:rPr>
          <w:sz w:val="20"/>
          <w:szCs w:val="20"/>
          <w:color w:val="auto"/>
        </w:rPr>
      </w:pPr>
    </w:p>
    <w:p>
      <w:pPr>
        <w:ind w:left="660" w:right="20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or to Fannie Mae and Freddie Mac, which we refer to collectively as the GSEs, whether through Federal legislation, restructurings or a shift in business practices;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to continue to meet the mortgage insurer eligibility requirements of the GSEs;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competition for our customers or the loss of a significant customer;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lenders or investors seeking alternatives to private mortgage insurance;</w:t>
      </w:r>
    </w:p>
    <w:p>
      <w:pPr>
        <w:spacing w:after="0" w:line="225"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 in the number of loans insured through Federal government mortgage insurance programs, including those offered by the Federal Housing Administration;</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decline in the volume of low down payment mortgage originations;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uncertainty of loss reserve estimates;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decrease in the length of time our insurance policies are in force;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deteriorating economic conditions;</w:t>
      </w:r>
    </w:p>
    <w:p>
      <w:pPr>
        <w:spacing w:after="0" w:line="225" w:lineRule="exact"/>
        <w:rPr>
          <w:rFonts w:ascii="Arial" w:cs="Arial" w:eastAsia="Arial" w:hAnsi="Arial"/>
          <w:sz w:val="18"/>
          <w:szCs w:val="18"/>
          <w:color w:val="auto"/>
        </w:rPr>
      </w:pPr>
    </w:p>
    <w:p>
      <w:pPr>
        <w:ind w:left="660" w:right="42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definition of “Qualified Mortgage” reducing the size of the mortgage origination market or creating incentives to use government mortgage insurance programs;</w:t>
      </w:r>
    </w:p>
    <w:p>
      <w:pPr>
        <w:spacing w:after="0" w:line="170"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definition of “Qualified Residential Mortgage” reducing the number of low down payment loans or lenders and investors seeking alternatives to private mortgage insurance;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implementation of the Basel III Capital Accord, which may discourage the use of private mortgage insurance;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management of risk in our investment portfolio;</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fluctuations in interest rates;</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80"/>
          </w:cols>
          <w:pgMar w:left="240" w:top="125" w:right="27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inadequacy of the premiums we charge to compensate for our losses incurred;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dependence on management team and qualified personnel;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disturbance to our information technology systems;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 in our customers’ capital requirements discouraging the use of mortgage insurance;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declines in the value of borrowers’ homes;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limited availability of capital;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unanticipated claims arise under and risks associated with our contract underwriting program;</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industry practice that loss reserves are established only upon a loan default;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disruption in mortgage loan servicing;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 of future legal proceedings;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customers’ technological demands;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non-U.S. operations becoming subject to U.S. Federal income taxation;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becoming considered a passive foreign investment company for U.S. Federal income tax purposes;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potential inability of our insurance subsidiaries to pay dividends.</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Readers are urged to consider these factors carefully in evaluating the forward-looking statements and are cautioned not to place undue reliance on these forward-looking statements. All of the forward-looking statements we have included in this Quarterly Report are based on information available to us on the date of this Quarterly Report. We undertake no obligation to publicly update or revise any forward-looking statement, whether as a result of new information, future events or otherwise, except as otherwise required by law.</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220"/>
          </w:cols>
          <w:pgMar w:left="240" w:top="125" w:right="4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 (Unaudited)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16"/>
                <w:szCs w:val="16"/>
                <w:color w:val="auto"/>
              </w:rPr>
            </w:pPr>
          </w:p>
        </w:tc>
        <w:tc>
          <w:tcPr>
            <w:tcW w:w="1100" w:type="dxa"/>
            <w:vAlign w:val="bottom"/>
          </w:tcPr>
          <w:p>
            <w:pPr>
              <w:jc w:val="right"/>
              <w:ind w:right="111"/>
              <w:spacing w:after="0"/>
              <w:rPr>
                <w:sz w:val="20"/>
                <w:szCs w:val="20"/>
                <w:color w:val="auto"/>
              </w:rPr>
            </w:pPr>
            <w:r>
              <w:rPr>
                <w:rFonts w:ascii="Arial" w:cs="Arial" w:eastAsia="Arial" w:hAnsi="Arial"/>
                <w:sz w:val="14"/>
                <w:szCs w:val="14"/>
                <w:b w:val="1"/>
                <w:bCs w:val="1"/>
                <w:color w:val="auto"/>
                <w:w w:val="96"/>
              </w:rPr>
              <w:t>December 31,</w:t>
            </w:r>
          </w:p>
        </w:tc>
      </w:tr>
      <w:tr>
        <w:trPr>
          <w:trHeight w:val="276"/>
        </w:trPr>
        <w:tc>
          <w:tcPr>
            <w:tcW w:w="87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 except per share amounts)</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2015</w:t>
            </w:r>
          </w:p>
        </w:tc>
      </w:tr>
      <w:tr>
        <w:trPr>
          <w:trHeight w:val="25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Assets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Investments available for sale, at fair value</w:t>
            </w: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Fixed maturities (amortized cost: 2016 — $1,265,279; 2015 — $1,189,978)</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1,285,014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1,190,638</w:t>
            </w:r>
          </w:p>
        </w:tc>
      </w:tr>
      <w:tr>
        <w:trPr>
          <w:trHeight w:val="243"/>
        </w:trPr>
        <w:tc>
          <w:tcPr>
            <w:tcW w:w="8800" w:type="dxa"/>
            <w:vAlign w:val="bottom"/>
            <w:gridSpan w:val="2"/>
          </w:tcPr>
          <w:p>
            <w:pPr>
              <w:ind w:left="280"/>
              <w:spacing w:after="0"/>
              <w:rPr>
                <w:sz w:val="20"/>
                <w:szCs w:val="20"/>
                <w:color w:val="auto"/>
              </w:rPr>
            </w:pPr>
            <w:r>
              <w:rPr>
                <w:rFonts w:ascii="Arial" w:cs="Arial" w:eastAsia="Arial" w:hAnsi="Arial"/>
                <w:sz w:val="18"/>
                <w:szCs w:val="18"/>
                <w:color w:val="auto"/>
              </w:rPr>
              <w:t>Short-term investments (amortized cost: 2016 — $83,488; 2015 — $85,994)</w:t>
            </w:r>
          </w:p>
        </w:tc>
        <w:tc>
          <w:tcPr>
            <w:tcW w:w="2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83,488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85,996</w:t>
            </w:r>
          </w:p>
        </w:tc>
      </w:tr>
      <w:tr>
        <w:trPr>
          <w:trHeight w:val="27"/>
        </w:trPr>
        <w:tc>
          <w:tcPr>
            <w:tcW w:w="8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investments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1,368,502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1,276,634</w:t>
            </w:r>
          </w:p>
        </w:tc>
      </w:tr>
      <w:tr>
        <w:trPr>
          <w:trHeight w:val="243"/>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Cash</w:t>
            </w:r>
          </w:p>
        </w:tc>
        <w:tc>
          <w:tcPr>
            <w:tcW w:w="2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28,206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24,606</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Accrued investment income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8,431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7,768</w:t>
            </w:r>
          </w:p>
        </w:tc>
      </w:tr>
      <w:tr>
        <w:trPr>
          <w:trHeight w:val="243"/>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Accounts receivable</w:t>
            </w:r>
          </w:p>
        </w:tc>
        <w:tc>
          <w:tcPr>
            <w:tcW w:w="2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17,200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16,637</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policy acquisition costs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11,686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11,529</w:t>
            </w:r>
          </w:p>
        </w:tc>
      </w:tr>
      <w:tr>
        <w:trPr>
          <w:trHeight w:val="243"/>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Property and equipment (at cost, less accumulated depreciation of $43,479 in 2016 and $42,479 in 2015)</w:t>
            </w:r>
          </w:p>
        </w:tc>
        <w:tc>
          <w:tcPr>
            <w:tcW w:w="2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9,232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9,021</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Prepaid federal income tax</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119,522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119,412</w:t>
            </w:r>
          </w:p>
        </w:tc>
      </w:tr>
      <w:tr>
        <w:trPr>
          <w:trHeight w:val="243"/>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Other assets</w:t>
            </w:r>
          </w:p>
        </w:tc>
        <w:tc>
          <w:tcPr>
            <w:tcW w:w="2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2,953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3,492</w:t>
            </w:r>
          </w:p>
        </w:tc>
      </w:tr>
      <w:tr>
        <w:trPr>
          <w:trHeight w:val="27"/>
        </w:trPr>
        <w:tc>
          <w:tcPr>
            <w:tcW w:w="8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7"/>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Total assets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1,565,732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1,469,099</w:t>
            </w:r>
          </w:p>
        </w:tc>
      </w:tr>
      <w:tr>
        <w:trPr>
          <w:trHeight w:val="20"/>
        </w:trPr>
        <w:tc>
          <w:tcPr>
            <w:tcW w:w="8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71"/>
        </w:trPr>
        <w:tc>
          <w:tcPr>
            <w:tcW w:w="8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5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Liabilities and Stockholders’ Equity</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Liabilities</w:t>
            </w: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Reserve for losses and LAE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20,470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17,760</w:t>
            </w:r>
          </w:p>
        </w:tc>
      </w:tr>
      <w:tr>
        <w:trPr>
          <w:trHeight w:val="243"/>
        </w:trPr>
        <w:tc>
          <w:tcPr>
            <w:tcW w:w="8800" w:type="dxa"/>
            <w:vAlign w:val="bottom"/>
            <w:gridSpan w:val="2"/>
          </w:tcPr>
          <w:p>
            <w:pPr>
              <w:ind w:left="280"/>
              <w:spacing w:after="0"/>
              <w:rPr>
                <w:sz w:val="20"/>
                <w:szCs w:val="20"/>
                <w:color w:val="auto"/>
              </w:rPr>
            </w:pPr>
            <w:r>
              <w:rPr>
                <w:rFonts w:ascii="Arial" w:cs="Arial" w:eastAsia="Arial" w:hAnsi="Arial"/>
                <w:sz w:val="18"/>
                <w:szCs w:val="18"/>
                <w:color w:val="auto"/>
              </w:rPr>
              <w:t>Unearned premium reserve</w:t>
            </w:r>
          </w:p>
        </w:tc>
        <w:tc>
          <w:tcPr>
            <w:tcW w:w="2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207,108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201,045</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Accrued payroll and bonuses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6,629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15,955</w:t>
            </w:r>
          </w:p>
        </w:tc>
      </w:tr>
      <w:tr>
        <w:trPr>
          <w:trHeight w:val="243"/>
        </w:trPr>
        <w:tc>
          <w:tcPr>
            <w:tcW w:w="8800" w:type="dxa"/>
            <w:vAlign w:val="bottom"/>
            <w:gridSpan w:val="2"/>
          </w:tcPr>
          <w:p>
            <w:pPr>
              <w:ind w:left="280"/>
              <w:spacing w:after="0"/>
              <w:rPr>
                <w:sz w:val="20"/>
                <w:szCs w:val="20"/>
                <w:color w:val="auto"/>
              </w:rPr>
            </w:pPr>
            <w:r>
              <w:rPr>
                <w:rFonts w:ascii="Arial" w:cs="Arial" w:eastAsia="Arial" w:hAnsi="Arial"/>
                <w:sz w:val="18"/>
                <w:szCs w:val="18"/>
                <w:color w:val="auto"/>
              </w:rPr>
              <w:t>Net deferred tax liability</w:t>
            </w:r>
          </w:p>
        </w:tc>
        <w:tc>
          <w:tcPr>
            <w:tcW w:w="2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108,923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87,964</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Securities purchases payable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30,157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14,996</w:t>
            </w:r>
          </w:p>
        </w:tc>
      </w:tr>
      <w:tr>
        <w:trPr>
          <w:trHeight w:val="243"/>
        </w:trPr>
        <w:tc>
          <w:tcPr>
            <w:tcW w:w="8800" w:type="dxa"/>
            <w:vAlign w:val="bottom"/>
            <w:gridSpan w:val="2"/>
          </w:tcPr>
          <w:p>
            <w:pPr>
              <w:ind w:left="280"/>
              <w:spacing w:after="0"/>
              <w:rPr>
                <w:sz w:val="20"/>
                <w:szCs w:val="20"/>
                <w:color w:val="auto"/>
              </w:rPr>
            </w:pPr>
            <w:r>
              <w:rPr>
                <w:rFonts w:ascii="Arial" w:cs="Arial" w:eastAsia="Arial" w:hAnsi="Arial"/>
                <w:sz w:val="18"/>
                <w:szCs w:val="18"/>
                <w:color w:val="auto"/>
              </w:rPr>
              <w:t>Other accrued liabilities</w:t>
            </w:r>
          </w:p>
        </w:tc>
        <w:tc>
          <w:tcPr>
            <w:tcW w:w="2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10,950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12,138</w:t>
            </w:r>
          </w:p>
        </w:tc>
      </w:tr>
      <w:tr>
        <w:trPr>
          <w:trHeight w:val="27"/>
        </w:trPr>
        <w:tc>
          <w:tcPr>
            <w:tcW w:w="8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4"/>
        </w:trPr>
        <w:tc>
          <w:tcPr>
            <w:tcW w:w="88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Total liabilities</w:t>
            </w: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384,237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349,858</w:t>
            </w:r>
          </w:p>
        </w:tc>
      </w:tr>
      <w:tr>
        <w:trPr>
          <w:trHeight w:val="223"/>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Commitments and contingencies</w:t>
            </w:r>
          </w:p>
        </w:tc>
        <w:tc>
          <w:tcPr>
            <w:tcW w:w="2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gridSpan w:val="2"/>
          </w:tcPr>
          <w:p>
            <w:pPr>
              <w:ind w:left="280"/>
              <w:spacing w:after="0"/>
              <w:rPr>
                <w:sz w:val="20"/>
                <w:szCs w:val="20"/>
                <w:color w:val="auto"/>
              </w:rPr>
            </w:pPr>
            <w:r>
              <w:rPr>
                <w:rFonts w:ascii="Arial" w:cs="Arial" w:eastAsia="Arial" w:hAnsi="Arial"/>
                <w:sz w:val="18"/>
                <w:szCs w:val="18"/>
                <w:color w:val="auto"/>
              </w:rPr>
              <w:t>Common shares, $0.015 par value:</w:t>
            </w: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Authorized - 233,333; issued - 93,070 shares in 2016 and 92,650 shares in 2015</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1,396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1,390</w:t>
            </w:r>
          </w:p>
        </w:tc>
      </w:tr>
      <w:tr>
        <w:trPr>
          <w:trHeight w:val="243"/>
        </w:trPr>
        <w:tc>
          <w:tcPr>
            <w:tcW w:w="8800" w:type="dxa"/>
            <w:vAlign w:val="bottom"/>
            <w:gridSpan w:val="2"/>
          </w:tcPr>
          <w:p>
            <w:pPr>
              <w:ind w:left="280"/>
              <w:spacing w:after="0"/>
              <w:rPr>
                <w:sz w:val="20"/>
                <w:szCs w:val="20"/>
                <w:color w:val="auto"/>
              </w:rPr>
            </w:pPr>
            <w:r>
              <w:rPr>
                <w:rFonts w:ascii="Arial" w:cs="Arial" w:eastAsia="Arial" w:hAnsi="Arial"/>
                <w:sz w:val="18"/>
                <w:szCs w:val="18"/>
                <w:color w:val="auto"/>
              </w:rPr>
              <w:t>Additional paid-in capital</w:t>
            </w:r>
          </w:p>
        </w:tc>
        <w:tc>
          <w:tcPr>
            <w:tcW w:w="2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905,159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904,221</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Accumulated other comprehensive income (loss)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13,260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w:t>
            </w:r>
          </w:p>
        </w:tc>
      </w:tr>
      <w:tr>
        <w:trPr>
          <w:trHeight w:val="243"/>
        </w:trPr>
        <w:tc>
          <w:tcPr>
            <w:tcW w:w="8800" w:type="dxa"/>
            <w:vAlign w:val="bottom"/>
            <w:gridSpan w:val="2"/>
          </w:tcPr>
          <w:p>
            <w:pPr>
              <w:ind w:left="280"/>
              <w:spacing w:after="0"/>
              <w:rPr>
                <w:sz w:val="20"/>
                <w:szCs w:val="20"/>
                <w:color w:val="auto"/>
              </w:rPr>
            </w:pPr>
            <w:r>
              <w:rPr>
                <w:rFonts w:ascii="Arial" w:cs="Arial" w:eastAsia="Arial" w:hAnsi="Arial"/>
                <w:sz w:val="18"/>
                <w:szCs w:val="18"/>
                <w:color w:val="auto"/>
              </w:rPr>
              <w:t>Retained earnings</w:t>
            </w:r>
          </w:p>
        </w:tc>
        <w:tc>
          <w:tcPr>
            <w:tcW w:w="2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261,680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213,729</w:t>
            </w:r>
          </w:p>
        </w:tc>
      </w:tr>
      <w:tr>
        <w:trPr>
          <w:trHeight w:val="27"/>
        </w:trPr>
        <w:tc>
          <w:tcPr>
            <w:tcW w:w="8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4"/>
        </w:trPr>
        <w:tc>
          <w:tcPr>
            <w:tcW w:w="88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Total stockholders’ equity</w:t>
            </w: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1,181,495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1,119,241</w:t>
            </w:r>
          </w:p>
        </w:tc>
      </w:tr>
      <w:tr>
        <w:trPr>
          <w:trHeight w:val="257"/>
        </w:trPr>
        <w:tc>
          <w:tcPr>
            <w:tcW w:w="8800" w:type="dxa"/>
            <w:vAlign w:val="bottom"/>
            <w:gridSpan w:val="2"/>
          </w:tcPr>
          <w:p>
            <w:pPr>
              <w:ind w:left="40"/>
              <w:spacing w:after="0"/>
              <w:rPr>
                <w:sz w:val="20"/>
                <w:szCs w:val="20"/>
                <w:color w:val="auto"/>
              </w:rPr>
            </w:pPr>
            <w:r>
              <w:rPr>
                <w:rFonts w:ascii="Arial" w:cs="Arial" w:eastAsia="Arial" w:hAnsi="Arial"/>
                <w:sz w:val="18"/>
                <w:szCs w:val="18"/>
                <w:b w:val="1"/>
                <w:bCs w:val="1"/>
                <w:color w:val="auto"/>
              </w:rPr>
              <w:t>Total liabilities and stockholders’ equity</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1,565,732</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1,469,099</w:t>
            </w:r>
          </w:p>
        </w:tc>
      </w:tr>
      <w:tr>
        <w:trPr>
          <w:trHeight w:val="20"/>
        </w:trPr>
        <w:tc>
          <w:tcPr>
            <w:tcW w:w="8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(Unaudited)</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right"/>
              <w:ind w:right="211"/>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7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 except per share amounts)</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2015</w:t>
            </w:r>
          </w:p>
        </w:tc>
      </w:tr>
      <w:tr>
        <w:trPr>
          <w:trHeight w:val="25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Net premiums written</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100,466</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82,257</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8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Increase in unearned premiums</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(6,063)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(7,219)</w:t>
            </w:r>
          </w:p>
        </w:tc>
      </w:tr>
      <w:tr>
        <w:trPr>
          <w:trHeight w:val="237"/>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Net premiums earned</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94,403</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75,038</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investment income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6,183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4,280</w:t>
            </w:r>
          </w:p>
        </w:tc>
      </w:tr>
      <w:tr>
        <w:trPr>
          <w:trHeight w:val="243"/>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Realized investment gains, net</w:t>
            </w:r>
          </w:p>
        </w:tc>
        <w:tc>
          <w:tcPr>
            <w:tcW w:w="2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471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649</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income</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1,409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w:t>
            </w:r>
          </w:p>
        </w:tc>
      </w:tr>
      <w:tr>
        <w:trPr>
          <w:trHeight w:val="237"/>
        </w:trPr>
        <w:tc>
          <w:tcPr>
            <w:tcW w:w="8800" w:type="dxa"/>
            <w:vAlign w:val="bottom"/>
            <w:gridSpan w:val="2"/>
          </w:tcPr>
          <w:p>
            <w:pPr>
              <w:ind w:left="280"/>
              <w:spacing w:after="0"/>
              <w:rPr>
                <w:sz w:val="20"/>
                <w:szCs w:val="20"/>
                <w:color w:val="auto"/>
              </w:rPr>
            </w:pPr>
            <w:r>
              <w:rPr>
                <w:rFonts w:ascii="Arial" w:cs="Arial" w:eastAsia="Arial" w:hAnsi="Arial"/>
                <w:sz w:val="18"/>
                <w:szCs w:val="18"/>
                <w:b w:val="1"/>
                <w:bCs w:val="1"/>
                <w:color w:val="auto"/>
              </w:rPr>
              <w:t>Total revenues</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102,466</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80,011</w:t>
            </w:r>
          </w:p>
        </w:tc>
      </w:tr>
      <w:tr>
        <w:trPr>
          <w:trHeight w:val="27"/>
        </w:trPr>
        <w:tc>
          <w:tcPr>
            <w:tcW w:w="8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91"/>
        </w:trPr>
        <w:tc>
          <w:tcPr>
            <w:tcW w:w="8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43"/>
        </w:trPr>
        <w:tc>
          <w:tcPr>
            <w:tcW w:w="8800" w:type="dxa"/>
            <w:vAlign w:val="bottom"/>
            <w:gridSpan w:val="2"/>
          </w:tcPr>
          <w:p>
            <w:pPr>
              <w:ind w:left="40"/>
              <w:spacing w:after="0"/>
              <w:rPr>
                <w:sz w:val="20"/>
                <w:szCs w:val="20"/>
                <w:color w:val="auto"/>
              </w:rPr>
            </w:pPr>
            <w:r>
              <w:rPr>
                <w:rFonts w:ascii="Arial" w:cs="Arial" w:eastAsia="Arial" w:hAnsi="Arial"/>
                <w:sz w:val="18"/>
                <w:szCs w:val="18"/>
                <w:b w:val="1"/>
                <w:bCs w:val="1"/>
                <w:color w:val="auto"/>
              </w:rPr>
              <w:t>Losses and expenses:</w:t>
            </w: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Provision for losses and LAE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3,731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1,999</w:t>
            </w:r>
          </w:p>
        </w:tc>
      </w:tr>
      <w:tr>
        <w:trPr>
          <w:trHeight w:val="243"/>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Other underwriting and operating expenses</w:t>
            </w:r>
          </w:p>
        </w:tc>
        <w:tc>
          <w:tcPr>
            <w:tcW w:w="2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31,388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27,498</w:t>
            </w:r>
          </w:p>
        </w:tc>
      </w:tr>
      <w:tr>
        <w:trPr>
          <w:trHeight w:val="27"/>
        </w:trPr>
        <w:tc>
          <w:tcPr>
            <w:tcW w:w="8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88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b w:val="1"/>
                <w:bCs w:val="1"/>
                <w:color w:val="auto"/>
              </w:rPr>
              <w:t>Total losses and expenses</w:t>
            </w: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35,119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29,497</w:t>
            </w:r>
          </w:p>
        </w:tc>
      </w:tr>
      <w:tr>
        <w:trPr>
          <w:trHeight w:val="291"/>
        </w:trPr>
        <w:tc>
          <w:tcPr>
            <w:tcW w:w="8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r>
      <w:tr>
        <w:trPr>
          <w:trHeight w:val="25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67,347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50,514</w:t>
            </w:r>
          </w:p>
        </w:tc>
      </w:tr>
      <w:tr>
        <w:trPr>
          <w:trHeight w:val="243"/>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Income tax expense</w:t>
            </w:r>
          </w:p>
        </w:tc>
        <w:tc>
          <w:tcPr>
            <w:tcW w:w="2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19,396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15,676</w:t>
            </w:r>
          </w:p>
        </w:tc>
      </w:tr>
      <w:tr>
        <w:trPr>
          <w:trHeight w:val="27"/>
        </w:trPr>
        <w:tc>
          <w:tcPr>
            <w:tcW w:w="8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88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b w:val="1"/>
                <w:bCs w:val="1"/>
                <w:color w:val="auto"/>
              </w:rPr>
              <w:t>Net income</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47,951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34,838</w:t>
            </w:r>
          </w:p>
        </w:tc>
      </w:tr>
      <w:tr>
        <w:trPr>
          <w:trHeight w:val="20"/>
        </w:trPr>
        <w:tc>
          <w:tcPr>
            <w:tcW w:w="8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71"/>
        </w:trPr>
        <w:tc>
          <w:tcPr>
            <w:tcW w:w="8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5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Earnings per share: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gridSpan w:val="2"/>
          </w:tcPr>
          <w:p>
            <w:pPr>
              <w:ind w:left="380"/>
              <w:spacing w:after="0"/>
              <w:rPr>
                <w:sz w:val="20"/>
                <w:szCs w:val="20"/>
                <w:color w:val="auto"/>
              </w:rPr>
            </w:pPr>
            <w:r>
              <w:rPr>
                <w:rFonts w:ascii="Arial" w:cs="Arial" w:eastAsia="Arial" w:hAnsi="Arial"/>
                <w:sz w:val="18"/>
                <w:szCs w:val="18"/>
                <w:color w:val="auto"/>
              </w:rPr>
              <w:t>Basic</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0.53</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0.39</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0.52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0.38</w:t>
            </w:r>
          </w:p>
        </w:tc>
      </w:tr>
      <w:tr>
        <w:trPr>
          <w:trHeight w:val="284"/>
        </w:trPr>
        <w:tc>
          <w:tcPr>
            <w:tcW w:w="8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5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Weighted average shares outstanding:</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gridSpan w:val="2"/>
          </w:tcPr>
          <w:p>
            <w:pPr>
              <w:ind w:left="380"/>
              <w:spacing w:after="0"/>
              <w:rPr>
                <w:sz w:val="20"/>
                <w:szCs w:val="20"/>
                <w:color w:val="auto"/>
              </w:rPr>
            </w:pPr>
            <w:r>
              <w:rPr>
                <w:rFonts w:ascii="Arial" w:cs="Arial" w:eastAsia="Arial" w:hAnsi="Arial"/>
                <w:sz w:val="18"/>
                <w:szCs w:val="18"/>
                <w:color w:val="auto"/>
              </w:rPr>
              <w:t>Basic</w:t>
            </w:r>
          </w:p>
        </w:tc>
        <w:tc>
          <w:tcPr>
            <w:tcW w:w="2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90,785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90,185</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91,859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91,514</w:t>
            </w:r>
          </w:p>
        </w:tc>
      </w:tr>
      <w:tr>
        <w:trPr>
          <w:trHeight w:val="297"/>
        </w:trPr>
        <w:tc>
          <w:tcPr>
            <w:tcW w:w="8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5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47,951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34,838</w:t>
            </w:r>
          </w:p>
        </w:tc>
      </w:tr>
      <w:tr>
        <w:trPr>
          <w:trHeight w:val="284"/>
        </w:trPr>
        <w:tc>
          <w:tcPr>
            <w:tcW w:w="8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5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Other comprehensive income: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gridSpan w:val="2"/>
          </w:tcPr>
          <w:p>
            <w:pPr>
              <w:ind w:left="280"/>
              <w:spacing w:after="0"/>
              <w:rPr>
                <w:sz w:val="20"/>
                <w:szCs w:val="20"/>
                <w:color w:val="auto"/>
              </w:rPr>
            </w:pPr>
            <w:r>
              <w:rPr>
                <w:rFonts w:ascii="Arial" w:cs="Arial" w:eastAsia="Arial" w:hAnsi="Arial"/>
                <w:sz w:val="18"/>
                <w:szCs w:val="18"/>
                <w:color w:val="auto"/>
                <w:w w:val="99"/>
              </w:rPr>
              <w:t>Change in unrealized appreciation of investments, net of tax expense of $5,714 in 2016 and $2,110 in 2015</w:t>
            </w:r>
          </w:p>
        </w:tc>
        <w:tc>
          <w:tcPr>
            <w:tcW w:w="2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13,359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4,889</w:t>
            </w:r>
          </w:p>
        </w:tc>
      </w:tr>
      <w:tr>
        <w:trPr>
          <w:trHeight w:val="27"/>
        </w:trPr>
        <w:tc>
          <w:tcPr>
            <w:tcW w:w="8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88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other comprehensive income</w:t>
            </w: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13,359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4,889</w:t>
            </w:r>
          </w:p>
        </w:tc>
      </w:tr>
      <w:tr>
        <w:trPr>
          <w:trHeight w:val="257"/>
        </w:trPr>
        <w:tc>
          <w:tcPr>
            <w:tcW w:w="8800" w:type="dxa"/>
            <w:vAlign w:val="bottom"/>
            <w:gridSpan w:val="2"/>
          </w:tcPr>
          <w:p>
            <w:pPr>
              <w:ind w:left="180"/>
              <w:spacing w:after="0"/>
              <w:rPr>
                <w:sz w:val="20"/>
                <w:szCs w:val="20"/>
                <w:color w:val="auto"/>
              </w:rPr>
            </w:pPr>
            <w:r>
              <w:rPr>
                <w:rFonts w:ascii="Arial" w:cs="Arial" w:eastAsia="Arial" w:hAnsi="Arial"/>
                <w:sz w:val="18"/>
                <w:szCs w:val="18"/>
                <w:b w:val="1"/>
                <w:bCs w:val="1"/>
                <w:color w:val="auto"/>
              </w:rPr>
              <w:t>Comprehensive income</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61,310</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39,727</w:t>
            </w:r>
          </w:p>
        </w:tc>
      </w:tr>
      <w:tr>
        <w:trPr>
          <w:trHeight w:val="20"/>
        </w:trPr>
        <w:tc>
          <w:tcPr>
            <w:tcW w:w="8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Stockholders’ Equity (Unaudited)</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5"/>
              </w:rPr>
              <w:t>Accumulated</w:t>
            </w: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2"/>
          </w:tcPr>
          <w:p>
            <w:pPr>
              <w:jc w:val="center"/>
              <w:ind w:right="340"/>
              <w:spacing w:after="0" w:line="135" w:lineRule="exact"/>
              <w:rPr>
                <w:sz w:val="20"/>
                <w:szCs w:val="20"/>
                <w:color w:val="auto"/>
              </w:rPr>
            </w:pPr>
            <w:r>
              <w:rPr>
                <w:rFonts w:ascii="Arial" w:cs="Arial" w:eastAsia="Arial" w:hAnsi="Arial"/>
                <w:sz w:val="13"/>
                <w:szCs w:val="13"/>
                <w:b w:val="1"/>
                <w:bCs w:val="1"/>
                <w:color w:val="auto"/>
                <w:w w:val="91"/>
              </w:rPr>
              <w:t>Additional</w:t>
            </w:r>
          </w:p>
        </w:tc>
        <w:tc>
          <w:tcPr>
            <w:tcW w:w="160" w:type="dxa"/>
            <w:vAlign w:val="bottom"/>
          </w:tcPr>
          <w:p>
            <w:pPr>
              <w:spacing w:after="0"/>
              <w:rPr>
                <w:sz w:val="11"/>
                <w:szCs w:val="11"/>
                <w:color w:val="auto"/>
              </w:rPr>
            </w:pPr>
          </w:p>
        </w:tc>
        <w:tc>
          <w:tcPr>
            <w:tcW w:w="120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2"/>
              </w:rPr>
              <w:t>Other</w:t>
            </w: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jc w:val="center"/>
              <w:ind w:right="101"/>
              <w:spacing w:after="0" w:line="135" w:lineRule="exact"/>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35"/>
        </w:trPr>
        <w:tc>
          <w:tcPr>
            <w:tcW w:w="320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(In thousands)</w:t>
            </w:r>
          </w:p>
        </w:tc>
        <w:tc>
          <w:tcPr>
            <w:tcW w:w="140" w:type="dxa"/>
            <w:vAlign w:val="bottom"/>
            <w:vMerge w:val="restart"/>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gridSpan w:val="2"/>
          </w:tcPr>
          <w:p>
            <w:pPr>
              <w:ind w:left="140"/>
              <w:spacing w:after="0" w:line="135" w:lineRule="exact"/>
              <w:rPr>
                <w:sz w:val="20"/>
                <w:szCs w:val="20"/>
                <w:color w:val="auto"/>
              </w:rPr>
            </w:pPr>
            <w:r>
              <w:rPr>
                <w:rFonts w:ascii="Arial" w:cs="Arial" w:eastAsia="Arial" w:hAnsi="Arial"/>
                <w:sz w:val="13"/>
                <w:szCs w:val="13"/>
                <w:b w:val="1"/>
                <w:bCs w:val="1"/>
                <w:color w:val="auto"/>
              </w:rPr>
              <w:t>Common</w:t>
            </w:r>
          </w:p>
        </w:tc>
        <w:tc>
          <w:tcPr>
            <w:tcW w:w="220" w:type="dxa"/>
            <w:vAlign w:val="bottom"/>
          </w:tcPr>
          <w:p>
            <w:pPr>
              <w:spacing w:after="0"/>
              <w:rPr>
                <w:sz w:val="11"/>
                <w:szCs w:val="11"/>
                <w:color w:val="auto"/>
              </w:rPr>
            </w:pPr>
          </w:p>
        </w:tc>
        <w:tc>
          <w:tcPr>
            <w:tcW w:w="116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92"/>
              </w:rPr>
              <w:t>Paid-In</w:t>
            </w:r>
          </w:p>
        </w:tc>
        <w:tc>
          <w:tcPr>
            <w:tcW w:w="160" w:type="dxa"/>
            <w:vAlign w:val="bottom"/>
          </w:tcPr>
          <w:p>
            <w:pPr>
              <w:spacing w:after="0"/>
              <w:rPr>
                <w:sz w:val="11"/>
                <w:szCs w:val="11"/>
                <w:color w:val="auto"/>
              </w:rPr>
            </w:pPr>
          </w:p>
        </w:tc>
        <w:tc>
          <w:tcPr>
            <w:tcW w:w="120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86"/>
              </w:rPr>
              <w:t>Comprehensive</w:t>
            </w:r>
          </w:p>
        </w:tc>
        <w:tc>
          <w:tcPr>
            <w:tcW w:w="240" w:type="dxa"/>
            <w:vAlign w:val="bottom"/>
          </w:tcPr>
          <w:p>
            <w:pPr>
              <w:spacing w:after="0"/>
              <w:rPr>
                <w:sz w:val="11"/>
                <w:szCs w:val="11"/>
                <w:color w:val="auto"/>
              </w:rPr>
            </w:pPr>
          </w:p>
        </w:tc>
        <w:tc>
          <w:tcPr>
            <w:tcW w:w="1100" w:type="dxa"/>
            <w:vAlign w:val="bottom"/>
            <w:gridSpan w:val="2"/>
          </w:tcPr>
          <w:p>
            <w:pPr>
              <w:ind w:left="140"/>
              <w:spacing w:after="0" w:line="135" w:lineRule="exact"/>
              <w:rPr>
                <w:sz w:val="20"/>
                <w:szCs w:val="20"/>
                <w:color w:val="auto"/>
              </w:rPr>
            </w:pPr>
            <w:r>
              <w:rPr>
                <w:rFonts w:ascii="Arial" w:cs="Arial" w:eastAsia="Arial" w:hAnsi="Arial"/>
                <w:sz w:val="13"/>
                <w:szCs w:val="13"/>
                <w:b w:val="1"/>
                <w:bCs w:val="1"/>
                <w:color w:val="auto"/>
              </w:rPr>
              <w:t>Retained</w:t>
            </w:r>
          </w:p>
        </w:tc>
        <w:tc>
          <w:tcPr>
            <w:tcW w:w="260" w:type="dxa"/>
            <w:vAlign w:val="bottom"/>
          </w:tcPr>
          <w:p>
            <w:pPr>
              <w:spacing w:after="0"/>
              <w:rPr>
                <w:sz w:val="11"/>
                <w:szCs w:val="11"/>
                <w:color w:val="auto"/>
              </w:rPr>
            </w:pPr>
          </w:p>
        </w:tc>
        <w:tc>
          <w:tcPr>
            <w:tcW w:w="1100" w:type="dxa"/>
            <w:vAlign w:val="bottom"/>
            <w:gridSpan w:val="2"/>
          </w:tcPr>
          <w:p>
            <w:pPr>
              <w:ind w:left="120"/>
              <w:spacing w:after="0" w:line="135" w:lineRule="exact"/>
              <w:rPr>
                <w:sz w:val="20"/>
                <w:szCs w:val="20"/>
                <w:color w:val="auto"/>
              </w:rPr>
            </w:pPr>
            <w:r>
              <w:rPr>
                <w:rFonts w:ascii="Arial" w:cs="Arial" w:eastAsia="Arial" w:hAnsi="Arial"/>
                <w:sz w:val="13"/>
                <w:szCs w:val="13"/>
                <w:b w:val="1"/>
                <w:bCs w:val="1"/>
                <w:color w:val="auto"/>
              </w:rPr>
              <w:t>Treasury</w:t>
            </w:r>
          </w:p>
        </w:tc>
        <w:tc>
          <w:tcPr>
            <w:tcW w:w="180" w:type="dxa"/>
            <w:vAlign w:val="bottom"/>
          </w:tcPr>
          <w:p>
            <w:pPr>
              <w:spacing w:after="0"/>
              <w:rPr>
                <w:sz w:val="11"/>
                <w:szCs w:val="11"/>
                <w:color w:val="auto"/>
              </w:rPr>
            </w:pPr>
          </w:p>
        </w:tc>
        <w:tc>
          <w:tcPr>
            <w:tcW w:w="1060" w:type="dxa"/>
            <w:vAlign w:val="bottom"/>
          </w:tcPr>
          <w:p>
            <w:pPr>
              <w:jc w:val="center"/>
              <w:ind w:right="121"/>
              <w:spacing w:after="0" w:line="135" w:lineRule="exact"/>
              <w:rPr>
                <w:sz w:val="20"/>
                <w:szCs w:val="20"/>
                <w:color w:val="auto"/>
              </w:rPr>
            </w:pPr>
            <w:r>
              <w:rPr>
                <w:rFonts w:ascii="Arial" w:cs="Arial" w:eastAsia="Arial" w:hAnsi="Arial"/>
                <w:sz w:val="13"/>
                <w:szCs w:val="13"/>
                <w:b w:val="1"/>
                <w:bCs w:val="1"/>
                <w:color w:val="auto"/>
                <w:w w:val="86"/>
              </w:rPr>
              <w:t>Stockholders’</w:t>
            </w:r>
          </w:p>
        </w:tc>
        <w:tc>
          <w:tcPr>
            <w:tcW w:w="0" w:type="dxa"/>
            <w:vAlign w:val="bottom"/>
          </w:tcPr>
          <w:p>
            <w:pPr>
              <w:spacing w:after="0"/>
              <w:rPr>
                <w:sz w:val="1"/>
                <w:szCs w:val="1"/>
                <w:color w:val="auto"/>
              </w:rPr>
            </w:pPr>
          </w:p>
        </w:tc>
      </w:tr>
      <w:tr>
        <w:trPr>
          <w:trHeight w:val="174"/>
        </w:trPr>
        <w:tc>
          <w:tcPr>
            <w:tcW w:w="3200" w:type="dxa"/>
            <w:vAlign w:val="bottom"/>
            <w:tcBorders>
              <w:bottom w:val="single" w:sz="8" w:color="auto"/>
            </w:tcBorders>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82"/>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142"/>
              <w:spacing w:after="0"/>
              <w:rPr>
                <w:sz w:val="20"/>
                <w:szCs w:val="20"/>
                <w:color w:val="auto"/>
              </w:rPr>
            </w:pPr>
            <w:r>
              <w:rPr>
                <w:rFonts w:ascii="Arial" w:cs="Arial" w:eastAsia="Arial" w:hAnsi="Arial"/>
                <w:sz w:val="13"/>
                <w:szCs w:val="13"/>
                <w:b w:val="1"/>
                <w:bCs w:val="1"/>
                <w:color w:val="auto"/>
                <w:w w:val="92"/>
              </w:rPr>
              <w:t>Capital</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87"/>
              <w:spacing w:after="0"/>
              <w:rPr>
                <w:sz w:val="20"/>
                <w:szCs w:val="20"/>
                <w:color w:val="auto"/>
              </w:rPr>
            </w:pPr>
            <w:r>
              <w:rPr>
                <w:rFonts w:ascii="Arial" w:cs="Arial" w:eastAsia="Arial" w:hAnsi="Arial"/>
                <w:sz w:val="13"/>
                <w:szCs w:val="13"/>
                <w:b w:val="1"/>
                <w:bCs w:val="1"/>
                <w:color w:val="auto"/>
                <w:w w:val="86"/>
              </w:rPr>
              <w:t>Income (Loss)</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ind w:left="140"/>
              <w:spacing w:after="0"/>
              <w:rPr>
                <w:sz w:val="20"/>
                <w:szCs w:val="20"/>
                <w:color w:val="auto"/>
              </w:rPr>
            </w:pPr>
            <w:r>
              <w:rPr>
                <w:rFonts w:ascii="Arial" w:cs="Arial" w:eastAsia="Arial" w:hAnsi="Arial"/>
                <w:sz w:val="13"/>
                <w:szCs w:val="13"/>
                <w:b w:val="1"/>
                <w:bCs w:val="1"/>
                <w:color w:val="auto"/>
              </w:rPr>
              <w:t>Earnings</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83"/>
              <w:spacing w:after="0"/>
              <w:rPr>
                <w:sz w:val="20"/>
                <w:szCs w:val="20"/>
                <w:color w:val="auto"/>
              </w:rPr>
            </w:pPr>
            <w:r>
              <w:rPr>
                <w:rFonts w:ascii="Arial" w:cs="Arial" w:eastAsia="Arial" w:hAnsi="Arial"/>
                <w:sz w:val="13"/>
                <w:szCs w:val="13"/>
                <w:b w:val="1"/>
                <w:bCs w:val="1"/>
                <w:color w:val="auto"/>
              </w:rPr>
              <w:t>Stock</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101"/>
              <w:spacing w:after="0"/>
              <w:rPr>
                <w:sz w:val="20"/>
                <w:szCs w:val="20"/>
                <w:color w:val="auto"/>
              </w:rPr>
            </w:pPr>
            <w:r>
              <w:rPr>
                <w:rFonts w:ascii="Arial" w:cs="Arial" w:eastAsia="Arial" w:hAnsi="Arial"/>
                <w:sz w:val="13"/>
                <w:szCs w:val="13"/>
                <w:b w:val="1"/>
                <w:bCs w:val="1"/>
                <w:color w:val="auto"/>
                <w:w w:val="90"/>
              </w:rPr>
              <w:t>Equity</w:t>
            </w:r>
          </w:p>
        </w:tc>
        <w:tc>
          <w:tcPr>
            <w:tcW w:w="0" w:type="dxa"/>
            <w:vAlign w:val="bottom"/>
          </w:tcPr>
          <w:p>
            <w:pPr>
              <w:spacing w:after="0"/>
              <w:rPr>
                <w:sz w:val="1"/>
                <w:szCs w:val="1"/>
                <w:color w:val="auto"/>
              </w:rPr>
            </w:pPr>
          </w:p>
        </w:tc>
      </w:tr>
      <w:tr>
        <w:trPr>
          <w:trHeight w:val="224"/>
        </w:trPr>
        <w:tc>
          <w:tcPr>
            <w:tcW w:w="3340" w:type="dxa"/>
            <w:vAlign w:val="bottom"/>
            <w:gridSpan w:val="2"/>
          </w:tcPr>
          <w:p>
            <w:pPr>
              <w:ind w:left="40"/>
              <w:spacing w:after="0"/>
              <w:rPr>
                <w:sz w:val="20"/>
                <w:szCs w:val="20"/>
                <w:color w:val="auto"/>
              </w:rPr>
            </w:pPr>
            <w:r>
              <w:rPr>
                <w:rFonts w:ascii="Arial" w:cs="Arial" w:eastAsia="Arial" w:hAnsi="Arial"/>
                <w:sz w:val="16"/>
                <w:szCs w:val="16"/>
                <w:color w:val="auto"/>
              </w:rPr>
              <w:t>Balance at January 1, 2015</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Pr>
          <w:p>
            <w:pPr>
              <w:jc w:val="right"/>
              <w:ind w:right="42"/>
              <w:spacing w:after="0"/>
              <w:rPr>
                <w:sz w:val="20"/>
                <w:szCs w:val="20"/>
                <w:color w:val="auto"/>
              </w:rPr>
            </w:pPr>
            <w:r>
              <w:rPr>
                <w:rFonts w:ascii="Arial" w:cs="Arial" w:eastAsia="Arial" w:hAnsi="Arial"/>
                <w:sz w:val="16"/>
                <w:szCs w:val="16"/>
                <w:b w:val="1"/>
                <w:bCs w:val="1"/>
                <w:color w:val="auto"/>
              </w:rPr>
              <w:t>1,388</w:t>
            </w:r>
          </w:p>
        </w:tc>
        <w:tc>
          <w:tcPr>
            <w:tcW w:w="120" w:type="dxa"/>
            <w:vAlign w:val="bottom"/>
          </w:tcPr>
          <w:p>
            <w:pPr>
              <w:spacing w:after="0"/>
              <w:rPr>
                <w:sz w:val="19"/>
                <w:szCs w:val="19"/>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Pr>
          <w:p>
            <w:pPr>
              <w:jc w:val="right"/>
              <w:ind w:right="42"/>
              <w:spacing w:after="0"/>
              <w:rPr>
                <w:sz w:val="20"/>
                <w:szCs w:val="20"/>
                <w:color w:val="auto"/>
              </w:rPr>
            </w:pPr>
            <w:r>
              <w:rPr>
                <w:rFonts w:ascii="Arial" w:cs="Arial" w:eastAsia="Arial" w:hAnsi="Arial"/>
                <w:sz w:val="16"/>
                <w:szCs w:val="16"/>
                <w:b w:val="1"/>
                <w:bCs w:val="1"/>
                <w:color w:val="auto"/>
              </w:rPr>
              <w:t>893,285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80" w:type="dxa"/>
            <w:vAlign w:val="bottom"/>
          </w:tcPr>
          <w:p>
            <w:pPr>
              <w:jc w:val="right"/>
              <w:ind w:right="27"/>
              <w:spacing w:after="0"/>
              <w:rPr>
                <w:sz w:val="20"/>
                <w:szCs w:val="20"/>
                <w:color w:val="auto"/>
              </w:rPr>
            </w:pPr>
            <w:r>
              <w:rPr>
                <w:rFonts w:ascii="Arial" w:cs="Arial" w:eastAsia="Arial" w:hAnsi="Arial"/>
                <w:sz w:val="16"/>
                <w:szCs w:val="16"/>
                <w:b w:val="1"/>
                <w:bCs w:val="1"/>
                <w:color w:val="auto"/>
              </w:rPr>
              <w:t>4,667</w:t>
            </w:r>
          </w:p>
        </w:tc>
        <w:tc>
          <w:tcPr>
            <w:tcW w:w="120" w:type="dxa"/>
            <w:vAlign w:val="bottom"/>
          </w:tcPr>
          <w:p>
            <w:pPr>
              <w:spacing w:after="0"/>
              <w:rPr>
                <w:sz w:val="19"/>
                <w:szCs w:val="19"/>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Pr>
          <w:p>
            <w:pPr>
              <w:jc w:val="right"/>
              <w:ind w:right="24"/>
              <w:spacing w:after="0"/>
              <w:rPr>
                <w:sz w:val="20"/>
                <w:szCs w:val="20"/>
                <w:color w:val="auto"/>
              </w:rPr>
            </w:pPr>
            <w:r>
              <w:rPr>
                <w:rFonts w:ascii="Arial" w:cs="Arial" w:eastAsia="Arial" w:hAnsi="Arial"/>
                <w:sz w:val="16"/>
                <w:szCs w:val="16"/>
                <w:b w:val="1"/>
                <w:bCs w:val="1"/>
                <w:color w:val="auto"/>
              </w:rPr>
              <w:t>56,398</w:t>
            </w:r>
          </w:p>
        </w:tc>
        <w:tc>
          <w:tcPr>
            <w:tcW w:w="100" w:type="dxa"/>
            <w:vAlign w:val="bottom"/>
          </w:tcPr>
          <w:p>
            <w:pPr>
              <w:spacing w:after="0"/>
              <w:rPr>
                <w:sz w:val="19"/>
                <w:szCs w:val="19"/>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Pr>
          <w:p>
            <w:pPr>
              <w:jc w:val="right"/>
              <w:ind w:right="21"/>
              <w:spacing w:after="0"/>
              <w:rPr>
                <w:sz w:val="20"/>
                <w:szCs w:val="20"/>
                <w:color w:val="auto"/>
              </w:rPr>
            </w:pPr>
            <w:r>
              <w:rPr>
                <w:rFonts w:ascii="Arial" w:cs="Arial" w:eastAsia="Arial" w:hAnsi="Arial"/>
                <w:sz w:val="16"/>
                <w:szCs w:val="16"/>
                <w:b w:val="1"/>
                <w:bCs w:val="1"/>
                <w:color w:val="auto"/>
              </w:rPr>
              <w:t>955,738</w:t>
            </w: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32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340" w:type="dxa"/>
            <w:vAlign w:val="bottom"/>
            <w:gridSpan w:val="2"/>
          </w:tcPr>
          <w:p>
            <w:pPr>
              <w:ind w:left="40"/>
              <w:spacing w:after="0"/>
              <w:rPr>
                <w:sz w:val="20"/>
                <w:szCs w:val="20"/>
                <w:color w:val="auto"/>
              </w:rPr>
            </w:pPr>
            <w:r>
              <w:rPr>
                <w:rFonts w:ascii="Arial" w:cs="Arial" w:eastAsia="Arial" w:hAnsi="Arial"/>
                <w:sz w:val="16"/>
                <w:szCs w:val="16"/>
                <w:color w:val="auto"/>
              </w:rPr>
              <w:t>Net income</w:t>
            </w: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24"/>
              <w:spacing w:after="0"/>
              <w:rPr>
                <w:sz w:val="20"/>
                <w:szCs w:val="20"/>
                <w:color w:val="auto"/>
              </w:rPr>
            </w:pPr>
            <w:r>
              <w:rPr>
                <w:rFonts w:ascii="Arial" w:cs="Arial" w:eastAsia="Arial" w:hAnsi="Arial"/>
                <w:sz w:val="16"/>
                <w:szCs w:val="16"/>
                <w:color w:val="auto"/>
              </w:rPr>
              <w:t>157,331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21"/>
              <w:spacing w:after="0"/>
              <w:rPr>
                <w:sz w:val="20"/>
                <w:szCs w:val="20"/>
                <w:color w:val="auto"/>
              </w:rPr>
            </w:pPr>
            <w:r>
              <w:rPr>
                <w:rFonts w:ascii="Arial" w:cs="Arial" w:eastAsia="Arial" w:hAnsi="Arial"/>
                <w:sz w:val="16"/>
                <w:szCs w:val="16"/>
                <w:color w:val="auto"/>
              </w:rPr>
              <w:t>157,331</w:t>
            </w: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Other comprehensive loss</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(4,766)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(4,766)</w:t>
            </w:r>
          </w:p>
        </w:tc>
        <w:tc>
          <w:tcPr>
            <w:tcW w:w="0" w:type="dxa"/>
            <w:vAlign w:val="bottom"/>
          </w:tcPr>
          <w:p>
            <w:pPr>
              <w:spacing w:after="0"/>
              <w:rPr>
                <w:sz w:val="1"/>
                <w:szCs w:val="1"/>
                <w:color w:val="auto"/>
              </w:rPr>
            </w:pPr>
          </w:p>
        </w:tc>
      </w:tr>
      <w:tr>
        <w:trPr>
          <w:trHeight w:val="237"/>
        </w:trPr>
        <w:tc>
          <w:tcPr>
            <w:tcW w:w="3340" w:type="dxa"/>
            <w:vAlign w:val="bottom"/>
            <w:gridSpan w:val="2"/>
          </w:tcPr>
          <w:p>
            <w:pPr>
              <w:ind w:left="40"/>
              <w:spacing w:after="0"/>
              <w:rPr>
                <w:sz w:val="20"/>
                <w:szCs w:val="20"/>
                <w:color w:val="auto"/>
              </w:rPr>
            </w:pPr>
            <w:r>
              <w:rPr>
                <w:rFonts w:ascii="Arial" w:cs="Arial" w:eastAsia="Arial" w:hAnsi="Arial"/>
                <w:sz w:val="16"/>
                <w:szCs w:val="16"/>
                <w:color w:val="auto"/>
              </w:rPr>
              <w:t>Issuance of management incentive shares</w:t>
            </w:r>
          </w:p>
        </w:tc>
        <w:tc>
          <w:tcPr>
            <w:tcW w:w="240" w:type="dxa"/>
            <w:vAlign w:val="bottom"/>
          </w:tcPr>
          <w:p>
            <w:pPr>
              <w:spacing w:after="0"/>
              <w:rPr>
                <w:sz w:val="20"/>
                <w:szCs w:val="20"/>
                <w:color w:val="auto"/>
              </w:rPr>
            </w:pPr>
          </w:p>
        </w:tc>
        <w:tc>
          <w:tcPr>
            <w:tcW w:w="1040" w:type="dxa"/>
            <w:vAlign w:val="bottom"/>
          </w:tcPr>
          <w:p>
            <w:pPr>
              <w:jc w:val="right"/>
              <w:ind w:right="42"/>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Forfeiture of management incentive shares</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340" w:type="dxa"/>
            <w:vAlign w:val="bottom"/>
            <w:gridSpan w:val="2"/>
          </w:tcPr>
          <w:p>
            <w:pPr>
              <w:ind w:left="40"/>
              <w:spacing w:after="0"/>
              <w:rPr>
                <w:sz w:val="20"/>
                <w:szCs w:val="20"/>
                <w:color w:val="auto"/>
              </w:rPr>
            </w:pPr>
            <w:r>
              <w:rPr>
                <w:rFonts w:ascii="Arial" w:cs="Arial" w:eastAsia="Arial" w:hAnsi="Arial"/>
                <w:sz w:val="16"/>
                <w:szCs w:val="16"/>
                <w:color w:val="auto"/>
              </w:rPr>
              <w:t>Stock-based compensation expense</w:t>
            </w: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ind w:right="42"/>
              <w:spacing w:after="0"/>
              <w:rPr>
                <w:sz w:val="20"/>
                <w:szCs w:val="20"/>
                <w:color w:val="auto"/>
              </w:rPr>
            </w:pPr>
            <w:r>
              <w:rPr>
                <w:rFonts w:ascii="Arial" w:cs="Arial" w:eastAsia="Arial" w:hAnsi="Arial"/>
                <w:sz w:val="16"/>
                <w:szCs w:val="16"/>
                <w:color w:val="auto"/>
              </w:rPr>
              <w:t>13,633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21"/>
              <w:spacing w:after="0"/>
              <w:rPr>
                <w:sz w:val="20"/>
                <w:szCs w:val="20"/>
                <w:color w:val="auto"/>
              </w:rPr>
            </w:pPr>
            <w:r>
              <w:rPr>
                <w:rFonts w:ascii="Arial" w:cs="Arial" w:eastAsia="Arial" w:hAnsi="Arial"/>
                <w:sz w:val="16"/>
                <w:szCs w:val="16"/>
                <w:color w:val="auto"/>
              </w:rPr>
              <w:t>13,633</w:t>
            </w: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3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Excess tax benefits from stock-based</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3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compensation expense</w:t>
            </w:r>
          </w:p>
        </w:tc>
        <w:tc>
          <w:tcPr>
            <w:tcW w:w="24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2,420</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2,420</w:t>
            </w:r>
          </w:p>
        </w:tc>
        <w:tc>
          <w:tcPr>
            <w:tcW w:w="0" w:type="dxa"/>
            <w:vAlign w:val="bottom"/>
          </w:tcPr>
          <w:p>
            <w:pPr>
              <w:spacing w:after="0"/>
              <w:rPr>
                <w:sz w:val="1"/>
                <w:szCs w:val="1"/>
                <w:color w:val="auto"/>
              </w:rPr>
            </w:pPr>
          </w:p>
        </w:tc>
      </w:tr>
      <w:tr>
        <w:trPr>
          <w:trHeight w:val="237"/>
        </w:trPr>
        <w:tc>
          <w:tcPr>
            <w:tcW w:w="3340" w:type="dxa"/>
            <w:vAlign w:val="bottom"/>
            <w:gridSpan w:val="2"/>
          </w:tcPr>
          <w:p>
            <w:pPr>
              <w:ind w:left="40"/>
              <w:spacing w:after="0"/>
              <w:rPr>
                <w:sz w:val="20"/>
                <w:szCs w:val="20"/>
                <w:color w:val="auto"/>
              </w:rPr>
            </w:pPr>
            <w:r>
              <w:rPr>
                <w:rFonts w:ascii="Arial" w:cs="Arial" w:eastAsia="Arial" w:hAnsi="Arial"/>
                <w:sz w:val="16"/>
                <w:szCs w:val="16"/>
                <w:color w:val="auto"/>
              </w:rPr>
              <w:t>Treasury stock acquired</w:t>
            </w: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(5,168)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(5,168)</w:t>
            </w: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Cancellation of treasury stock</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(5,165)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5,168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340" w:type="dxa"/>
            <w:vAlign w:val="bottom"/>
            <w:gridSpan w:val="2"/>
          </w:tcPr>
          <w:p>
            <w:pPr>
              <w:ind w:left="40"/>
              <w:spacing w:after="0"/>
              <w:rPr>
                <w:sz w:val="20"/>
                <w:szCs w:val="20"/>
                <w:color w:val="auto"/>
              </w:rPr>
            </w:pPr>
            <w:r>
              <w:rPr>
                <w:rFonts w:ascii="Arial" w:cs="Arial" w:eastAsia="Arial" w:hAnsi="Arial"/>
                <w:sz w:val="16"/>
                <w:szCs w:val="16"/>
                <w:color w:val="auto"/>
              </w:rPr>
              <w:t>Other equity transactions</w:t>
            </w: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ind w:right="42"/>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21"/>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33"/>
        </w:trPr>
        <w:tc>
          <w:tcPr>
            <w:tcW w:w="32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Balance at December 31, 2015</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b w:val="1"/>
                <w:bCs w:val="1"/>
                <w:color w:val="auto"/>
              </w:rPr>
              <w:t>1,390</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b w:val="1"/>
                <w:bCs w:val="1"/>
                <w:color w:val="auto"/>
              </w:rPr>
              <w:t>904,221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(99)</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b w:val="1"/>
                <w:bCs w:val="1"/>
                <w:color w:val="auto"/>
              </w:rPr>
              <w:t>213,729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1,119,241</w:t>
            </w:r>
          </w:p>
        </w:tc>
        <w:tc>
          <w:tcPr>
            <w:tcW w:w="0" w:type="dxa"/>
            <w:vAlign w:val="bottom"/>
          </w:tcPr>
          <w:p>
            <w:pPr>
              <w:spacing w:after="0"/>
              <w:rPr>
                <w:sz w:val="1"/>
                <w:szCs w:val="1"/>
                <w:color w:val="auto"/>
              </w:rPr>
            </w:pPr>
          </w:p>
        </w:tc>
      </w:tr>
      <w:tr>
        <w:trPr>
          <w:trHeight w:val="297"/>
        </w:trPr>
        <w:tc>
          <w:tcPr>
            <w:tcW w:w="3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47,951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47,951</w:t>
            </w:r>
          </w:p>
        </w:tc>
        <w:tc>
          <w:tcPr>
            <w:tcW w:w="0" w:type="dxa"/>
            <w:vAlign w:val="bottom"/>
          </w:tcPr>
          <w:p>
            <w:pPr>
              <w:spacing w:after="0"/>
              <w:rPr>
                <w:sz w:val="1"/>
                <w:szCs w:val="1"/>
                <w:color w:val="auto"/>
              </w:rPr>
            </w:pPr>
          </w:p>
        </w:tc>
      </w:tr>
      <w:tr>
        <w:trPr>
          <w:trHeight w:val="237"/>
        </w:trPr>
        <w:tc>
          <w:tcPr>
            <w:tcW w:w="3340" w:type="dxa"/>
            <w:vAlign w:val="bottom"/>
            <w:gridSpan w:val="2"/>
          </w:tcPr>
          <w:p>
            <w:pPr>
              <w:ind w:left="40"/>
              <w:spacing w:after="0"/>
              <w:rPr>
                <w:sz w:val="20"/>
                <w:szCs w:val="20"/>
                <w:color w:val="auto"/>
              </w:rPr>
            </w:pPr>
            <w:r>
              <w:rPr>
                <w:rFonts w:ascii="Arial" w:cs="Arial" w:eastAsia="Arial" w:hAnsi="Arial"/>
                <w:sz w:val="16"/>
                <w:szCs w:val="16"/>
                <w:color w:val="auto"/>
              </w:rPr>
              <w:t>Other comprehensive income</w:t>
            </w: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27"/>
              <w:spacing w:after="0"/>
              <w:rPr>
                <w:sz w:val="20"/>
                <w:szCs w:val="20"/>
                <w:color w:val="auto"/>
              </w:rPr>
            </w:pPr>
            <w:r>
              <w:rPr>
                <w:rFonts w:ascii="Arial" w:cs="Arial" w:eastAsia="Arial" w:hAnsi="Arial"/>
                <w:sz w:val="16"/>
                <w:szCs w:val="16"/>
                <w:color w:val="auto"/>
              </w:rPr>
              <w:t>13,359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21"/>
              <w:spacing w:after="0"/>
              <w:rPr>
                <w:sz w:val="20"/>
                <w:szCs w:val="20"/>
                <w:color w:val="auto"/>
              </w:rPr>
            </w:pPr>
            <w:r>
              <w:rPr>
                <w:rFonts w:ascii="Arial" w:cs="Arial" w:eastAsia="Arial" w:hAnsi="Arial"/>
                <w:sz w:val="16"/>
                <w:szCs w:val="16"/>
                <w:color w:val="auto"/>
              </w:rPr>
              <w:t>13,359</w:t>
            </w: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Issuance of management incentive shares</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37"/>
        </w:trPr>
        <w:tc>
          <w:tcPr>
            <w:tcW w:w="3340" w:type="dxa"/>
            <w:vAlign w:val="bottom"/>
            <w:gridSpan w:val="2"/>
          </w:tcPr>
          <w:p>
            <w:pPr>
              <w:ind w:left="40"/>
              <w:spacing w:after="0"/>
              <w:rPr>
                <w:sz w:val="20"/>
                <w:szCs w:val="20"/>
                <w:color w:val="auto"/>
              </w:rPr>
            </w:pPr>
            <w:r>
              <w:rPr>
                <w:rFonts w:ascii="Arial" w:cs="Arial" w:eastAsia="Arial" w:hAnsi="Arial"/>
                <w:sz w:val="16"/>
                <w:szCs w:val="16"/>
                <w:color w:val="auto"/>
              </w:rPr>
              <w:t>Forfeiture of management incentive shares</w:t>
            </w:r>
          </w:p>
        </w:tc>
        <w:tc>
          <w:tcPr>
            <w:tcW w:w="24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21"/>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Stock-based compensation expense</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3,782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3,782</w:t>
            </w:r>
          </w:p>
        </w:tc>
        <w:tc>
          <w:tcPr>
            <w:tcW w:w="0" w:type="dxa"/>
            <w:vAlign w:val="bottom"/>
          </w:tcPr>
          <w:p>
            <w:pPr>
              <w:spacing w:after="0"/>
              <w:rPr>
                <w:sz w:val="1"/>
                <w:szCs w:val="1"/>
                <w:color w:val="auto"/>
              </w:rPr>
            </w:pPr>
          </w:p>
        </w:tc>
      </w:tr>
      <w:tr>
        <w:trPr>
          <w:trHeight w:val="220"/>
        </w:trPr>
        <w:tc>
          <w:tcPr>
            <w:tcW w:w="3340" w:type="dxa"/>
            <w:vAlign w:val="bottom"/>
            <w:gridSpan w:val="2"/>
          </w:tcPr>
          <w:p>
            <w:pPr>
              <w:ind w:left="40"/>
              <w:spacing w:after="0"/>
              <w:rPr>
                <w:sz w:val="20"/>
                <w:szCs w:val="20"/>
                <w:color w:val="auto"/>
              </w:rPr>
            </w:pPr>
            <w:r>
              <w:rPr>
                <w:rFonts w:ascii="Arial" w:cs="Arial" w:eastAsia="Arial" w:hAnsi="Arial"/>
                <w:sz w:val="16"/>
                <w:szCs w:val="16"/>
                <w:color w:val="auto"/>
              </w:rPr>
              <w:t>Excess tax benefits from stock-based</w:t>
            </w: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340" w:type="dxa"/>
            <w:vAlign w:val="bottom"/>
            <w:gridSpan w:val="2"/>
          </w:tcPr>
          <w:p>
            <w:pPr>
              <w:ind w:left="280"/>
              <w:spacing w:after="0"/>
              <w:rPr>
                <w:sz w:val="20"/>
                <w:szCs w:val="20"/>
                <w:color w:val="auto"/>
              </w:rPr>
            </w:pPr>
            <w:r>
              <w:rPr>
                <w:rFonts w:ascii="Arial" w:cs="Arial" w:eastAsia="Arial" w:hAnsi="Arial"/>
                <w:sz w:val="16"/>
                <w:szCs w:val="16"/>
                <w:color w:val="auto"/>
              </w:rPr>
              <w:t>compensation expense</w:t>
            </w: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jc w:val="right"/>
              <w:ind w:right="42"/>
              <w:spacing w:after="0"/>
              <w:rPr>
                <w:sz w:val="20"/>
                <w:szCs w:val="20"/>
                <w:color w:val="auto"/>
              </w:rPr>
            </w:pPr>
            <w:r>
              <w:rPr>
                <w:rFonts w:ascii="Arial" w:cs="Arial" w:eastAsia="Arial" w:hAnsi="Arial"/>
                <w:sz w:val="16"/>
                <w:szCs w:val="16"/>
                <w:color w:val="auto"/>
              </w:rPr>
              <w:t>1,005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ind w:right="21"/>
              <w:spacing w:after="0"/>
              <w:rPr>
                <w:sz w:val="20"/>
                <w:szCs w:val="20"/>
                <w:color w:val="auto"/>
              </w:rPr>
            </w:pPr>
            <w:r>
              <w:rPr>
                <w:rFonts w:ascii="Arial" w:cs="Arial" w:eastAsia="Arial" w:hAnsi="Arial"/>
                <w:sz w:val="16"/>
                <w:szCs w:val="16"/>
                <w:color w:val="auto"/>
              </w:rPr>
              <w:t>1,005</w:t>
            </w: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Treasury stock acquired</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(3,843)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(3,843)</w:t>
            </w:r>
          </w:p>
        </w:tc>
        <w:tc>
          <w:tcPr>
            <w:tcW w:w="0" w:type="dxa"/>
            <w:vAlign w:val="bottom"/>
          </w:tcPr>
          <w:p>
            <w:pPr>
              <w:spacing w:after="0"/>
              <w:rPr>
                <w:sz w:val="1"/>
                <w:szCs w:val="1"/>
                <w:color w:val="auto"/>
              </w:rPr>
            </w:pPr>
          </w:p>
        </w:tc>
      </w:tr>
      <w:tr>
        <w:trPr>
          <w:trHeight w:val="237"/>
        </w:trPr>
        <w:tc>
          <w:tcPr>
            <w:tcW w:w="3340" w:type="dxa"/>
            <w:vAlign w:val="bottom"/>
            <w:gridSpan w:val="2"/>
          </w:tcPr>
          <w:p>
            <w:pPr>
              <w:ind w:left="40"/>
              <w:spacing w:after="0"/>
              <w:rPr>
                <w:sz w:val="20"/>
                <w:szCs w:val="20"/>
                <w:color w:val="auto"/>
              </w:rPr>
            </w:pPr>
            <w:r>
              <w:rPr>
                <w:rFonts w:ascii="Arial" w:cs="Arial" w:eastAsia="Arial" w:hAnsi="Arial"/>
                <w:sz w:val="16"/>
                <w:szCs w:val="16"/>
                <w:color w:val="auto"/>
              </w:rPr>
              <w:t>Cancellation of treasury stock</w:t>
            </w:r>
          </w:p>
        </w:tc>
        <w:tc>
          <w:tcPr>
            <w:tcW w:w="240" w:type="dxa"/>
            <w:vAlign w:val="bottom"/>
          </w:tcPr>
          <w:p>
            <w:pPr>
              <w:spacing w:after="0"/>
              <w:rPr>
                <w:sz w:val="20"/>
                <w:szCs w:val="20"/>
                <w:color w:val="auto"/>
              </w:rPr>
            </w:pPr>
          </w:p>
        </w:tc>
        <w:tc>
          <w:tcPr>
            <w:tcW w:w="1040" w:type="dxa"/>
            <w:vAlign w:val="bottom"/>
          </w:tcPr>
          <w:p>
            <w:pPr>
              <w:jc w:val="right"/>
              <w:ind w:right="2"/>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(3,840)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23"/>
              <w:spacing w:after="0"/>
              <w:rPr>
                <w:sz w:val="20"/>
                <w:szCs w:val="20"/>
                <w:color w:val="auto"/>
              </w:rPr>
            </w:pPr>
            <w:r>
              <w:rPr>
                <w:rFonts w:ascii="Arial" w:cs="Arial" w:eastAsia="Arial" w:hAnsi="Arial"/>
                <w:sz w:val="16"/>
                <w:szCs w:val="16"/>
                <w:color w:val="auto"/>
              </w:rPr>
              <w:t>3,843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2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Balance at March 31, 2016</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040" w:type="dxa"/>
            <w:vAlign w:val="bottom"/>
            <w:shd w:val="clear" w:color="auto" w:fill="CCEEFF"/>
          </w:tcPr>
          <w:p>
            <w:pPr>
              <w:jc w:val="right"/>
              <w:ind w:right="42"/>
              <w:spacing w:after="0"/>
              <w:rPr>
                <w:sz w:val="20"/>
                <w:szCs w:val="20"/>
                <w:color w:val="auto"/>
              </w:rPr>
            </w:pPr>
            <w:r>
              <w:rPr>
                <w:rFonts w:ascii="Arial" w:cs="Arial" w:eastAsia="Arial" w:hAnsi="Arial"/>
                <w:sz w:val="16"/>
                <w:szCs w:val="16"/>
                <w:b w:val="1"/>
                <w:bCs w:val="1"/>
                <w:color w:val="auto"/>
              </w:rPr>
              <w:t>1,396</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060" w:type="dxa"/>
            <w:vAlign w:val="bottom"/>
            <w:shd w:val="clear" w:color="auto" w:fill="CCEEFF"/>
          </w:tcPr>
          <w:p>
            <w:pPr>
              <w:jc w:val="right"/>
              <w:ind w:right="42"/>
              <w:spacing w:after="0"/>
              <w:rPr>
                <w:sz w:val="20"/>
                <w:szCs w:val="20"/>
                <w:color w:val="auto"/>
              </w:rPr>
            </w:pPr>
            <w:r>
              <w:rPr>
                <w:rFonts w:ascii="Arial" w:cs="Arial" w:eastAsia="Arial" w:hAnsi="Arial"/>
                <w:sz w:val="16"/>
                <w:szCs w:val="16"/>
                <w:b w:val="1"/>
                <w:bCs w:val="1"/>
                <w:color w:val="auto"/>
              </w:rPr>
              <w:t>905,159</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80" w:type="dxa"/>
            <w:vAlign w:val="bottom"/>
            <w:shd w:val="clear" w:color="auto" w:fill="CCEEFF"/>
          </w:tcPr>
          <w:p>
            <w:pPr>
              <w:jc w:val="right"/>
              <w:ind w:right="27"/>
              <w:spacing w:after="0"/>
              <w:rPr>
                <w:sz w:val="20"/>
                <w:szCs w:val="20"/>
                <w:color w:val="auto"/>
              </w:rPr>
            </w:pPr>
            <w:r>
              <w:rPr>
                <w:rFonts w:ascii="Arial" w:cs="Arial" w:eastAsia="Arial" w:hAnsi="Arial"/>
                <w:sz w:val="16"/>
                <w:szCs w:val="16"/>
                <w:b w:val="1"/>
                <w:bCs w:val="1"/>
                <w:color w:val="auto"/>
              </w:rPr>
              <w:t>13,260</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000" w:type="dxa"/>
            <w:vAlign w:val="bottom"/>
            <w:shd w:val="clear" w:color="auto" w:fill="CCEEFF"/>
          </w:tcPr>
          <w:p>
            <w:pPr>
              <w:jc w:val="right"/>
              <w:ind w:right="24"/>
              <w:spacing w:after="0"/>
              <w:rPr>
                <w:sz w:val="20"/>
                <w:szCs w:val="20"/>
                <w:color w:val="auto"/>
              </w:rPr>
            </w:pPr>
            <w:r>
              <w:rPr>
                <w:rFonts w:ascii="Arial" w:cs="Arial" w:eastAsia="Arial" w:hAnsi="Arial"/>
                <w:sz w:val="16"/>
                <w:szCs w:val="16"/>
                <w:b w:val="1"/>
                <w:bCs w:val="1"/>
                <w:color w:val="auto"/>
              </w:rPr>
              <w:t>261,680</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060" w:type="dxa"/>
            <w:vAlign w:val="bottom"/>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1,181,495</w:t>
            </w: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531"/>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78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2015</w:t>
            </w:r>
          </w:p>
        </w:tc>
      </w:tr>
      <w:tr>
        <w:trPr>
          <w:trHeight w:val="250"/>
        </w:trPr>
        <w:tc>
          <w:tcPr>
            <w:tcW w:w="7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7920" w:type="dxa"/>
            <w:vAlign w:val="bottom"/>
            <w:gridSpan w:val="2"/>
          </w:tcPr>
          <w:p>
            <w:pPr>
              <w:ind w:left="40"/>
              <w:spacing w:after="0"/>
              <w:rPr>
                <w:sz w:val="20"/>
                <w:szCs w:val="20"/>
                <w:color w:val="auto"/>
              </w:rPr>
            </w:pPr>
            <w:r>
              <w:rPr>
                <w:rFonts w:ascii="Arial" w:cs="Arial" w:eastAsia="Arial" w:hAnsi="Arial"/>
                <w:sz w:val="18"/>
                <w:szCs w:val="18"/>
                <w:color w:val="auto"/>
              </w:rPr>
              <w:t>Net income</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47,951</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34,838</w:t>
            </w:r>
          </w:p>
        </w:tc>
      </w:tr>
      <w:tr>
        <w:trPr>
          <w:trHeight w:val="27"/>
        </w:trPr>
        <w:tc>
          <w:tcPr>
            <w:tcW w:w="7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7920" w:type="dxa"/>
            <w:vAlign w:val="bottom"/>
            <w:gridSpan w:val="2"/>
          </w:tcPr>
          <w:p>
            <w:pPr>
              <w:ind w:left="280"/>
              <w:spacing w:after="0"/>
              <w:rPr>
                <w:sz w:val="20"/>
                <w:szCs w:val="20"/>
                <w:color w:val="auto"/>
              </w:rPr>
            </w:pPr>
            <w:r>
              <w:rPr>
                <w:rFonts w:ascii="Arial" w:cs="Arial" w:eastAsia="Arial" w:hAnsi="Arial"/>
                <w:sz w:val="18"/>
                <w:szCs w:val="18"/>
                <w:color w:val="auto"/>
              </w:rPr>
              <w:t>Gain on the sale of investments, net</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(471)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(649)</w:t>
            </w:r>
          </w:p>
        </w:tc>
      </w:tr>
      <w:tr>
        <w:trPr>
          <w:trHeight w:val="27"/>
        </w:trPr>
        <w:tc>
          <w:tcPr>
            <w:tcW w:w="7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9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Depreciation and amortization</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734</w:t>
            </w:r>
          </w:p>
        </w:tc>
      </w:tr>
      <w:tr>
        <w:trPr>
          <w:trHeight w:val="243"/>
        </w:trPr>
        <w:tc>
          <w:tcPr>
            <w:tcW w:w="7920" w:type="dxa"/>
            <w:vAlign w:val="bottom"/>
            <w:gridSpan w:val="2"/>
          </w:tcPr>
          <w:p>
            <w:pPr>
              <w:ind w:left="280"/>
              <w:spacing w:after="0"/>
              <w:rPr>
                <w:sz w:val="20"/>
                <w:szCs w:val="20"/>
                <w:color w:val="auto"/>
              </w:rPr>
            </w:pPr>
            <w:r>
              <w:rPr>
                <w:rFonts w:ascii="Arial" w:cs="Arial" w:eastAsia="Arial" w:hAnsi="Arial"/>
                <w:sz w:val="18"/>
                <w:szCs w:val="18"/>
                <w:color w:val="auto"/>
              </w:rPr>
              <w:t>Stock-based compensation expense</w:t>
            </w:r>
          </w:p>
        </w:tc>
        <w:tc>
          <w:tcPr>
            <w:tcW w:w="3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3,782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3,261</w:t>
            </w:r>
          </w:p>
        </w:tc>
      </w:tr>
      <w:tr>
        <w:trPr>
          <w:trHeight w:val="27"/>
        </w:trPr>
        <w:tc>
          <w:tcPr>
            <w:tcW w:w="7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9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Amortization of premium on investment securities</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2,680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2,360</w:t>
            </w:r>
          </w:p>
        </w:tc>
      </w:tr>
      <w:tr>
        <w:trPr>
          <w:trHeight w:val="243"/>
        </w:trPr>
        <w:tc>
          <w:tcPr>
            <w:tcW w:w="7920" w:type="dxa"/>
            <w:vAlign w:val="bottom"/>
            <w:gridSpan w:val="2"/>
          </w:tcPr>
          <w:p>
            <w:pPr>
              <w:ind w:left="280"/>
              <w:spacing w:after="0"/>
              <w:rPr>
                <w:sz w:val="20"/>
                <w:szCs w:val="20"/>
                <w:color w:val="auto"/>
              </w:rPr>
            </w:pPr>
            <w:r>
              <w:rPr>
                <w:rFonts w:ascii="Arial" w:cs="Arial" w:eastAsia="Arial" w:hAnsi="Arial"/>
                <w:sz w:val="18"/>
                <w:szCs w:val="18"/>
                <w:color w:val="auto"/>
              </w:rPr>
              <w:t>Deferred income tax provision</w:t>
            </w:r>
          </w:p>
        </w:tc>
        <w:tc>
          <w:tcPr>
            <w:tcW w:w="3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15,245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14,280</w:t>
            </w:r>
          </w:p>
        </w:tc>
      </w:tr>
      <w:tr>
        <w:trPr>
          <w:trHeight w:val="27"/>
        </w:trPr>
        <w:tc>
          <w:tcPr>
            <w:tcW w:w="7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9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Excess tax benefits from stock-based compensation</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(2,280)</w:t>
            </w:r>
          </w:p>
        </w:tc>
      </w:tr>
      <w:tr>
        <w:trPr>
          <w:trHeight w:val="243"/>
        </w:trPr>
        <w:tc>
          <w:tcPr>
            <w:tcW w:w="7920" w:type="dxa"/>
            <w:vAlign w:val="bottom"/>
            <w:gridSpan w:val="2"/>
          </w:tcPr>
          <w:p>
            <w:pPr>
              <w:ind w:left="280"/>
              <w:spacing w:after="0"/>
              <w:rPr>
                <w:sz w:val="20"/>
                <w:szCs w:val="20"/>
                <w:color w:val="auto"/>
              </w:rPr>
            </w:pPr>
            <w:r>
              <w:rPr>
                <w:rFonts w:ascii="Arial" w:cs="Arial" w:eastAsia="Arial" w:hAnsi="Arial"/>
                <w:sz w:val="18"/>
                <w:szCs w:val="18"/>
                <w:color w:val="auto"/>
              </w:rPr>
              <w:t>Change in:</w:t>
            </w:r>
          </w:p>
        </w:tc>
        <w:tc>
          <w:tcPr>
            <w:tcW w:w="3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7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92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Accrued investment income</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(492)</w:t>
            </w:r>
          </w:p>
        </w:tc>
      </w:tr>
      <w:tr>
        <w:trPr>
          <w:trHeight w:val="243"/>
        </w:trPr>
        <w:tc>
          <w:tcPr>
            <w:tcW w:w="7920" w:type="dxa"/>
            <w:vAlign w:val="bottom"/>
            <w:gridSpan w:val="2"/>
          </w:tcPr>
          <w:p>
            <w:pPr>
              <w:ind w:left="500"/>
              <w:spacing w:after="0"/>
              <w:rPr>
                <w:sz w:val="20"/>
                <w:szCs w:val="20"/>
                <w:color w:val="auto"/>
              </w:rPr>
            </w:pPr>
            <w:r>
              <w:rPr>
                <w:rFonts w:ascii="Arial" w:cs="Arial" w:eastAsia="Arial" w:hAnsi="Arial"/>
                <w:sz w:val="18"/>
                <w:szCs w:val="18"/>
                <w:color w:val="auto"/>
              </w:rPr>
              <w:t>Accounts receivable</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(563)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(1,151)</w:t>
            </w:r>
          </w:p>
        </w:tc>
      </w:tr>
      <w:tr>
        <w:trPr>
          <w:trHeight w:val="27"/>
        </w:trPr>
        <w:tc>
          <w:tcPr>
            <w:tcW w:w="7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92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Deferred policy acquisition costs</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w:t>
            </w:r>
          </w:p>
        </w:tc>
      </w:tr>
      <w:tr>
        <w:trPr>
          <w:trHeight w:val="243"/>
        </w:trPr>
        <w:tc>
          <w:tcPr>
            <w:tcW w:w="7920" w:type="dxa"/>
            <w:vAlign w:val="bottom"/>
            <w:gridSpan w:val="2"/>
          </w:tcPr>
          <w:p>
            <w:pPr>
              <w:ind w:left="500"/>
              <w:spacing w:after="0"/>
              <w:rPr>
                <w:sz w:val="20"/>
                <w:szCs w:val="20"/>
                <w:color w:val="auto"/>
              </w:rPr>
            </w:pPr>
            <w:r>
              <w:rPr>
                <w:rFonts w:ascii="Arial" w:cs="Arial" w:eastAsia="Arial" w:hAnsi="Arial"/>
                <w:sz w:val="18"/>
                <w:szCs w:val="18"/>
                <w:color w:val="auto"/>
              </w:rPr>
              <w:t>Prepaid federal income tax</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(4,000)</w:t>
            </w:r>
          </w:p>
        </w:tc>
      </w:tr>
      <w:tr>
        <w:trPr>
          <w:trHeight w:val="27"/>
        </w:trPr>
        <w:tc>
          <w:tcPr>
            <w:tcW w:w="7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92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Other assets</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(1,584)</w:t>
            </w:r>
          </w:p>
        </w:tc>
      </w:tr>
      <w:tr>
        <w:trPr>
          <w:trHeight w:val="243"/>
        </w:trPr>
        <w:tc>
          <w:tcPr>
            <w:tcW w:w="7920" w:type="dxa"/>
            <w:vAlign w:val="bottom"/>
            <w:gridSpan w:val="2"/>
          </w:tcPr>
          <w:p>
            <w:pPr>
              <w:ind w:left="500"/>
              <w:spacing w:after="0"/>
              <w:rPr>
                <w:sz w:val="20"/>
                <w:szCs w:val="20"/>
                <w:color w:val="auto"/>
              </w:rPr>
            </w:pPr>
            <w:r>
              <w:rPr>
                <w:rFonts w:ascii="Arial" w:cs="Arial" w:eastAsia="Arial" w:hAnsi="Arial"/>
                <w:sz w:val="18"/>
                <w:szCs w:val="18"/>
                <w:color w:val="auto"/>
              </w:rPr>
              <w:t>Reserve for losses and LAE</w:t>
            </w:r>
          </w:p>
        </w:tc>
        <w:tc>
          <w:tcPr>
            <w:tcW w:w="3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2,710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1,638</w:t>
            </w:r>
          </w:p>
        </w:tc>
      </w:tr>
      <w:tr>
        <w:trPr>
          <w:trHeight w:val="27"/>
        </w:trPr>
        <w:tc>
          <w:tcPr>
            <w:tcW w:w="7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92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Unearned premium reserve</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6,063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7,219</w:t>
            </w:r>
          </w:p>
        </w:tc>
      </w:tr>
      <w:tr>
        <w:trPr>
          <w:trHeight w:val="243"/>
        </w:trPr>
        <w:tc>
          <w:tcPr>
            <w:tcW w:w="7920" w:type="dxa"/>
            <w:vAlign w:val="bottom"/>
            <w:gridSpan w:val="2"/>
          </w:tcPr>
          <w:p>
            <w:pPr>
              <w:ind w:left="500"/>
              <w:spacing w:after="0"/>
              <w:rPr>
                <w:sz w:val="20"/>
                <w:szCs w:val="20"/>
                <w:color w:val="auto"/>
              </w:rPr>
            </w:pPr>
            <w:r>
              <w:rPr>
                <w:rFonts w:ascii="Arial" w:cs="Arial" w:eastAsia="Arial" w:hAnsi="Arial"/>
                <w:sz w:val="18"/>
                <w:szCs w:val="18"/>
                <w:color w:val="auto"/>
              </w:rPr>
              <w:t>Accrued liabilities</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(9,509)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(6,739)</w:t>
            </w:r>
          </w:p>
        </w:tc>
      </w:tr>
      <w:tr>
        <w:trPr>
          <w:trHeight w:val="27"/>
        </w:trPr>
        <w:tc>
          <w:tcPr>
            <w:tcW w:w="78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4"/>
        </w:trPr>
        <w:tc>
          <w:tcPr>
            <w:tcW w:w="7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67,492</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47,180</w:t>
            </w:r>
          </w:p>
        </w:tc>
      </w:tr>
      <w:tr>
        <w:trPr>
          <w:trHeight w:val="277"/>
        </w:trPr>
        <w:tc>
          <w:tcPr>
            <w:tcW w:w="7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r>
      <w:tr>
        <w:trPr>
          <w:trHeight w:val="250"/>
        </w:trPr>
        <w:tc>
          <w:tcPr>
            <w:tcW w:w="7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7920" w:type="dxa"/>
            <w:vAlign w:val="bottom"/>
            <w:gridSpan w:val="2"/>
          </w:tcPr>
          <w:p>
            <w:pPr>
              <w:ind w:left="280"/>
              <w:spacing w:after="0"/>
              <w:rPr>
                <w:sz w:val="20"/>
                <w:szCs w:val="20"/>
                <w:color w:val="auto"/>
              </w:rPr>
            </w:pPr>
            <w:r>
              <w:rPr>
                <w:rFonts w:ascii="Arial" w:cs="Arial" w:eastAsia="Arial" w:hAnsi="Arial"/>
                <w:sz w:val="18"/>
                <w:szCs w:val="18"/>
                <w:color w:val="auto"/>
              </w:rPr>
              <w:t>Net change in short-term investments</w:t>
            </w:r>
          </w:p>
        </w:tc>
        <w:tc>
          <w:tcPr>
            <w:tcW w:w="3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2,508</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98,766</w:t>
            </w:r>
          </w:p>
        </w:tc>
      </w:tr>
      <w:tr>
        <w:trPr>
          <w:trHeight w:val="27"/>
        </w:trPr>
        <w:tc>
          <w:tcPr>
            <w:tcW w:w="7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9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Purchase of investments available for sale</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(146,316)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(220,284)</w:t>
            </w:r>
          </w:p>
        </w:tc>
      </w:tr>
      <w:tr>
        <w:trPr>
          <w:trHeight w:val="243"/>
        </w:trPr>
        <w:tc>
          <w:tcPr>
            <w:tcW w:w="7920" w:type="dxa"/>
            <w:vAlign w:val="bottom"/>
            <w:gridSpan w:val="2"/>
          </w:tcPr>
          <w:p>
            <w:pPr>
              <w:ind w:left="280"/>
              <w:spacing w:after="0"/>
              <w:rPr>
                <w:sz w:val="20"/>
                <w:szCs w:val="20"/>
                <w:color w:val="auto"/>
              </w:rPr>
            </w:pPr>
            <w:r>
              <w:rPr>
                <w:rFonts w:ascii="Arial" w:cs="Arial" w:eastAsia="Arial" w:hAnsi="Arial"/>
                <w:sz w:val="18"/>
                <w:szCs w:val="18"/>
                <w:color w:val="auto"/>
              </w:rPr>
              <w:t>Proceeds from maturity of investments available for sale</w:t>
            </w:r>
          </w:p>
        </w:tc>
        <w:tc>
          <w:tcPr>
            <w:tcW w:w="3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1,798</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5,525</w:t>
            </w:r>
          </w:p>
        </w:tc>
      </w:tr>
      <w:tr>
        <w:trPr>
          <w:trHeight w:val="27"/>
        </w:trPr>
        <w:tc>
          <w:tcPr>
            <w:tcW w:w="7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9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Proceeds from sales of investments available for sale</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82,167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71,077</w:t>
            </w:r>
          </w:p>
        </w:tc>
      </w:tr>
      <w:tr>
        <w:trPr>
          <w:trHeight w:val="243"/>
        </w:trPr>
        <w:tc>
          <w:tcPr>
            <w:tcW w:w="7920" w:type="dxa"/>
            <w:vAlign w:val="bottom"/>
            <w:gridSpan w:val="2"/>
          </w:tcPr>
          <w:p>
            <w:pPr>
              <w:ind w:left="280"/>
              <w:spacing w:after="0"/>
              <w:rPr>
                <w:sz w:val="20"/>
                <w:szCs w:val="20"/>
                <w:color w:val="auto"/>
              </w:rPr>
            </w:pPr>
            <w:r>
              <w:rPr>
                <w:rFonts w:ascii="Arial" w:cs="Arial" w:eastAsia="Arial" w:hAnsi="Arial"/>
                <w:sz w:val="18"/>
                <w:szCs w:val="18"/>
                <w:color w:val="auto"/>
              </w:rPr>
              <w:t>Purchase of property and equipment, net</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(1,211)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(1,527)</w:t>
            </w:r>
          </w:p>
        </w:tc>
      </w:tr>
      <w:tr>
        <w:trPr>
          <w:trHeight w:val="27"/>
        </w:trPr>
        <w:tc>
          <w:tcPr>
            <w:tcW w:w="78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4"/>
        </w:trPr>
        <w:tc>
          <w:tcPr>
            <w:tcW w:w="7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cash used in investing activities</w:t>
            </w:r>
          </w:p>
        </w:tc>
        <w:tc>
          <w:tcPr>
            <w:tcW w:w="3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(61,054)</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(46,443)</w:t>
            </w:r>
          </w:p>
        </w:tc>
      </w:tr>
      <w:tr>
        <w:trPr>
          <w:trHeight w:val="277"/>
        </w:trPr>
        <w:tc>
          <w:tcPr>
            <w:tcW w:w="7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r>
      <w:tr>
        <w:trPr>
          <w:trHeight w:val="250"/>
        </w:trPr>
        <w:tc>
          <w:tcPr>
            <w:tcW w:w="7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7920" w:type="dxa"/>
            <w:vAlign w:val="bottom"/>
            <w:gridSpan w:val="2"/>
          </w:tcPr>
          <w:p>
            <w:pPr>
              <w:ind w:left="280"/>
              <w:spacing w:after="0"/>
              <w:rPr>
                <w:sz w:val="20"/>
                <w:szCs w:val="20"/>
                <w:color w:val="auto"/>
              </w:rPr>
            </w:pPr>
            <w:r>
              <w:rPr>
                <w:rFonts w:ascii="Arial" w:cs="Arial" w:eastAsia="Arial" w:hAnsi="Arial"/>
                <w:sz w:val="18"/>
                <w:szCs w:val="18"/>
                <w:color w:val="auto"/>
              </w:rPr>
              <w:t>Treasury stock acquired</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(3,843)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(5,023)</w:t>
            </w:r>
          </w:p>
        </w:tc>
      </w:tr>
      <w:tr>
        <w:trPr>
          <w:trHeight w:val="27"/>
        </w:trPr>
        <w:tc>
          <w:tcPr>
            <w:tcW w:w="7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9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Excess tax benefits from stock-based compensation</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2,280</w:t>
            </w:r>
          </w:p>
        </w:tc>
      </w:tr>
      <w:tr>
        <w:trPr>
          <w:trHeight w:val="243"/>
        </w:trPr>
        <w:tc>
          <w:tcPr>
            <w:tcW w:w="7920" w:type="dxa"/>
            <w:vAlign w:val="bottom"/>
            <w:gridSpan w:val="2"/>
          </w:tcPr>
          <w:p>
            <w:pPr>
              <w:ind w:left="280"/>
              <w:spacing w:after="0"/>
              <w:rPr>
                <w:sz w:val="20"/>
                <w:szCs w:val="20"/>
                <w:color w:val="auto"/>
              </w:rPr>
            </w:pPr>
            <w:r>
              <w:rPr>
                <w:rFonts w:ascii="Arial" w:cs="Arial" w:eastAsia="Arial" w:hAnsi="Arial"/>
                <w:sz w:val="18"/>
                <w:szCs w:val="18"/>
                <w:color w:val="auto"/>
              </w:rPr>
              <w:t>Payment of offering costs</w:t>
            </w:r>
          </w:p>
        </w:tc>
        <w:tc>
          <w:tcPr>
            <w:tcW w:w="3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(537)</w:t>
            </w:r>
          </w:p>
        </w:tc>
      </w:tr>
      <w:tr>
        <w:trPr>
          <w:trHeight w:val="27"/>
        </w:trPr>
        <w:tc>
          <w:tcPr>
            <w:tcW w:w="7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79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Other financing activities</w:t>
            </w: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w:t>
            </w:r>
          </w:p>
        </w:tc>
      </w:tr>
      <w:tr>
        <w:trPr>
          <w:trHeight w:val="237"/>
        </w:trPr>
        <w:tc>
          <w:tcPr>
            <w:tcW w:w="7920" w:type="dxa"/>
            <w:vAlign w:val="bottom"/>
            <w:gridSpan w:val="2"/>
          </w:tcPr>
          <w:p>
            <w:pPr>
              <w:ind w:left="40"/>
              <w:spacing w:after="0"/>
              <w:rPr>
                <w:sz w:val="20"/>
                <w:szCs w:val="20"/>
                <w:color w:val="auto"/>
              </w:rPr>
            </w:pPr>
            <w:r>
              <w:rPr>
                <w:rFonts w:ascii="Arial" w:cs="Arial" w:eastAsia="Arial" w:hAnsi="Arial"/>
                <w:sz w:val="18"/>
                <w:szCs w:val="18"/>
                <w:color w:val="auto"/>
              </w:rPr>
              <w:t>Net cash used in financing activities</w:t>
            </w:r>
          </w:p>
        </w:tc>
        <w:tc>
          <w:tcPr>
            <w:tcW w:w="3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(2,838)</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(3,246)</w:t>
            </w:r>
          </w:p>
        </w:tc>
      </w:tr>
      <w:tr>
        <w:trPr>
          <w:trHeight w:val="27"/>
        </w:trPr>
        <w:tc>
          <w:tcPr>
            <w:tcW w:w="78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77"/>
        </w:trPr>
        <w:tc>
          <w:tcPr>
            <w:tcW w:w="7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r>
        <w:trPr>
          <w:trHeight w:val="243"/>
        </w:trPr>
        <w:tc>
          <w:tcPr>
            <w:tcW w:w="7920" w:type="dxa"/>
            <w:vAlign w:val="bottom"/>
            <w:gridSpan w:val="2"/>
          </w:tcPr>
          <w:p>
            <w:pPr>
              <w:ind w:left="40"/>
              <w:spacing w:after="0"/>
              <w:rPr>
                <w:sz w:val="20"/>
                <w:szCs w:val="20"/>
                <w:color w:val="auto"/>
              </w:rPr>
            </w:pPr>
            <w:r>
              <w:rPr>
                <w:rFonts w:ascii="Arial" w:cs="Arial" w:eastAsia="Arial" w:hAnsi="Arial"/>
                <w:sz w:val="18"/>
                <w:szCs w:val="18"/>
                <w:color w:val="auto"/>
              </w:rPr>
              <w:t>Net increase (decrease) in cash</w:t>
            </w:r>
          </w:p>
        </w:tc>
        <w:tc>
          <w:tcPr>
            <w:tcW w:w="3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3,600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(2,509)</w:t>
            </w:r>
          </w:p>
        </w:tc>
      </w:tr>
      <w:tr>
        <w:trPr>
          <w:trHeight w:val="27"/>
        </w:trPr>
        <w:tc>
          <w:tcPr>
            <w:tcW w:w="7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7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at beginning of year</w:t>
            </w: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24,606</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24,411</w:t>
            </w:r>
          </w:p>
        </w:tc>
      </w:tr>
      <w:tr>
        <w:trPr>
          <w:trHeight w:val="297"/>
        </w:trPr>
        <w:tc>
          <w:tcPr>
            <w:tcW w:w="792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b w:val="1"/>
                <w:bCs w:val="1"/>
                <w:color w:val="auto"/>
              </w:rPr>
              <w:t>Cash at end of period</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28,206</w:t>
            </w:r>
          </w:p>
        </w:tc>
        <w:tc>
          <w:tcPr>
            <w:tcW w:w="12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21,902</w:t>
            </w:r>
          </w:p>
        </w:tc>
      </w:tr>
      <w:tr>
        <w:trPr>
          <w:trHeight w:val="271"/>
        </w:trPr>
        <w:tc>
          <w:tcPr>
            <w:tcW w:w="7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r>
      <w:tr>
        <w:trPr>
          <w:trHeight w:val="243"/>
        </w:trPr>
        <w:tc>
          <w:tcPr>
            <w:tcW w:w="7920" w:type="dxa"/>
            <w:vAlign w:val="bottom"/>
            <w:gridSpan w:val="2"/>
          </w:tcPr>
          <w:p>
            <w:pPr>
              <w:ind w:left="40"/>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3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7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43"/>
        </w:trPr>
        <w:tc>
          <w:tcPr>
            <w:tcW w:w="79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Income tax payments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160"/>
          </w:cols>
          <w:pgMar w:left="240" w:top="125" w:right="499" w:bottom="1440" w:gutter="0" w:footer="0" w:header="0"/>
        </w:sectPr>
      </w:pPr>
    </w:p>
    <w:p>
      <w:pPr>
        <w:spacing w:after="0" w:line="252"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160"/>
          </w:cols>
          <w:pgMar w:left="240" w:top="125" w:right="499" w:bottom="1440" w:gutter="0" w:footer="0" w:header="0"/>
          <w:type w:val="continuous"/>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29"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In these notes to condensed consolidated financial statements, “Essent”, “Company”, “we”, “us”, and “our” refer to Essent Group Ltd. and its subsidiaries, unless the context otherwise requires.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Nature of Operations and Basis of Presentation</w:t>
      </w:r>
    </w:p>
    <w:p>
      <w:pPr>
        <w:spacing w:after="0" w:line="22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Essent Group Ltd. (“Essent Group”) is a Bermuda-based holding company, which, through its wholly-owned subsidiaries, offers private mortgage insurance and reinsurance for mortgages secured by residential properties located in the United States. Mortgage insurance facilitates the sale of low down payment (generally less than 20%) mortgage loans into the secondary mortgage market, primarily to two government-sponsored enterprises (“GSEs”), Fannie Mae and Freddie Mac.</w:t>
      </w:r>
    </w:p>
    <w:p>
      <w:pPr>
        <w:spacing w:after="0" w:line="187" w:lineRule="exact"/>
        <w:rPr>
          <w:sz w:val="20"/>
          <w:szCs w:val="20"/>
          <w:color w:val="auto"/>
        </w:rPr>
      </w:pPr>
    </w:p>
    <w:p>
      <w:pPr>
        <w:ind w:right="120" w:firstLine="648"/>
        <w:spacing w:after="0" w:line="272" w:lineRule="auto"/>
        <w:rPr>
          <w:sz w:val="20"/>
          <w:szCs w:val="20"/>
          <w:color w:val="auto"/>
        </w:rPr>
      </w:pPr>
      <w:r>
        <w:rPr>
          <w:rFonts w:ascii="Arial" w:cs="Arial" w:eastAsia="Arial" w:hAnsi="Arial"/>
          <w:sz w:val="17"/>
          <w:szCs w:val="17"/>
          <w:color w:val="auto"/>
        </w:rPr>
        <w:t>The primary mortgage insurance operations are conducted through Essent Guaranty, Inc. (“Essent Guaranty”), a wholly-owned subsidiary approved as a qualified mortgage insurer by the GSEs and is licensed to write mortgage insurance in all 50 states and the District of Columbia. Essent Guaranty reinsures 25% of GSE-eligible new insurance written to Essent Reinsurance Ltd. (“Essent Re”), an affiliated Bermuda domiciled Class 3A Insurer licensed pursuant to Section 4 of the Bermuda Insurance Act 1978 that provides insurance and reinsurance coverage of mortgage credit risk. Essent Re also provides insurance and reinsurance to Freddie Mac and Fannie Mae. In accordance with certain state law requirements, Essent Guaranty also reinsures that portion of the risk that is in excess of 25% of the mortgage balance with respect to any loan insured, after consideration of other reinsurance, to Essent Guaranty of PA, Inc. (“Essent PA”), an affiliate.</w:t>
      </w:r>
    </w:p>
    <w:p>
      <w:pPr>
        <w:spacing w:after="0" w:line="178" w:lineRule="exact"/>
        <w:rPr>
          <w:sz w:val="20"/>
          <w:szCs w:val="20"/>
          <w:color w:val="auto"/>
        </w:rPr>
      </w:pPr>
    </w:p>
    <w:p>
      <w:pPr>
        <w:ind w:right="460" w:firstLine="648"/>
        <w:spacing w:after="0" w:line="264" w:lineRule="auto"/>
        <w:rPr>
          <w:sz w:val="20"/>
          <w:szCs w:val="20"/>
          <w:color w:val="auto"/>
        </w:rPr>
      </w:pPr>
      <w:r>
        <w:rPr>
          <w:rFonts w:ascii="Arial" w:cs="Arial" w:eastAsia="Arial" w:hAnsi="Arial"/>
          <w:sz w:val="18"/>
          <w:szCs w:val="18"/>
          <w:color w:val="auto"/>
        </w:rPr>
        <w:t>In addition to offering mortgage insurance, we provide contract underwriting services on a limited basis through CUW Solutions, LLC ("CUW Solutions"), a Delaware limited liability company, that provides, among other things, mortgage contract underwriting services to lenders and mortgage insurance underwriting services to affiliates.</w:t>
      </w:r>
    </w:p>
    <w:p>
      <w:pPr>
        <w:spacing w:after="0" w:line="181"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We have prepared the condensed consolidated financial statements included herein pursuant to the rules and regulations of the Securities and Exchange Commission (“SEC”). We have condensed or omitted certain information and footnote disclosures normally included in consolidated financial statements prepared in accordance with U.S. generally accepted accounting principles (“GAAP”) pursuant to such rules and regulations. In the opinion of management, the statements include all adjustments (which include normal recurring adjustments) required for a fair statement of financial position, results of operations and cash flows for the interim periods presented. These statements should be read in conjunction with the consolidated financial statements and notes thereto, including Note 1 and Note 2 to the consolidated financial statements, included in our Annual Report on Form 10-K for the year ended December 31, 2015, which discloses the principles of consolidation and a summary of significant accounting policies. The results of operations for the interim periods are not necessarily indicative of the results for the full year. We evaluated the need to recognize or disclose events that occurred subsequent to March 31, 2016 prior to the issuance of these condensed consolidated financial statements.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Recently Issued Accounting Standards</w:t>
      </w:r>
    </w:p>
    <w:p>
      <w:pPr>
        <w:spacing w:after="0" w:line="229"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 xml:space="preserve">In May 2014, the Financial Accounting Standards Board ("FASB") issued Accounting Standards Update ("ASU") ASU 2014-09, </w:t>
      </w:r>
      <w:r>
        <w:rPr>
          <w:rFonts w:ascii="Arial" w:cs="Arial" w:eastAsia="Arial" w:hAnsi="Arial"/>
          <w:sz w:val="18"/>
          <w:szCs w:val="18"/>
          <w:i w:val="1"/>
          <w:iCs w:val="1"/>
          <w:color w:val="auto"/>
        </w:rPr>
        <w:t>Revenue from</w:t>
      </w:r>
      <w:r>
        <w:rPr>
          <w:rFonts w:ascii="Arial" w:cs="Arial" w:eastAsia="Arial" w:hAnsi="Arial"/>
          <w:sz w:val="18"/>
          <w:szCs w:val="18"/>
          <w:color w:val="auto"/>
        </w:rPr>
        <w:t xml:space="preserve"> </w:t>
      </w:r>
      <w:r>
        <w:rPr>
          <w:rFonts w:ascii="Arial" w:cs="Arial" w:eastAsia="Arial" w:hAnsi="Arial"/>
          <w:sz w:val="18"/>
          <w:szCs w:val="18"/>
          <w:i w:val="1"/>
          <w:iCs w:val="1"/>
          <w:color w:val="auto"/>
        </w:rPr>
        <w:t>Contracts with Customers (Topic 606)</w:t>
      </w:r>
      <w:r>
        <w:rPr>
          <w:rFonts w:ascii="Arial" w:cs="Arial" w:eastAsia="Arial" w:hAnsi="Arial"/>
          <w:sz w:val="18"/>
          <w:szCs w:val="18"/>
          <w:color w:val="auto"/>
        </w:rPr>
        <w:t>. This update is intended to provide a consistent approach in recognizing revenue. In accordance with the new standard,</w:t>
      </w:r>
      <w:r>
        <w:rPr>
          <w:rFonts w:ascii="Arial" w:cs="Arial" w:eastAsia="Arial" w:hAnsi="Arial"/>
          <w:sz w:val="18"/>
          <w:szCs w:val="18"/>
          <w:i w:val="1"/>
          <w:iCs w:val="1"/>
          <w:color w:val="auto"/>
        </w:rPr>
        <w:t xml:space="preserve"> </w:t>
      </w:r>
      <w:r>
        <w:rPr>
          <w:rFonts w:ascii="Arial" w:cs="Arial" w:eastAsia="Arial" w:hAnsi="Arial"/>
          <w:sz w:val="18"/>
          <w:szCs w:val="18"/>
          <w:color w:val="auto"/>
        </w:rPr>
        <w:t>recognition of revenue occurs when a customer obtains control of promised goods or services in an amount that reflects the consideration to which the entity expects to be entitled in exchange for those goods or services. In addition, the new standard requires that reporting companies disclose the nature, amount, timing, and uncertainty of revenue and cash flows arising from contracts with customers. In July 2015, the FASB delayed the effective date for this update to interim and annual periods beginning after December 15, 2017. The Company is currently evaluating the impact the adoption of this ASU will have on the consolidated financial statements.</w:t>
      </w:r>
    </w:p>
    <w:p>
      <w:pPr>
        <w:spacing w:after="0" w:line="189" w:lineRule="exact"/>
        <w:rPr>
          <w:sz w:val="20"/>
          <w:szCs w:val="20"/>
          <w:color w:val="auto"/>
        </w:rPr>
      </w:pPr>
    </w:p>
    <w:p>
      <w:pPr>
        <w:ind w:right="180" w:firstLine="432"/>
        <w:spacing w:after="0" w:line="273" w:lineRule="auto"/>
        <w:rPr>
          <w:sz w:val="20"/>
          <w:szCs w:val="20"/>
          <w:color w:val="auto"/>
        </w:rPr>
      </w:pPr>
      <w:r>
        <w:rPr>
          <w:rFonts w:ascii="Arial" w:cs="Arial" w:eastAsia="Arial" w:hAnsi="Arial"/>
          <w:sz w:val="17"/>
          <w:szCs w:val="17"/>
          <w:color w:val="auto"/>
        </w:rPr>
        <w:t xml:space="preserve">In May 2015, the FASB issued ASU 2015-09, </w:t>
      </w:r>
      <w:r>
        <w:rPr>
          <w:rFonts w:ascii="Arial" w:cs="Arial" w:eastAsia="Arial" w:hAnsi="Arial"/>
          <w:sz w:val="17"/>
          <w:szCs w:val="17"/>
          <w:i w:val="1"/>
          <w:iCs w:val="1"/>
          <w:color w:val="auto"/>
        </w:rPr>
        <w:t>Disclosures about Short-Duration Contracts (Topic 944)</w:t>
      </w:r>
      <w:r>
        <w:rPr>
          <w:rFonts w:ascii="Arial" w:cs="Arial" w:eastAsia="Arial" w:hAnsi="Arial"/>
          <w:sz w:val="17"/>
          <w:szCs w:val="17"/>
          <w:color w:val="auto"/>
        </w:rPr>
        <w:t>. The amendments in this update require insurance entities to disclose certain information about the liability for unpaid claims and claim adjustment expenses. The additional information required is focused on improvements in disclosures regarding insurance liabilities, including the nature, amount, timing, and uncertainty of cash flows related to those liabilities and the effect of those cash flows on the statement of comprehensive income. The disclosures required by this update are effective for annual periods beginning after December 15, 2015, and interim periods within annual periods beginning after December 15, 2016, and is to be applied retrospectively. The Company is currently evaluating the impact, if any, of the new disclosures required by this ASU.</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80" w:firstLine="432"/>
        <w:spacing w:after="0" w:line="302" w:lineRule="auto"/>
        <w:rPr>
          <w:sz w:val="20"/>
          <w:szCs w:val="20"/>
          <w:color w:val="auto"/>
        </w:rPr>
      </w:pPr>
      <w:r>
        <w:rPr>
          <w:rFonts w:ascii="Arial" w:cs="Arial" w:eastAsia="Arial" w:hAnsi="Arial"/>
          <w:sz w:val="16"/>
          <w:szCs w:val="16"/>
          <w:color w:val="auto"/>
        </w:rPr>
        <w:t xml:space="preserve">In February 2016, the FASB issued ASU 2016-02, </w:t>
      </w:r>
      <w:r>
        <w:rPr>
          <w:rFonts w:ascii="Arial" w:cs="Arial" w:eastAsia="Arial" w:hAnsi="Arial"/>
          <w:sz w:val="16"/>
          <w:szCs w:val="16"/>
          <w:i w:val="1"/>
          <w:iCs w:val="1"/>
          <w:color w:val="auto"/>
        </w:rPr>
        <w:t>Leases (Topic 842)</w:t>
      </w:r>
      <w:r>
        <w:rPr>
          <w:rFonts w:ascii="Arial" w:cs="Arial" w:eastAsia="Arial" w:hAnsi="Arial"/>
          <w:sz w:val="16"/>
          <w:szCs w:val="16"/>
          <w:color w:val="auto"/>
        </w:rPr>
        <w:t>. This update will require organizations that lease assets to recognize on the balance sheet the assets and liabilities for the rights and obligations created by those leases. The new guidance will also require additional disclosures about the amount, timing and uncertainty of cash flows arising from leases. The provisions of this update are effective for annual and interim periods beginning after December 15, 2018. The Company is evaluating the impact the adoption of this ASU will have on the consolidated financial statements.</w:t>
      </w:r>
    </w:p>
    <w:p>
      <w:pPr>
        <w:spacing w:after="0" w:line="154" w:lineRule="exact"/>
        <w:rPr>
          <w:sz w:val="20"/>
          <w:szCs w:val="20"/>
          <w:color w:val="auto"/>
        </w:rPr>
      </w:pPr>
    </w:p>
    <w:p>
      <w:pPr>
        <w:ind w:right="20" w:firstLine="432"/>
        <w:spacing w:after="0" w:line="291" w:lineRule="auto"/>
        <w:rPr>
          <w:sz w:val="20"/>
          <w:szCs w:val="20"/>
          <w:color w:val="auto"/>
        </w:rPr>
      </w:pPr>
      <w:r>
        <w:rPr>
          <w:rFonts w:ascii="Arial" w:cs="Arial" w:eastAsia="Arial" w:hAnsi="Arial"/>
          <w:sz w:val="16"/>
          <w:szCs w:val="16"/>
          <w:color w:val="auto"/>
        </w:rPr>
        <w:t xml:space="preserve">In March 2016, the FASB issued ASU 2016-09, </w:t>
      </w:r>
      <w:r>
        <w:rPr>
          <w:rFonts w:ascii="Arial" w:cs="Arial" w:eastAsia="Arial" w:hAnsi="Arial"/>
          <w:sz w:val="16"/>
          <w:szCs w:val="16"/>
          <w:i w:val="1"/>
          <w:iCs w:val="1"/>
          <w:color w:val="auto"/>
        </w:rPr>
        <w:t>Improvements to Employee Share-Based Payment Accounting (Topic 718)</w:t>
      </w:r>
      <w:r>
        <w:rPr>
          <w:rFonts w:ascii="Arial" w:cs="Arial" w:eastAsia="Arial" w:hAnsi="Arial"/>
          <w:sz w:val="16"/>
          <w:szCs w:val="16"/>
          <w:color w:val="auto"/>
        </w:rPr>
        <w:t>. This update is intended to simplify several aspects of the accounting for share-based payment award transactions, including the income tax consequences, classification of awards as either equity or liabilities, and classification on the statement of cash flows. The new guidance requires all excess tax benefits and tax deficiencies to be recognized as income tax expense or benefit in the income statement and treated as discrete items in the reporting period. In addition, excess tax benefits are required to be classified along with other income tax cash flows as an operating activity. Further, the new guidance allows for a policy election to account for forfeitures as they occur rather than on an estimated basis. The provisions of this update are effective for annual and interim periods beginning after December 15, 2016. The Company is evaluating the impact the adoption of this ASU will have on the consolidated financial statements.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Investments Available for Sale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Investments available for sale consist of the following:</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March 31, 2016 (In thousands)</w:t>
            </w:r>
          </w:p>
        </w:tc>
        <w:tc>
          <w:tcPr>
            <w:tcW w:w="120" w:type="dxa"/>
            <w:vAlign w:val="bottom"/>
            <w:vMerge w:val="restart"/>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6"/>
              </w:rPr>
              <w:t>Amortized</w:t>
            </w:r>
          </w:p>
        </w:tc>
        <w:tc>
          <w:tcPr>
            <w:tcW w:w="260" w:type="dxa"/>
            <w:vAlign w:val="bottom"/>
          </w:tcPr>
          <w:p>
            <w:pPr>
              <w:spacing w:after="0"/>
              <w:rPr>
                <w:sz w:val="14"/>
                <w:szCs w:val="14"/>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Unrealized</w:t>
            </w:r>
          </w:p>
        </w:tc>
        <w:tc>
          <w:tcPr>
            <w:tcW w:w="260" w:type="dxa"/>
            <w:vAlign w:val="bottom"/>
          </w:tcPr>
          <w:p>
            <w:pPr>
              <w:spacing w:after="0"/>
              <w:rPr>
                <w:sz w:val="14"/>
                <w:szCs w:val="14"/>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Unrealized</w:t>
            </w:r>
          </w:p>
        </w:tc>
        <w:tc>
          <w:tcPr>
            <w:tcW w:w="340" w:type="dxa"/>
            <w:vAlign w:val="bottom"/>
          </w:tcPr>
          <w:p>
            <w:pPr>
              <w:spacing w:after="0"/>
              <w:rPr>
                <w:sz w:val="14"/>
                <w:szCs w:val="14"/>
                <w:color w:val="auto"/>
              </w:rPr>
            </w:pPr>
          </w:p>
        </w:tc>
        <w:tc>
          <w:tcPr>
            <w:tcW w:w="1140" w:type="dxa"/>
            <w:vAlign w:val="bottom"/>
          </w:tcPr>
          <w:p>
            <w:pPr>
              <w:jc w:val="center"/>
              <w:ind w:right="273"/>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92"/>
        </w:trPr>
        <w:tc>
          <w:tcPr>
            <w:tcW w:w="502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93"/>
              <w:spacing w:after="0"/>
              <w:rPr>
                <w:sz w:val="20"/>
                <w:szCs w:val="20"/>
                <w:color w:val="auto"/>
              </w:rPr>
            </w:pPr>
            <w:r>
              <w:rPr>
                <w:rFonts w:ascii="Arial" w:cs="Arial" w:eastAsia="Arial" w:hAnsi="Arial"/>
                <w:sz w:val="14"/>
                <w:szCs w:val="14"/>
                <w:b w:val="1"/>
                <w:bCs w:val="1"/>
                <w:color w:val="auto"/>
                <w:w w:val="89"/>
              </w:rPr>
              <w:t>Cost</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73"/>
              <w:spacing w:after="0"/>
              <w:rPr>
                <w:sz w:val="20"/>
                <w:szCs w:val="20"/>
                <w:color w:val="auto"/>
              </w:rPr>
            </w:pPr>
            <w:r>
              <w:rPr>
                <w:rFonts w:ascii="Arial" w:cs="Arial" w:eastAsia="Arial" w:hAnsi="Arial"/>
                <w:sz w:val="14"/>
                <w:szCs w:val="14"/>
                <w:b w:val="1"/>
                <w:bCs w:val="1"/>
                <w:color w:val="auto"/>
                <w:w w:val="92"/>
              </w:rPr>
              <w:t>Gains</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73"/>
              <w:spacing w:after="0"/>
              <w:rPr>
                <w:sz w:val="20"/>
                <w:szCs w:val="20"/>
                <w:color w:val="auto"/>
              </w:rPr>
            </w:pPr>
            <w:r>
              <w:rPr>
                <w:rFonts w:ascii="Arial" w:cs="Arial" w:eastAsia="Arial" w:hAnsi="Arial"/>
                <w:sz w:val="14"/>
                <w:szCs w:val="14"/>
                <w:b w:val="1"/>
                <w:bCs w:val="1"/>
                <w:color w:val="auto"/>
                <w:w w:val="82"/>
              </w:rPr>
              <w:t>Losses</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253"/>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50"/>
        </w:trPr>
        <w:tc>
          <w:tcPr>
            <w:tcW w:w="51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U.S. Treasury securities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208,462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3,329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211,780</w:t>
            </w:r>
          </w:p>
        </w:tc>
        <w:tc>
          <w:tcPr>
            <w:tcW w:w="0" w:type="dxa"/>
            <w:vAlign w:val="bottom"/>
          </w:tcPr>
          <w:p>
            <w:pPr>
              <w:spacing w:after="0"/>
              <w:rPr>
                <w:sz w:val="1"/>
                <w:szCs w:val="1"/>
                <w:color w:val="auto"/>
              </w:rPr>
            </w:pPr>
          </w:p>
        </w:tc>
      </w:tr>
      <w:tr>
        <w:trPr>
          <w:trHeight w:val="243"/>
        </w:trPr>
        <w:tc>
          <w:tcPr>
            <w:tcW w:w="5140" w:type="dxa"/>
            <w:vAlign w:val="bottom"/>
            <w:gridSpan w:val="3"/>
          </w:tcPr>
          <w:p>
            <w:pPr>
              <w:ind w:left="40"/>
              <w:spacing w:after="0"/>
              <w:rPr>
                <w:sz w:val="20"/>
                <w:szCs w:val="20"/>
                <w:color w:val="auto"/>
              </w:rPr>
            </w:pPr>
            <w:r>
              <w:rPr>
                <w:rFonts w:ascii="Arial" w:cs="Arial" w:eastAsia="Arial" w:hAnsi="Arial"/>
                <w:sz w:val="18"/>
                <w:szCs w:val="18"/>
                <w:color w:val="auto"/>
              </w:rPr>
              <w:t>U.S. agency securities</w:t>
            </w:r>
          </w:p>
        </w:tc>
        <w:tc>
          <w:tcPr>
            <w:tcW w:w="28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14,548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14,657</w:t>
            </w:r>
          </w:p>
        </w:tc>
        <w:tc>
          <w:tcPr>
            <w:tcW w:w="0" w:type="dxa"/>
            <w:vAlign w:val="bottom"/>
          </w:tcPr>
          <w:p>
            <w:pPr>
              <w:spacing w:after="0"/>
              <w:rPr>
                <w:sz w:val="1"/>
                <w:szCs w:val="1"/>
                <w:color w:val="auto"/>
              </w:rPr>
            </w:pPr>
          </w:p>
        </w:tc>
      </w:tr>
      <w:tr>
        <w:trPr>
          <w:trHeight w:val="27"/>
        </w:trPr>
        <w:tc>
          <w:tcPr>
            <w:tcW w:w="222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U.S. agency mortgage-backed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176,000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2,085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178,003</w:t>
            </w:r>
          </w:p>
        </w:tc>
        <w:tc>
          <w:tcPr>
            <w:tcW w:w="0" w:type="dxa"/>
            <w:vAlign w:val="bottom"/>
          </w:tcPr>
          <w:p>
            <w:pPr>
              <w:spacing w:after="0"/>
              <w:rPr>
                <w:sz w:val="1"/>
                <w:szCs w:val="1"/>
                <w:color w:val="auto"/>
              </w:rPr>
            </w:pPr>
          </w:p>
        </w:tc>
      </w:tr>
      <w:tr>
        <w:trPr>
          <w:trHeight w:val="243"/>
        </w:trPr>
        <w:tc>
          <w:tcPr>
            <w:tcW w:w="5140" w:type="dxa"/>
            <w:vAlign w:val="bottom"/>
            <w:gridSpan w:val="3"/>
          </w:tcPr>
          <w:p>
            <w:pPr>
              <w:ind w:left="40"/>
              <w:spacing w:after="0"/>
              <w:rPr>
                <w:sz w:val="20"/>
                <w:szCs w:val="20"/>
                <w:color w:val="auto"/>
              </w:rPr>
            </w:pPr>
            <w:r>
              <w:rPr>
                <w:rFonts w:ascii="Arial" w:cs="Arial" w:eastAsia="Arial" w:hAnsi="Arial"/>
                <w:sz w:val="18"/>
                <w:szCs w:val="18"/>
                <w:color w:val="auto"/>
              </w:rPr>
              <w:t>Municipal debt securities(1)</w:t>
            </w:r>
          </w:p>
        </w:tc>
        <w:tc>
          <w:tcPr>
            <w:tcW w:w="28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293,448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10,853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304,111</w:t>
            </w:r>
          </w:p>
        </w:tc>
        <w:tc>
          <w:tcPr>
            <w:tcW w:w="0" w:type="dxa"/>
            <w:vAlign w:val="bottom"/>
          </w:tcPr>
          <w:p>
            <w:pPr>
              <w:spacing w:after="0"/>
              <w:rPr>
                <w:sz w:val="1"/>
                <w:szCs w:val="1"/>
                <w:color w:val="auto"/>
              </w:rPr>
            </w:pPr>
          </w:p>
        </w:tc>
      </w:tr>
      <w:tr>
        <w:trPr>
          <w:trHeight w:val="27"/>
        </w:trPr>
        <w:tc>
          <w:tcPr>
            <w:tcW w:w="222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Corporate debt securities(2)</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411,527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6,276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416,688</w:t>
            </w:r>
          </w:p>
        </w:tc>
        <w:tc>
          <w:tcPr>
            <w:tcW w:w="0" w:type="dxa"/>
            <w:vAlign w:val="bottom"/>
          </w:tcPr>
          <w:p>
            <w:pPr>
              <w:spacing w:after="0"/>
              <w:rPr>
                <w:sz w:val="1"/>
                <w:szCs w:val="1"/>
                <w:color w:val="auto"/>
              </w:rPr>
            </w:pPr>
          </w:p>
        </w:tc>
      </w:tr>
      <w:tr>
        <w:trPr>
          <w:trHeight w:val="243"/>
        </w:trPr>
        <w:tc>
          <w:tcPr>
            <w:tcW w:w="5140" w:type="dxa"/>
            <w:vAlign w:val="bottom"/>
            <w:gridSpan w:val="3"/>
          </w:tcPr>
          <w:p>
            <w:pPr>
              <w:ind w:left="40"/>
              <w:spacing w:after="0"/>
              <w:rPr>
                <w:sz w:val="20"/>
                <w:szCs w:val="20"/>
                <w:color w:val="auto"/>
              </w:rPr>
            </w:pPr>
            <w:r>
              <w:rPr>
                <w:rFonts w:ascii="Arial" w:cs="Arial" w:eastAsia="Arial" w:hAnsi="Arial"/>
                <w:sz w:val="18"/>
                <w:szCs w:val="18"/>
                <w:color w:val="auto"/>
              </w:rPr>
              <w:t>Mortgage-backed securities</w:t>
            </w:r>
          </w:p>
        </w:tc>
        <w:tc>
          <w:tcPr>
            <w:tcW w:w="28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53,171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633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(758)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53,046</w:t>
            </w:r>
          </w:p>
        </w:tc>
        <w:tc>
          <w:tcPr>
            <w:tcW w:w="0" w:type="dxa"/>
            <w:vAlign w:val="bottom"/>
          </w:tcPr>
          <w:p>
            <w:pPr>
              <w:spacing w:after="0"/>
              <w:rPr>
                <w:sz w:val="1"/>
                <w:szCs w:val="1"/>
                <w:color w:val="auto"/>
              </w:rPr>
            </w:pPr>
          </w:p>
        </w:tc>
      </w:tr>
      <w:tr>
        <w:trPr>
          <w:trHeight w:val="27"/>
        </w:trPr>
        <w:tc>
          <w:tcPr>
            <w:tcW w:w="222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Asset-backed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123,123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121,729</w:t>
            </w:r>
          </w:p>
        </w:tc>
        <w:tc>
          <w:tcPr>
            <w:tcW w:w="0" w:type="dxa"/>
            <w:vAlign w:val="bottom"/>
          </w:tcPr>
          <w:p>
            <w:pPr>
              <w:spacing w:after="0"/>
              <w:rPr>
                <w:sz w:val="1"/>
                <w:szCs w:val="1"/>
                <w:color w:val="auto"/>
              </w:rPr>
            </w:pPr>
          </w:p>
        </w:tc>
      </w:tr>
      <w:tr>
        <w:trPr>
          <w:trHeight w:val="243"/>
        </w:trPr>
        <w:tc>
          <w:tcPr>
            <w:tcW w:w="5140" w:type="dxa"/>
            <w:vAlign w:val="bottom"/>
            <w:gridSpan w:val="3"/>
          </w:tcPr>
          <w:p>
            <w:pPr>
              <w:ind w:left="40"/>
              <w:spacing w:after="0"/>
              <w:rPr>
                <w:sz w:val="20"/>
                <w:szCs w:val="20"/>
                <w:color w:val="auto"/>
              </w:rPr>
            </w:pPr>
            <w:r>
              <w:rPr>
                <w:rFonts w:ascii="Arial" w:cs="Arial" w:eastAsia="Arial" w:hAnsi="Arial"/>
                <w:sz w:val="18"/>
                <w:szCs w:val="18"/>
                <w:color w:val="auto"/>
              </w:rPr>
              <w:t>Money market funds</w:t>
            </w:r>
          </w:p>
        </w:tc>
        <w:tc>
          <w:tcPr>
            <w:tcW w:w="28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68,488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68,488</w:t>
            </w:r>
          </w:p>
        </w:tc>
        <w:tc>
          <w:tcPr>
            <w:tcW w:w="0" w:type="dxa"/>
            <w:vAlign w:val="bottom"/>
          </w:tcPr>
          <w:p>
            <w:pPr>
              <w:spacing w:after="0"/>
              <w:rPr>
                <w:sz w:val="1"/>
                <w:szCs w:val="1"/>
                <w:color w:val="auto"/>
              </w:rPr>
            </w:pPr>
          </w:p>
        </w:tc>
      </w:tr>
      <w:tr>
        <w:trPr>
          <w:trHeight w:val="27"/>
        </w:trPr>
        <w:tc>
          <w:tcPr>
            <w:tcW w:w="2220" w:type="dxa"/>
            <w:vAlign w:val="bottom"/>
            <w:tcBorders>
              <w:bottom w:val="single" w:sz="8" w:color="CCEEFF"/>
            </w:tcBorders>
          </w:tcPr>
          <w:p>
            <w:pPr>
              <w:spacing w:after="0"/>
              <w:rPr>
                <w:sz w:val="2"/>
                <w:szCs w:val="2"/>
                <w:color w:val="auto"/>
              </w:rPr>
            </w:pPr>
          </w:p>
        </w:tc>
        <w:tc>
          <w:tcPr>
            <w:tcW w:w="2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investments available for sale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1,348,767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23,488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1,368,502</w:t>
            </w:r>
          </w:p>
        </w:tc>
        <w:tc>
          <w:tcPr>
            <w:tcW w:w="0" w:type="dxa"/>
            <w:vAlign w:val="bottom"/>
          </w:tcPr>
          <w:p>
            <w:pPr>
              <w:spacing w:after="0"/>
              <w:rPr>
                <w:sz w:val="1"/>
                <w:szCs w:val="1"/>
                <w:color w:val="auto"/>
              </w:rPr>
            </w:pPr>
          </w:p>
        </w:tc>
      </w:tr>
      <w:tr>
        <w:trPr>
          <w:trHeight w:val="20"/>
        </w:trPr>
        <w:tc>
          <w:tcPr>
            <w:tcW w:w="222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4"/>
        </w:trPr>
        <w:tc>
          <w:tcPr>
            <w:tcW w:w="50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December 31, 2015 (In thousands)</w:t>
            </w:r>
          </w:p>
        </w:tc>
        <w:tc>
          <w:tcPr>
            <w:tcW w:w="120" w:type="dxa"/>
            <w:vAlign w:val="bottom"/>
            <w:vMerge w:val="restart"/>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6"/>
              </w:rPr>
              <w:t>Amortized</w:t>
            </w:r>
          </w:p>
        </w:tc>
        <w:tc>
          <w:tcPr>
            <w:tcW w:w="260" w:type="dxa"/>
            <w:vAlign w:val="bottom"/>
          </w:tcPr>
          <w:p>
            <w:pPr>
              <w:spacing w:after="0"/>
              <w:rPr>
                <w:sz w:val="24"/>
                <w:szCs w:val="24"/>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Unrealized</w:t>
            </w:r>
          </w:p>
        </w:tc>
        <w:tc>
          <w:tcPr>
            <w:tcW w:w="260" w:type="dxa"/>
            <w:vAlign w:val="bottom"/>
          </w:tcPr>
          <w:p>
            <w:pPr>
              <w:spacing w:after="0"/>
              <w:rPr>
                <w:sz w:val="24"/>
                <w:szCs w:val="24"/>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Unrealized</w:t>
            </w:r>
          </w:p>
        </w:tc>
        <w:tc>
          <w:tcPr>
            <w:tcW w:w="340" w:type="dxa"/>
            <w:vAlign w:val="bottom"/>
          </w:tcPr>
          <w:p>
            <w:pPr>
              <w:spacing w:after="0"/>
              <w:rPr>
                <w:sz w:val="24"/>
                <w:szCs w:val="24"/>
                <w:color w:val="auto"/>
              </w:rPr>
            </w:pPr>
          </w:p>
        </w:tc>
        <w:tc>
          <w:tcPr>
            <w:tcW w:w="1140" w:type="dxa"/>
            <w:vAlign w:val="bottom"/>
          </w:tcPr>
          <w:p>
            <w:pPr>
              <w:jc w:val="center"/>
              <w:ind w:right="273"/>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92"/>
        </w:trPr>
        <w:tc>
          <w:tcPr>
            <w:tcW w:w="502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93"/>
              <w:spacing w:after="0"/>
              <w:rPr>
                <w:sz w:val="20"/>
                <w:szCs w:val="20"/>
                <w:color w:val="auto"/>
              </w:rPr>
            </w:pPr>
            <w:r>
              <w:rPr>
                <w:rFonts w:ascii="Arial" w:cs="Arial" w:eastAsia="Arial" w:hAnsi="Arial"/>
                <w:sz w:val="14"/>
                <w:szCs w:val="14"/>
                <w:b w:val="1"/>
                <w:bCs w:val="1"/>
                <w:color w:val="auto"/>
                <w:w w:val="89"/>
              </w:rPr>
              <w:t>Cost</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73"/>
              <w:spacing w:after="0"/>
              <w:rPr>
                <w:sz w:val="20"/>
                <w:szCs w:val="20"/>
                <w:color w:val="auto"/>
              </w:rPr>
            </w:pPr>
            <w:r>
              <w:rPr>
                <w:rFonts w:ascii="Arial" w:cs="Arial" w:eastAsia="Arial" w:hAnsi="Arial"/>
                <w:sz w:val="14"/>
                <w:szCs w:val="14"/>
                <w:b w:val="1"/>
                <w:bCs w:val="1"/>
                <w:color w:val="auto"/>
                <w:w w:val="92"/>
              </w:rPr>
              <w:t>Gains</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73"/>
              <w:spacing w:after="0"/>
              <w:rPr>
                <w:sz w:val="20"/>
                <w:szCs w:val="20"/>
                <w:color w:val="auto"/>
              </w:rPr>
            </w:pPr>
            <w:r>
              <w:rPr>
                <w:rFonts w:ascii="Arial" w:cs="Arial" w:eastAsia="Arial" w:hAnsi="Arial"/>
                <w:sz w:val="14"/>
                <w:szCs w:val="14"/>
                <w:b w:val="1"/>
                <w:bCs w:val="1"/>
                <w:color w:val="auto"/>
                <w:w w:val="82"/>
              </w:rPr>
              <w:t>Losses</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253"/>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50"/>
        </w:trPr>
        <w:tc>
          <w:tcPr>
            <w:tcW w:w="51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U.S. Treasury securities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178,460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177,607</w:t>
            </w:r>
          </w:p>
        </w:tc>
        <w:tc>
          <w:tcPr>
            <w:tcW w:w="0" w:type="dxa"/>
            <w:vAlign w:val="bottom"/>
          </w:tcPr>
          <w:p>
            <w:pPr>
              <w:spacing w:after="0"/>
              <w:rPr>
                <w:sz w:val="1"/>
                <w:szCs w:val="1"/>
                <w:color w:val="auto"/>
              </w:rPr>
            </w:pPr>
          </w:p>
        </w:tc>
      </w:tr>
      <w:tr>
        <w:trPr>
          <w:trHeight w:val="243"/>
        </w:trPr>
        <w:tc>
          <w:tcPr>
            <w:tcW w:w="5140" w:type="dxa"/>
            <w:vAlign w:val="bottom"/>
            <w:gridSpan w:val="3"/>
          </w:tcPr>
          <w:p>
            <w:pPr>
              <w:ind w:left="40"/>
              <w:spacing w:after="0"/>
              <w:rPr>
                <w:sz w:val="20"/>
                <w:szCs w:val="20"/>
                <w:color w:val="auto"/>
              </w:rPr>
            </w:pPr>
            <w:r>
              <w:rPr>
                <w:rFonts w:ascii="Arial" w:cs="Arial" w:eastAsia="Arial" w:hAnsi="Arial"/>
                <w:sz w:val="18"/>
                <w:szCs w:val="18"/>
                <w:color w:val="auto"/>
              </w:rPr>
              <w:t>U.S. agency securities</w:t>
            </w:r>
          </w:p>
        </w:tc>
        <w:tc>
          <w:tcPr>
            <w:tcW w:w="28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13,955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13,782</w:t>
            </w:r>
          </w:p>
        </w:tc>
        <w:tc>
          <w:tcPr>
            <w:tcW w:w="0" w:type="dxa"/>
            <w:vAlign w:val="bottom"/>
          </w:tcPr>
          <w:p>
            <w:pPr>
              <w:spacing w:after="0"/>
              <w:rPr>
                <w:sz w:val="1"/>
                <w:szCs w:val="1"/>
                <w:color w:val="auto"/>
              </w:rPr>
            </w:pPr>
          </w:p>
        </w:tc>
      </w:tr>
      <w:tr>
        <w:trPr>
          <w:trHeight w:val="27"/>
        </w:trPr>
        <w:tc>
          <w:tcPr>
            <w:tcW w:w="2220" w:type="dxa"/>
            <w:vAlign w:val="bottom"/>
          </w:tcPr>
          <w:p>
            <w:pPr>
              <w:spacing w:after="0"/>
              <w:rPr>
                <w:sz w:val="2"/>
                <w:szCs w:val="2"/>
                <w:color w:val="auto"/>
              </w:rPr>
            </w:pPr>
          </w:p>
        </w:tc>
        <w:tc>
          <w:tcPr>
            <w:tcW w:w="292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U.S. agency mortgage-backed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160,181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474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159,602</w:t>
            </w:r>
          </w:p>
        </w:tc>
        <w:tc>
          <w:tcPr>
            <w:tcW w:w="0" w:type="dxa"/>
            <w:vAlign w:val="bottom"/>
          </w:tcPr>
          <w:p>
            <w:pPr>
              <w:spacing w:after="0"/>
              <w:rPr>
                <w:sz w:val="1"/>
                <w:szCs w:val="1"/>
                <w:color w:val="auto"/>
              </w:rPr>
            </w:pPr>
          </w:p>
        </w:tc>
      </w:tr>
      <w:tr>
        <w:trPr>
          <w:trHeight w:val="243"/>
        </w:trPr>
        <w:tc>
          <w:tcPr>
            <w:tcW w:w="5140" w:type="dxa"/>
            <w:vAlign w:val="bottom"/>
            <w:gridSpan w:val="3"/>
          </w:tcPr>
          <w:p>
            <w:pPr>
              <w:ind w:left="40"/>
              <w:spacing w:after="0"/>
              <w:rPr>
                <w:sz w:val="20"/>
                <w:szCs w:val="20"/>
                <w:color w:val="auto"/>
              </w:rPr>
            </w:pPr>
            <w:r>
              <w:rPr>
                <w:rFonts w:ascii="Arial" w:cs="Arial" w:eastAsia="Arial" w:hAnsi="Arial"/>
                <w:sz w:val="18"/>
                <w:szCs w:val="18"/>
                <w:color w:val="auto"/>
              </w:rPr>
              <w:t>Municipal debt securities(1)</w:t>
            </w:r>
          </w:p>
        </w:tc>
        <w:tc>
          <w:tcPr>
            <w:tcW w:w="28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272,733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7,357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279,828</w:t>
            </w:r>
          </w:p>
        </w:tc>
        <w:tc>
          <w:tcPr>
            <w:tcW w:w="0" w:type="dxa"/>
            <w:vAlign w:val="bottom"/>
          </w:tcPr>
          <w:p>
            <w:pPr>
              <w:spacing w:after="0"/>
              <w:rPr>
                <w:sz w:val="1"/>
                <w:szCs w:val="1"/>
                <w:color w:val="auto"/>
              </w:rPr>
            </w:pPr>
          </w:p>
        </w:tc>
      </w:tr>
      <w:tr>
        <w:trPr>
          <w:trHeight w:val="27"/>
        </w:trPr>
        <w:tc>
          <w:tcPr>
            <w:tcW w:w="2220" w:type="dxa"/>
            <w:vAlign w:val="bottom"/>
          </w:tcPr>
          <w:p>
            <w:pPr>
              <w:spacing w:after="0"/>
              <w:rPr>
                <w:sz w:val="2"/>
                <w:szCs w:val="2"/>
                <w:color w:val="auto"/>
              </w:rPr>
            </w:pPr>
          </w:p>
        </w:tc>
        <w:tc>
          <w:tcPr>
            <w:tcW w:w="292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Corporate debt securities(2)</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399,246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1,338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(3,852)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396,732</w:t>
            </w:r>
          </w:p>
        </w:tc>
        <w:tc>
          <w:tcPr>
            <w:tcW w:w="0" w:type="dxa"/>
            <w:vAlign w:val="bottom"/>
          </w:tcPr>
          <w:p>
            <w:pPr>
              <w:spacing w:after="0"/>
              <w:rPr>
                <w:sz w:val="1"/>
                <w:szCs w:val="1"/>
                <w:color w:val="auto"/>
              </w:rPr>
            </w:pPr>
          </w:p>
        </w:tc>
      </w:tr>
      <w:tr>
        <w:trPr>
          <w:trHeight w:val="243"/>
        </w:trPr>
        <w:tc>
          <w:tcPr>
            <w:tcW w:w="5140" w:type="dxa"/>
            <w:vAlign w:val="bottom"/>
            <w:gridSpan w:val="3"/>
          </w:tcPr>
          <w:p>
            <w:pPr>
              <w:ind w:left="40"/>
              <w:spacing w:after="0"/>
              <w:rPr>
                <w:sz w:val="20"/>
                <w:szCs w:val="20"/>
                <w:color w:val="auto"/>
              </w:rPr>
            </w:pPr>
            <w:r>
              <w:rPr>
                <w:rFonts w:ascii="Arial" w:cs="Arial" w:eastAsia="Arial" w:hAnsi="Arial"/>
                <w:sz w:val="18"/>
                <w:szCs w:val="18"/>
                <w:color w:val="auto"/>
              </w:rPr>
              <w:t>Mortgage-backed securities</w:t>
            </w:r>
          </w:p>
        </w:tc>
        <w:tc>
          <w:tcPr>
            <w:tcW w:w="28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56,380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(1,121)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55,356</w:t>
            </w:r>
          </w:p>
        </w:tc>
        <w:tc>
          <w:tcPr>
            <w:tcW w:w="0" w:type="dxa"/>
            <w:vAlign w:val="bottom"/>
          </w:tcPr>
          <w:p>
            <w:pPr>
              <w:spacing w:after="0"/>
              <w:rPr>
                <w:sz w:val="1"/>
                <w:szCs w:val="1"/>
                <w:color w:val="auto"/>
              </w:rPr>
            </w:pPr>
          </w:p>
        </w:tc>
      </w:tr>
      <w:tr>
        <w:trPr>
          <w:trHeight w:val="27"/>
        </w:trPr>
        <w:tc>
          <w:tcPr>
            <w:tcW w:w="2220" w:type="dxa"/>
            <w:vAlign w:val="bottom"/>
          </w:tcPr>
          <w:p>
            <w:pPr>
              <w:spacing w:after="0"/>
              <w:rPr>
                <w:sz w:val="2"/>
                <w:szCs w:val="2"/>
                <w:color w:val="auto"/>
              </w:rPr>
            </w:pPr>
          </w:p>
        </w:tc>
        <w:tc>
          <w:tcPr>
            <w:tcW w:w="292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Asset-backed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127,919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126,629</w:t>
            </w:r>
          </w:p>
        </w:tc>
        <w:tc>
          <w:tcPr>
            <w:tcW w:w="0" w:type="dxa"/>
            <w:vAlign w:val="bottom"/>
          </w:tcPr>
          <w:p>
            <w:pPr>
              <w:spacing w:after="0"/>
              <w:rPr>
                <w:sz w:val="1"/>
                <w:szCs w:val="1"/>
                <w:color w:val="auto"/>
              </w:rPr>
            </w:pPr>
          </w:p>
        </w:tc>
      </w:tr>
      <w:tr>
        <w:trPr>
          <w:trHeight w:val="243"/>
        </w:trPr>
        <w:tc>
          <w:tcPr>
            <w:tcW w:w="5140" w:type="dxa"/>
            <w:vAlign w:val="bottom"/>
            <w:gridSpan w:val="3"/>
          </w:tcPr>
          <w:p>
            <w:pPr>
              <w:ind w:left="40"/>
              <w:spacing w:after="0"/>
              <w:rPr>
                <w:sz w:val="20"/>
                <w:szCs w:val="20"/>
                <w:color w:val="auto"/>
              </w:rPr>
            </w:pPr>
            <w:r>
              <w:rPr>
                <w:rFonts w:ascii="Arial" w:cs="Arial" w:eastAsia="Arial" w:hAnsi="Arial"/>
                <w:sz w:val="18"/>
                <w:szCs w:val="18"/>
                <w:color w:val="auto"/>
              </w:rPr>
              <w:t>Money market funds</w:t>
            </w:r>
          </w:p>
        </w:tc>
        <w:tc>
          <w:tcPr>
            <w:tcW w:w="28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67,098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67,098</w:t>
            </w:r>
          </w:p>
        </w:tc>
        <w:tc>
          <w:tcPr>
            <w:tcW w:w="0" w:type="dxa"/>
            <w:vAlign w:val="bottom"/>
          </w:tcPr>
          <w:p>
            <w:pPr>
              <w:spacing w:after="0"/>
              <w:rPr>
                <w:sz w:val="1"/>
                <w:szCs w:val="1"/>
                <w:color w:val="auto"/>
              </w:rPr>
            </w:pPr>
          </w:p>
        </w:tc>
      </w:tr>
      <w:tr>
        <w:trPr>
          <w:trHeight w:val="27"/>
        </w:trPr>
        <w:tc>
          <w:tcPr>
            <w:tcW w:w="2220" w:type="dxa"/>
            <w:vAlign w:val="bottom"/>
            <w:tcBorders>
              <w:bottom w:val="single" w:sz="8" w:color="CCEEFF"/>
            </w:tcBorders>
          </w:tcPr>
          <w:p>
            <w:pPr>
              <w:spacing w:after="0"/>
              <w:rPr>
                <w:sz w:val="2"/>
                <w:szCs w:val="2"/>
                <w:color w:val="auto"/>
              </w:rPr>
            </w:pPr>
          </w:p>
        </w:tc>
        <w:tc>
          <w:tcPr>
            <w:tcW w:w="2920" w:type="dxa"/>
            <w:vAlign w:val="bottom"/>
            <w:tcBorders>
              <w:bottom w:val="single" w:sz="8" w:color="CCEEFF"/>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investments available for sale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1,275,972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9,535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(8,873)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1,276,634</w:t>
            </w:r>
          </w:p>
        </w:tc>
        <w:tc>
          <w:tcPr>
            <w:tcW w:w="0" w:type="dxa"/>
            <w:vAlign w:val="bottom"/>
          </w:tcPr>
          <w:p>
            <w:pPr>
              <w:spacing w:after="0"/>
              <w:rPr>
                <w:sz w:val="1"/>
                <w:szCs w:val="1"/>
                <w:color w:val="auto"/>
              </w:rPr>
            </w:pPr>
          </w:p>
        </w:tc>
      </w:tr>
      <w:tr>
        <w:trPr>
          <w:trHeight w:val="20"/>
        </w:trPr>
        <w:tc>
          <w:tcPr>
            <w:tcW w:w="222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220" w:type="dxa"/>
            <w:vAlign w:val="bottom"/>
            <w:tcBorders>
              <w:bottom w:val="single" w:sz="8" w:color="auto"/>
            </w:tcBorders>
          </w:tcPr>
          <w:p>
            <w:pPr>
              <w:spacing w:after="0"/>
              <w:rPr>
                <w:sz w:val="20"/>
                <w:szCs w:val="20"/>
                <w:color w:val="auto"/>
              </w:rPr>
            </w:pPr>
          </w:p>
        </w:tc>
        <w:tc>
          <w:tcPr>
            <w:tcW w:w="2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tbl>
      <w:tblPr>
        <w:tblLayout w:type="fixed"/>
        <w:tblInd w:w="220" w:type="dxa"/>
        <w:tblCellMar>
          <w:top w:w="0" w:type="dxa"/>
          <w:left w:w="0" w:type="dxa"/>
          <w:bottom w:w="0" w:type="dxa"/>
          <w:right w:w="0" w:type="dxa"/>
        </w:tblCellMar>
      </w:tblPr>
      <w:tr>
        <w:trPr>
          <w:trHeight w:val="186"/>
        </w:trPr>
        <w:tc>
          <w:tcPr>
            <w:tcW w:w="8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2"/>
          </w:tcPr>
          <w:p>
            <w:pPr>
              <w:ind w:left="340"/>
              <w:spacing w:after="0"/>
              <w:rPr>
                <w:sz w:val="20"/>
                <w:szCs w:val="20"/>
                <w:color w:val="auto"/>
              </w:rPr>
            </w:pPr>
            <w:r>
              <w:rPr>
                <w:rFonts w:ascii="Arial" w:cs="Arial" w:eastAsia="Arial" w:hAnsi="Arial"/>
                <w:sz w:val="14"/>
                <w:szCs w:val="14"/>
                <w:b w:val="1"/>
                <w:bCs w:val="1"/>
                <w:color w:val="auto"/>
              </w:rPr>
              <w:t>March 31,</w:t>
            </w:r>
          </w:p>
        </w:tc>
        <w:tc>
          <w:tcPr>
            <w:tcW w:w="1280" w:type="dxa"/>
            <w:vAlign w:val="bottom"/>
          </w:tcPr>
          <w:p>
            <w:pPr>
              <w:jc w:val="right"/>
              <w:ind w:right="135"/>
              <w:spacing w:after="0"/>
              <w:rPr>
                <w:sz w:val="20"/>
                <w:szCs w:val="20"/>
                <w:color w:val="auto"/>
              </w:rPr>
            </w:pPr>
            <w:r>
              <w:rPr>
                <w:rFonts w:ascii="Arial" w:cs="Arial" w:eastAsia="Arial" w:hAnsi="Arial"/>
                <w:sz w:val="14"/>
                <w:szCs w:val="14"/>
                <w:b w:val="1"/>
                <w:bCs w:val="1"/>
                <w:color w:val="auto"/>
              </w:rPr>
              <w:t>December 31,</w:t>
            </w:r>
          </w:p>
        </w:tc>
      </w:tr>
      <w:tr>
        <w:trPr>
          <w:trHeight w:val="276"/>
        </w:trPr>
        <w:tc>
          <w:tcPr>
            <w:tcW w:w="82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(1) The following table summarizes municipal debt securities as of :</w:t>
            </w:r>
          </w:p>
        </w:tc>
        <w:tc>
          <w:tcPr>
            <w:tcW w:w="100" w:type="dxa"/>
            <w:vAlign w:val="bottom"/>
            <w:tcBorders>
              <w:bottom w:val="single" w:sz="8" w:color="CCEEFF"/>
            </w:tcBorders>
          </w:tcPr>
          <w:p>
            <w:pPr>
              <w:spacing w:after="0"/>
              <w:rPr>
                <w:sz w:val="24"/>
                <w:szCs w:val="24"/>
                <w:color w:val="auto"/>
              </w:rPr>
            </w:pPr>
          </w:p>
        </w:tc>
        <w:tc>
          <w:tcPr>
            <w:tcW w:w="128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4"/>
                <w:szCs w:val="24"/>
                <w:color w:val="auto"/>
              </w:rPr>
            </w:pPr>
          </w:p>
        </w:tc>
        <w:tc>
          <w:tcPr>
            <w:tcW w:w="128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2015</w:t>
            </w:r>
          </w:p>
        </w:tc>
      </w:tr>
      <w:tr>
        <w:trPr>
          <w:trHeight w:val="250"/>
        </w:trPr>
        <w:tc>
          <w:tcPr>
            <w:tcW w:w="8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Special revenue bonds</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67.8%</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70.4%</w:t>
            </w:r>
          </w:p>
        </w:tc>
      </w:tr>
      <w:tr>
        <w:trPr>
          <w:trHeight w:val="243"/>
        </w:trPr>
        <w:tc>
          <w:tcPr>
            <w:tcW w:w="8320" w:type="dxa"/>
            <w:vAlign w:val="bottom"/>
            <w:gridSpan w:val="2"/>
          </w:tcPr>
          <w:p>
            <w:pPr>
              <w:ind w:left="20"/>
              <w:spacing w:after="0"/>
              <w:rPr>
                <w:sz w:val="20"/>
                <w:szCs w:val="20"/>
                <w:color w:val="auto"/>
              </w:rPr>
            </w:pPr>
            <w:r>
              <w:rPr>
                <w:rFonts w:ascii="Arial" w:cs="Arial" w:eastAsia="Arial" w:hAnsi="Arial"/>
                <w:sz w:val="18"/>
                <w:szCs w:val="18"/>
                <w:color w:val="auto"/>
              </w:rPr>
              <w:t>General obligation bonds</w:t>
            </w:r>
          </w:p>
        </w:tc>
        <w:tc>
          <w:tcPr>
            <w:tcW w:w="1280" w:type="dxa"/>
            <w:vAlign w:val="bottom"/>
          </w:tcPr>
          <w:p>
            <w:pPr>
              <w:jc w:val="right"/>
              <w:ind w:right="95"/>
              <w:spacing w:after="0"/>
              <w:rPr>
                <w:sz w:val="20"/>
                <w:szCs w:val="20"/>
                <w:color w:val="auto"/>
              </w:rPr>
            </w:pPr>
            <w:r>
              <w:rPr>
                <w:rFonts w:ascii="Arial" w:cs="Arial" w:eastAsia="Arial" w:hAnsi="Arial"/>
                <w:sz w:val="18"/>
                <w:szCs w:val="18"/>
                <w:color w:val="auto"/>
              </w:rPr>
              <w:t>27.5</w:t>
            </w:r>
          </w:p>
        </w:tc>
        <w:tc>
          <w:tcPr>
            <w:tcW w:w="120" w:type="dxa"/>
            <w:vAlign w:val="bottom"/>
          </w:tcPr>
          <w:p>
            <w:pPr>
              <w:spacing w:after="0"/>
              <w:rPr>
                <w:sz w:val="21"/>
                <w:szCs w:val="21"/>
                <w:color w:val="auto"/>
              </w:rPr>
            </w:pPr>
          </w:p>
        </w:tc>
        <w:tc>
          <w:tcPr>
            <w:tcW w:w="1280" w:type="dxa"/>
            <w:vAlign w:val="bottom"/>
          </w:tcPr>
          <w:p>
            <w:pPr>
              <w:jc w:val="right"/>
              <w:ind w:right="115"/>
              <w:spacing w:after="0"/>
              <w:rPr>
                <w:sz w:val="20"/>
                <w:szCs w:val="20"/>
                <w:color w:val="auto"/>
              </w:rPr>
            </w:pPr>
            <w:r>
              <w:rPr>
                <w:rFonts w:ascii="Arial" w:cs="Arial" w:eastAsia="Arial" w:hAnsi="Arial"/>
                <w:sz w:val="18"/>
                <w:szCs w:val="18"/>
                <w:color w:val="auto"/>
              </w:rPr>
              <w:t>24.5</w:t>
            </w:r>
          </w:p>
        </w:tc>
      </w:tr>
      <w:tr>
        <w:trPr>
          <w:trHeight w:val="27"/>
        </w:trPr>
        <w:tc>
          <w:tcPr>
            <w:tcW w:w="8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Certificate of participation bonds</w:t>
            </w:r>
          </w:p>
        </w:tc>
        <w:tc>
          <w:tcPr>
            <w:tcW w:w="128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4.0</w:t>
            </w:r>
          </w:p>
        </w:tc>
      </w:tr>
      <w:tr>
        <w:trPr>
          <w:trHeight w:val="243"/>
        </w:trPr>
        <w:tc>
          <w:tcPr>
            <w:tcW w:w="8320" w:type="dxa"/>
            <w:vAlign w:val="bottom"/>
            <w:gridSpan w:val="2"/>
          </w:tcPr>
          <w:p>
            <w:pPr>
              <w:ind w:left="20"/>
              <w:spacing w:after="0"/>
              <w:rPr>
                <w:sz w:val="20"/>
                <w:szCs w:val="20"/>
                <w:color w:val="auto"/>
              </w:rPr>
            </w:pPr>
            <w:r>
              <w:rPr>
                <w:rFonts w:ascii="Arial" w:cs="Arial" w:eastAsia="Arial" w:hAnsi="Arial"/>
                <w:sz w:val="18"/>
                <w:szCs w:val="18"/>
                <w:color w:val="auto"/>
              </w:rPr>
              <w:t>Tax allocation bonds</w:t>
            </w:r>
          </w:p>
        </w:tc>
        <w:tc>
          <w:tcPr>
            <w:tcW w:w="1280" w:type="dxa"/>
            <w:vAlign w:val="bottom"/>
          </w:tcPr>
          <w:p>
            <w:pPr>
              <w:jc w:val="right"/>
              <w:ind w:right="95"/>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280" w:type="dxa"/>
            <w:vAlign w:val="bottom"/>
          </w:tcPr>
          <w:p>
            <w:pPr>
              <w:jc w:val="right"/>
              <w:ind w:right="115"/>
              <w:spacing w:after="0"/>
              <w:rPr>
                <w:sz w:val="20"/>
                <w:szCs w:val="20"/>
                <w:color w:val="auto"/>
              </w:rPr>
            </w:pPr>
            <w:r>
              <w:rPr>
                <w:rFonts w:ascii="Arial" w:cs="Arial" w:eastAsia="Arial" w:hAnsi="Arial"/>
                <w:sz w:val="18"/>
                <w:szCs w:val="18"/>
                <w:color w:val="auto"/>
              </w:rPr>
              <w:t>1.1</w:t>
            </w:r>
          </w:p>
        </w:tc>
      </w:tr>
      <w:tr>
        <w:trPr>
          <w:trHeight w:val="27"/>
        </w:trPr>
        <w:tc>
          <w:tcPr>
            <w:tcW w:w="8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7"/>
        </w:trPr>
        <w:tc>
          <w:tcPr>
            <w:tcW w:w="83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8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25" w:right="259" w:bottom="1440" w:gutter="0" w:footer="0" w:header="0"/>
        </w:sect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00"/>
          </w:cols>
          <w:pgMar w:left="240" w:top="125" w:right="259" w:bottom="1440" w:gutter="0" w:footer="0" w:header="0"/>
          <w:type w:val="continuous"/>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tbl>
      <w:tblPr>
        <w:tblLayout w:type="fixed"/>
        <w:tblInd w:w="220" w:type="dxa"/>
        <w:tblCellMar>
          <w:top w:w="0" w:type="dxa"/>
          <w:left w:w="0" w:type="dxa"/>
          <w:bottom w:w="0" w:type="dxa"/>
          <w:right w:w="0" w:type="dxa"/>
        </w:tblCellMar>
      </w:tblPr>
      <w:tr>
        <w:trPr>
          <w:trHeight w:val="186"/>
        </w:trPr>
        <w:tc>
          <w:tcPr>
            <w:tcW w:w="8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2"/>
          </w:tcPr>
          <w:p>
            <w:pPr>
              <w:ind w:left="340"/>
              <w:spacing w:after="0"/>
              <w:rPr>
                <w:sz w:val="20"/>
                <w:szCs w:val="20"/>
                <w:color w:val="auto"/>
              </w:rPr>
            </w:pPr>
            <w:r>
              <w:rPr>
                <w:rFonts w:ascii="Arial" w:cs="Arial" w:eastAsia="Arial" w:hAnsi="Arial"/>
                <w:sz w:val="14"/>
                <w:szCs w:val="14"/>
                <w:b w:val="1"/>
                <w:bCs w:val="1"/>
                <w:color w:val="auto"/>
              </w:rPr>
              <w:t>March 31,</w:t>
            </w:r>
          </w:p>
        </w:tc>
        <w:tc>
          <w:tcPr>
            <w:tcW w:w="1280" w:type="dxa"/>
            <w:vAlign w:val="bottom"/>
          </w:tcPr>
          <w:p>
            <w:pPr>
              <w:jc w:val="right"/>
              <w:ind w:right="133"/>
              <w:spacing w:after="0"/>
              <w:rPr>
                <w:sz w:val="20"/>
                <w:szCs w:val="20"/>
                <w:color w:val="auto"/>
              </w:rPr>
            </w:pPr>
            <w:r>
              <w:rPr>
                <w:rFonts w:ascii="Arial" w:cs="Arial" w:eastAsia="Arial" w:hAnsi="Arial"/>
                <w:sz w:val="14"/>
                <w:szCs w:val="14"/>
                <w:b w:val="1"/>
                <w:bCs w:val="1"/>
                <w:color w:val="auto"/>
              </w:rPr>
              <w:t>December 31,</w:t>
            </w:r>
          </w:p>
        </w:tc>
      </w:tr>
      <w:tr>
        <w:trPr>
          <w:trHeight w:val="276"/>
        </w:trPr>
        <w:tc>
          <w:tcPr>
            <w:tcW w:w="82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(2) The following table summarizes corporate debt securities as of :</w:t>
            </w:r>
          </w:p>
        </w:tc>
        <w:tc>
          <w:tcPr>
            <w:tcW w:w="100" w:type="dxa"/>
            <w:vAlign w:val="bottom"/>
            <w:tcBorders>
              <w:bottom w:val="single" w:sz="8" w:color="CCEEFF"/>
            </w:tcBorders>
          </w:tcPr>
          <w:p>
            <w:pPr>
              <w:spacing w:after="0"/>
              <w:rPr>
                <w:sz w:val="24"/>
                <w:szCs w:val="24"/>
                <w:color w:val="auto"/>
              </w:rPr>
            </w:pPr>
          </w:p>
        </w:tc>
        <w:tc>
          <w:tcPr>
            <w:tcW w:w="128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4"/>
                <w:szCs w:val="24"/>
                <w:color w:val="auto"/>
              </w:rPr>
            </w:pPr>
          </w:p>
        </w:tc>
        <w:tc>
          <w:tcPr>
            <w:tcW w:w="128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2015</w:t>
            </w:r>
          </w:p>
        </w:tc>
      </w:tr>
      <w:tr>
        <w:trPr>
          <w:trHeight w:val="250"/>
        </w:trPr>
        <w:tc>
          <w:tcPr>
            <w:tcW w:w="8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Financial</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44.9%</w:t>
            </w:r>
          </w:p>
        </w:tc>
      </w:tr>
      <w:tr>
        <w:trPr>
          <w:trHeight w:val="243"/>
        </w:trPr>
        <w:tc>
          <w:tcPr>
            <w:tcW w:w="8320" w:type="dxa"/>
            <w:vAlign w:val="bottom"/>
            <w:gridSpan w:val="2"/>
          </w:tcPr>
          <w:p>
            <w:pPr>
              <w:ind w:left="20"/>
              <w:spacing w:after="0"/>
              <w:rPr>
                <w:sz w:val="20"/>
                <w:szCs w:val="20"/>
                <w:color w:val="auto"/>
              </w:rPr>
            </w:pPr>
            <w:r>
              <w:rPr>
                <w:rFonts w:ascii="Arial" w:cs="Arial" w:eastAsia="Arial" w:hAnsi="Arial"/>
                <w:sz w:val="18"/>
                <w:szCs w:val="18"/>
                <w:color w:val="auto"/>
              </w:rPr>
              <w:t>Consumer, non-cyclical</w:t>
            </w:r>
          </w:p>
        </w:tc>
        <w:tc>
          <w:tcPr>
            <w:tcW w:w="1280" w:type="dxa"/>
            <w:vAlign w:val="bottom"/>
          </w:tcPr>
          <w:p>
            <w:pPr>
              <w:jc w:val="right"/>
              <w:ind w:right="93"/>
              <w:spacing w:after="0"/>
              <w:rPr>
                <w:sz w:val="20"/>
                <w:szCs w:val="20"/>
                <w:color w:val="auto"/>
              </w:rPr>
            </w:pPr>
            <w:r>
              <w:rPr>
                <w:rFonts w:ascii="Arial" w:cs="Arial" w:eastAsia="Arial" w:hAnsi="Arial"/>
                <w:sz w:val="18"/>
                <w:szCs w:val="18"/>
                <w:color w:val="auto"/>
              </w:rPr>
              <w:t>17.4</w:t>
            </w:r>
          </w:p>
        </w:tc>
        <w:tc>
          <w:tcPr>
            <w:tcW w:w="120" w:type="dxa"/>
            <w:vAlign w:val="bottom"/>
          </w:tcPr>
          <w:p>
            <w:pPr>
              <w:spacing w:after="0"/>
              <w:rPr>
                <w:sz w:val="21"/>
                <w:szCs w:val="21"/>
                <w:color w:val="auto"/>
              </w:rPr>
            </w:pPr>
          </w:p>
        </w:tc>
        <w:tc>
          <w:tcPr>
            <w:tcW w:w="1280" w:type="dxa"/>
            <w:vAlign w:val="bottom"/>
          </w:tcPr>
          <w:p>
            <w:pPr>
              <w:jc w:val="right"/>
              <w:ind w:right="113"/>
              <w:spacing w:after="0"/>
              <w:rPr>
                <w:sz w:val="20"/>
                <w:szCs w:val="20"/>
                <w:color w:val="auto"/>
              </w:rPr>
            </w:pPr>
            <w:r>
              <w:rPr>
                <w:rFonts w:ascii="Arial" w:cs="Arial" w:eastAsia="Arial" w:hAnsi="Arial"/>
                <w:sz w:val="18"/>
                <w:szCs w:val="18"/>
                <w:color w:val="auto"/>
              </w:rPr>
              <w:t>14.8</w:t>
            </w:r>
          </w:p>
        </w:tc>
      </w:tr>
      <w:tr>
        <w:trPr>
          <w:trHeight w:val="27"/>
        </w:trPr>
        <w:tc>
          <w:tcPr>
            <w:tcW w:w="8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Energy</w:t>
            </w:r>
          </w:p>
        </w:tc>
        <w:tc>
          <w:tcPr>
            <w:tcW w:w="12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7.9</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9.0</w:t>
            </w:r>
          </w:p>
        </w:tc>
      </w:tr>
      <w:tr>
        <w:trPr>
          <w:trHeight w:val="243"/>
        </w:trPr>
        <w:tc>
          <w:tcPr>
            <w:tcW w:w="8320" w:type="dxa"/>
            <w:vAlign w:val="bottom"/>
            <w:gridSpan w:val="2"/>
          </w:tcPr>
          <w:p>
            <w:pPr>
              <w:ind w:left="20"/>
              <w:spacing w:after="0"/>
              <w:rPr>
                <w:sz w:val="20"/>
                <w:szCs w:val="20"/>
                <w:color w:val="auto"/>
              </w:rPr>
            </w:pPr>
            <w:r>
              <w:rPr>
                <w:rFonts w:ascii="Arial" w:cs="Arial" w:eastAsia="Arial" w:hAnsi="Arial"/>
                <w:sz w:val="18"/>
                <w:szCs w:val="18"/>
                <w:color w:val="auto"/>
              </w:rPr>
              <w:t>Communications</w:t>
            </w:r>
          </w:p>
        </w:tc>
        <w:tc>
          <w:tcPr>
            <w:tcW w:w="1280" w:type="dxa"/>
            <w:vAlign w:val="bottom"/>
          </w:tcPr>
          <w:p>
            <w:pPr>
              <w:jc w:val="right"/>
              <w:ind w:right="93"/>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1"/>
                <w:szCs w:val="21"/>
                <w:color w:val="auto"/>
              </w:rPr>
            </w:pPr>
          </w:p>
        </w:tc>
        <w:tc>
          <w:tcPr>
            <w:tcW w:w="1280" w:type="dxa"/>
            <w:vAlign w:val="bottom"/>
          </w:tcPr>
          <w:p>
            <w:pPr>
              <w:jc w:val="right"/>
              <w:ind w:right="113"/>
              <w:spacing w:after="0"/>
              <w:rPr>
                <w:sz w:val="20"/>
                <w:szCs w:val="20"/>
                <w:color w:val="auto"/>
              </w:rPr>
            </w:pPr>
            <w:r>
              <w:rPr>
                <w:rFonts w:ascii="Arial" w:cs="Arial" w:eastAsia="Arial" w:hAnsi="Arial"/>
                <w:sz w:val="18"/>
                <w:szCs w:val="18"/>
                <w:color w:val="auto"/>
              </w:rPr>
              <w:t>7.1</w:t>
            </w:r>
          </w:p>
        </w:tc>
      </w:tr>
      <w:tr>
        <w:trPr>
          <w:trHeight w:val="27"/>
        </w:trPr>
        <w:tc>
          <w:tcPr>
            <w:tcW w:w="8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Industrial</w:t>
            </w:r>
          </w:p>
        </w:tc>
        <w:tc>
          <w:tcPr>
            <w:tcW w:w="12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5.2</w:t>
            </w:r>
          </w:p>
        </w:tc>
      </w:tr>
      <w:tr>
        <w:trPr>
          <w:trHeight w:val="243"/>
        </w:trPr>
        <w:tc>
          <w:tcPr>
            <w:tcW w:w="8320" w:type="dxa"/>
            <w:vAlign w:val="bottom"/>
            <w:gridSpan w:val="2"/>
          </w:tcPr>
          <w:p>
            <w:pPr>
              <w:ind w:left="20"/>
              <w:spacing w:after="0"/>
              <w:rPr>
                <w:sz w:val="20"/>
                <w:szCs w:val="20"/>
                <w:color w:val="auto"/>
              </w:rPr>
            </w:pPr>
            <w:r>
              <w:rPr>
                <w:rFonts w:ascii="Arial" w:cs="Arial" w:eastAsia="Arial" w:hAnsi="Arial"/>
                <w:sz w:val="18"/>
                <w:szCs w:val="18"/>
                <w:color w:val="auto"/>
              </w:rPr>
              <w:t>Consumer, cyclical</w:t>
            </w:r>
          </w:p>
        </w:tc>
        <w:tc>
          <w:tcPr>
            <w:tcW w:w="1280" w:type="dxa"/>
            <w:vAlign w:val="bottom"/>
          </w:tcPr>
          <w:p>
            <w:pPr>
              <w:jc w:val="right"/>
              <w:ind w:right="93"/>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1"/>
                <w:szCs w:val="21"/>
                <w:color w:val="auto"/>
              </w:rPr>
            </w:pPr>
          </w:p>
        </w:tc>
        <w:tc>
          <w:tcPr>
            <w:tcW w:w="1280" w:type="dxa"/>
            <w:vAlign w:val="bottom"/>
          </w:tcPr>
          <w:p>
            <w:pPr>
              <w:jc w:val="right"/>
              <w:ind w:right="113"/>
              <w:spacing w:after="0"/>
              <w:rPr>
                <w:sz w:val="20"/>
                <w:szCs w:val="20"/>
                <w:color w:val="auto"/>
              </w:rPr>
            </w:pPr>
            <w:r>
              <w:rPr>
                <w:rFonts w:ascii="Arial" w:cs="Arial" w:eastAsia="Arial" w:hAnsi="Arial"/>
                <w:sz w:val="18"/>
                <w:szCs w:val="18"/>
                <w:color w:val="auto"/>
              </w:rPr>
              <w:t>6.2</w:t>
            </w:r>
          </w:p>
        </w:tc>
      </w:tr>
      <w:tr>
        <w:trPr>
          <w:trHeight w:val="27"/>
        </w:trPr>
        <w:tc>
          <w:tcPr>
            <w:tcW w:w="8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Utilities</w:t>
            </w:r>
          </w:p>
        </w:tc>
        <w:tc>
          <w:tcPr>
            <w:tcW w:w="12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6.0</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5.0</w:t>
            </w:r>
          </w:p>
        </w:tc>
      </w:tr>
      <w:tr>
        <w:trPr>
          <w:trHeight w:val="243"/>
        </w:trPr>
        <w:tc>
          <w:tcPr>
            <w:tcW w:w="8320" w:type="dxa"/>
            <w:vAlign w:val="bottom"/>
            <w:gridSpan w:val="2"/>
          </w:tcPr>
          <w:p>
            <w:pPr>
              <w:ind w:left="20"/>
              <w:spacing w:after="0"/>
              <w:rPr>
                <w:sz w:val="20"/>
                <w:szCs w:val="20"/>
                <w:color w:val="auto"/>
              </w:rPr>
            </w:pPr>
            <w:r>
              <w:rPr>
                <w:rFonts w:ascii="Arial" w:cs="Arial" w:eastAsia="Arial" w:hAnsi="Arial"/>
                <w:sz w:val="18"/>
                <w:szCs w:val="18"/>
                <w:color w:val="auto"/>
              </w:rPr>
              <w:t>Basic materials</w:t>
            </w:r>
          </w:p>
        </w:tc>
        <w:tc>
          <w:tcPr>
            <w:tcW w:w="1280" w:type="dxa"/>
            <w:vAlign w:val="bottom"/>
          </w:tcPr>
          <w:p>
            <w:pPr>
              <w:jc w:val="right"/>
              <w:ind w:right="93"/>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1"/>
                <w:szCs w:val="21"/>
                <w:color w:val="auto"/>
              </w:rPr>
            </w:pPr>
          </w:p>
        </w:tc>
        <w:tc>
          <w:tcPr>
            <w:tcW w:w="1280" w:type="dxa"/>
            <w:vAlign w:val="bottom"/>
          </w:tcPr>
          <w:p>
            <w:pPr>
              <w:jc w:val="right"/>
              <w:ind w:right="113"/>
              <w:spacing w:after="0"/>
              <w:rPr>
                <w:sz w:val="20"/>
                <w:szCs w:val="20"/>
                <w:color w:val="auto"/>
              </w:rPr>
            </w:pPr>
            <w:r>
              <w:rPr>
                <w:rFonts w:ascii="Arial" w:cs="Arial" w:eastAsia="Arial" w:hAnsi="Arial"/>
                <w:sz w:val="18"/>
                <w:szCs w:val="18"/>
                <w:color w:val="auto"/>
              </w:rPr>
              <w:t>4.0</w:t>
            </w:r>
          </w:p>
        </w:tc>
      </w:tr>
      <w:tr>
        <w:trPr>
          <w:trHeight w:val="27"/>
        </w:trPr>
        <w:tc>
          <w:tcPr>
            <w:tcW w:w="8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Technology</w:t>
            </w:r>
          </w:p>
        </w:tc>
        <w:tc>
          <w:tcPr>
            <w:tcW w:w="12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3.8</w:t>
            </w:r>
          </w:p>
        </w:tc>
      </w:tr>
      <w:tr>
        <w:trPr>
          <w:trHeight w:val="257"/>
        </w:trPr>
        <w:tc>
          <w:tcPr>
            <w:tcW w:w="8320" w:type="dxa"/>
            <w:vAlign w:val="bottom"/>
            <w:gridSpan w:val="2"/>
          </w:tcPr>
          <w:p>
            <w:pPr>
              <w:ind w:left="160"/>
              <w:spacing w:after="0"/>
              <w:rPr>
                <w:sz w:val="20"/>
                <w:szCs w:val="20"/>
                <w:color w:val="auto"/>
              </w:rPr>
            </w:pPr>
            <w:r>
              <w:rPr>
                <w:rFonts w:ascii="Arial" w:cs="Arial" w:eastAsia="Arial" w:hAnsi="Arial"/>
                <w:sz w:val="18"/>
                <w:szCs w:val="18"/>
                <w:color w:val="auto"/>
              </w:rPr>
              <w:t>Total</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2"/>
                <w:szCs w:val="22"/>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8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amortized cost and fair value of investments available for sale at March 31, 2016, by contractual maturity, are shown below. Expected maturities will differ from contractual maturities because borrowers may have the right to call or prepay obligations with or without call or prepayment penalties. Because most mortgage-backed securities and asset-backed securities provide for periodic payments throughout their lives, they are listed below in separate categories.</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vMerge w:val="restart"/>
          </w:tcPr>
          <w:p>
            <w:pPr>
              <w:spacing w:after="0"/>
              <w:rPr>
                <w:sz w:val="13"/>
                <w:szCs w:val="13"/>
                <w:color w:val="auto"/>
              </w:rPr>
            </w:pPr>
          </w:p>
        </w:tc>
        <w:tc>
          <w:tcPr>
            <w:tcW w:w="380" w:type="dxa"/>
            <w:vAlign w:val="bottom"/>
          </w:tcPr>
          <w:p>
            <w:pPr>
              <w:spacing w:after="0"/>
              <w:rPr>
                <w:sz w:val="13"/>
                <w:szCs w:val="13"/>
                <w:color w:val="auto"/>
              </w:rPr>
            </w:pPr>
          </w:p>
        </w:tc>
        <w:tc>
          <w:tcPr>
            <w:tcW w:w="1660" w:type="dxa"/>
            <w:vAlign w:val="bottom"/>
            <w:gridSpan w:val="2"/>
          </w:tcPr>
          <w:p>
            <w:pPr>
              <w:ind w:left="260"/>
              <w:spacing w:after="0"/>
              <w:rPr>
                <w:sz w:val="20"/>
                <w:szCs w:val="20"/>
                <w:color w:val="auto"/>
              </w:rPr>
            </w:pPr>
            <w:r>
              <w:rPr>
                <w:rFonts w:ascii="Arial" w:cs="Arial" w:eastAsia="Arial" w:hAnsi="Arial"/>
                <w:sz w:val="14"/>
                <w:szCs w:val="14"/>
                <w:b w:val="1"/>
                <w:bCs w:val="1"/>
                <w:color w:val="auto"/>
              </w:rPr>
              <w:t>Amortized</w:t>
            </w:r>
          </w:p>
        </w:tc>
        <w:tc>
          <w:tcPr>
            <w:tcW w:w="460" w:type="dxa"/>
            <w:vAlign w:val="bottom"/>
          </w:tcPr>
          <w:p>
            <w:pPr>
              <w:spacing w:after="0"/>
              <w:rPr>
                <w:sz w:val="13"/>
                <w:szCs w:val="13"/>
                <w:color w:val="auto"/>
              </w:rPr>
            </w:pPr>
          </w:p>
        </w:tc>
        <w:tc>
          <w:tcPr>
            <w:tcW w:w="1480" w:type="dxa"/>
            <w:vAlign w:val="bottom"/>
          </w:tcPr>
          <w:p>
            <w:pPr>
              <w:jc w:val="right"/>
              <w:ind w:right="751"/>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92"/>
        </w:trPr>
        <w:tc>
          <w:tcPr>
            <w:tcW w:w="73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751"/>
              <w:spacing w:after="0"/>
              <w:rPr>
                <w:sz w:val="20"/>
                <w:szCs w:val="20"/>
                <w:color w:val="auto"/>
              </w:rPr>
            </w:pPr>
            <w:r>
              <w:rPr>
                <w:rFonts w:ascii="Arial" w:cs="Arial" w:eastAsia="Arial" w:hAnsi="Arial"/>
                <w:sz w:val="14"/>
                <w:szCs w:val="14"/>
                <w:b w:val="1"/>
                <w:bCs w:val="1"/>
                <w:color w:val="auto"/>
              </w:rPr>
              <w:t>Cost</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711"/>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50"/>
        </w:trPr>
        <w:tc>
          <w:tcPr>
            <w:tcW w:w="7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U.S. Treasury securities:</w:t>
            </w:r>
          </w:p>
        </w:tc>
        <w:tc>
          <w:tcPr>
            <w:tcW w:w="3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20" w:type="dxa"/>
            <w:vAlign w:val="bottom"/>
            <w:gridSpan w:val="2"/>
          </w:tcPr>
          <w:p>
            <w:pPr>
              <w:ind w:left="280"/>
              <w:spacing w:after="0"/>
              <w:rPr>
                <w:sz w:val="20"/>
                <w:szCs w:val="20"/>
                <w:color w:val="auto"/>
              </w:rPr>
            </w:pPr>
            <w:r>
              <w:rPr>
                <w:rFonts w:ascii="Arial" w:cs="Arial" w:eastAsia="Arial" w:hAnsi="Arial"/>
                <w:sz w:val="18"/>
                <w:szCs w:val="18"/>
                <w:color w:val="auto"/>
              </w:rPr>
              <w:t>Due in 1 year</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31"/>
              <w:spacing w:after="0"/>
              <w:rPr>
                <w:sz w:val="20"/>
                <w:szCs w:val="20"/>
                <w:color w:val="auto"/>
              </w:rPr>
            </w:pPr>
            <w:r>
              <w:rPr>
                <w:rFonts w:ascii="Arial" w:cs="Arial" w:eastAsia="Arial" w:hAnsi="Arial"/>
                <w:sz w:val="18"/>
                <w:szCs w:val="18"/>
                <w:color w:val="auto"/>
              </w:rPr>
              <w:t>38,647</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38,656</w:t>
            </w:r>
          </w:p>
        </w:tc>
        <w:tc>
          <w:tcPr>
            <w:tcW w:w="0" w:type="dxa"/>
            <w:vAlign w:val="bottom"/>
          </w:tcPr>
          <w:p>
            <w:pPr>
              <w:spacing w:after="0"/>
              <w:rPr>
                <w:sz w:val="1"/>
                <w:szCs w:val="1"/>
                <w:color w:val="auto"/>
              </w:rPr>
            </w:pPr>
          </w:p>
        </w:tc>
      </w:tr>
      <w:tr>
        <w:trPr>
          <w:trHeight w:val="27"/>
        </w:trPr>
        <w:tc>
          <w:tcPr>
            <w:tcW w:w="7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Due after 1 but within 5 years</w:t>
            </w:r>
          </w:p>
        </w:tc>
        <w:tc>
          <w:tcPr>
            <w:tcW w:w="3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66,474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67,147</w:t>
            </w:r>
          </w:p>
        </w:tc>
        <w:tc>
          <w:tcPr>
            <w:tcW w:w="0" w:type="dxa"/>
            <w:vAlign w:val="bottom"/>
          </w:tcPr>
          <w:p>
            <w:pPr>
              <w:spacing w:after="0"/>
              <w:rPr>
                <w:sz w:val="1"/>
                <w:szCs w:val="1"/>
                <w:color w:val="auto"/>
              </w:rPr>
            </w:pPr>
          </w:p>
        </w:tc>
      </w:tr>
      <w:tr>
        <w:trPr>
          <w:trHeight w:val="243"/>
        </w:trPr>
        <w:tc>
          <w:tcPr>
            <w:tcW w:w="7420" w:type="dxa"/>
            <w:vAlign w:val="bottom"/>
            <w:gridSpan w:val="2"/>
          </w:tcPr>
          <w:p>
            <w:pPr>
              <w:ind w:left="280"/>
              <w:spacing w:after="0"/>
              <w:rPr>
                <w:sz w:val="20"/>
                <w:szCs w:val="20"/>
                <w:color w:val="auto"/>
              </w:rPr>
            </w:pPr>
            <w:r>
              <w:rPr>
                <w:rFonts w:ascii="Arial" w:cs="Arial" w:eastAsia="Arial" w:hAnsi="Arial"/>
                <w:sz w:val="18"/>
                <w:szCs w:val="18"/>
                <w:color w:val="auto"/>
              </w:rPr>
              <w:t>Due after 5 but within 10 years</w:t>
            </w:r>
          </w:p>
        </w:tc>
        <w:tc>
          <w:tcPr>
            <w:tcW w:w="380" w:type="dxa"/>
            <w:vAlign w:val="bottom"/>
          </w:tcPr>
          <w:p>
            <w:pPr>
              <w:spacing w:after="0"/>
              <w:rPr>
                <w:sz w:val="21"/>
                <w:szCs w:val="21"/>
                <w:color w:val="auto"/>
              </w:rPr>
            </w:pPr>
          </w:p>
        </w:tc>
        <w:tc>
          <w:tcPr>
            <w:tcW w:w="1560" w:type="dxa"/>
            <w:vAlign w:val="bottom"/>
          </w:tcPr>
          <w:p>
            <w:pPr>
              <w:jc w:val="right"/>
              <w:ind w:right="31"/>
              <w:spacing w:after="0"/>
              <w:rPr>
                <w:sz w:val="20"/>
                <w:szCs w:val="20"/>
                <w:color w:val="auto"/>
              </w:rPr>
            </w:pPr>
            <w:r>
              <w:rPr>
                <w:rFonts w:ascii="Arial" w:cs="Arial" w:eastAsia="Arial" w:hAnsi="Arial"/>
                <w:sz w:val="18"/>
                <w:szCs w:val="18"/>
                <w:color w:val="auto"/>
              </w:rPr>
              <w:t>88,230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90,652</w:t>
            </w:r>
          </w:p>
        </w:tc>
        <w:tc>
          <w:tcPr>
            <w:tcW w:w="0" w:type="dxa"/>
            <w:vAlign w:val="bottom"/>
          </w:tcPr>
          <w:p>
            <w:pPr>
              <w:spacing w:after="0"/>
              <w:rPr>
                <w:sz w:val="1"/>
                <w:szCs w:val="1"/>
                <w:color w:val="auto"/>
              </w:rPr>
            </w:pPr>
          </w:p>
        </w:tc>
      </w:tr>
      <w:tr>
        <w:trPr>
          <w:trHeight w:val="27"/>
        </w:trPr>
        <w:tc>
          <w:tcPr>
            <w:tcW w:w="7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Due after 10 years</w:t>
            </w:r>
          </w:p>
        </w:tc>
        <w:tc>
          <w:tcPr>
            <w:tcW w:w="38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15,111</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15,325</w:t>
            </w:r>
          </w:p>
        </w:tc>
        <w:tc>
          <w:tcPr>
            <w:tcW w:w="0" w:type="dxa"/>
            <w:vAlign w:val="bottom"/>
          </w:tcPr>
          <w:p>
            <w:pPr>
              <w:spacing w:after="0"/>
              <w:rPr>
                <w:sz w:val="1"/>
                <w:szCs w:val="1"/>
                <w:color w:val="auto"/>
              </w:rPr>
            </w:pPr>
          </w:p>
        </w:tc>
      </w:tr>
      <w:tr>
        <w:trPr>
          <w:trHeight w:val="237"/>
        </w:trPr>
        <w:tc>
          <w:tcPr>
            <w:tcW w:w="7420" w:type="dxa"/>
            <w:vAlign w:val="bottom"/>
            <w:gridSpan w:val="2"/>
          </w:tcPr>
          <w:p>
            <w:pPr>
              <w:ind w:left="500"/>
              <w:spacing w:after="0"/>
              <w:rPr>
                <w:sz w:val="20"/>
                <w:szCs w:val="20"/>
                <w:color w:val="auto"/>
              </w:rPr>
            </w:pPr>
            <w:r>
              <w:rPr>
                <w:rFonts w:ascii="Arial" w:cs="Arial" w:eastAsia="Arial" w:hAnsi="Arial"/>
                <w:sz w:val="18"/>
                <w:szCs w:val="18"/>
                <w:color w:val="auto"/>
              </w:rPr>
              <w:t>Subtotal</w:t>
            </w:r>
          </w:p>
        </w:tc>
        <w:tc>
          <w:tcPr>
            <w:tcW w:w="38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208,462</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211,780</w:t>
            </w:r>
          </w:p>
        </w:tc>
        <w:tc>
          <w:tcPr>
            <w:tcW w:w="0" w:type="dxa"/>
            <w:vAlign w:val="bottom"/>
          </w:tcPr>
          <w:p>
            <w:pPr>
              <w:spacing w:after="0"/>
              <w:rPr>
                <w:sz w:val="1"/>
                <w:szCs w:val="1"/>
                <w:color w:val="auto"/>
              </w:rPr>
            </w:pPr>
          </w:p>
        </w:tc>
      </w:tr>
      <w:tr>
        <w:trPr>
          <w:trHeight w:val="27"/>
        </w:trPr>
        <w:tc>
          <w:tcPr>
            <w:tcW w:w="7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U.S. agency securities:</w:t>
            </w:r>
          </w:p>
        </w:tc>
        <w:tc>
          <w:tcPr>
            <w:tcW w:w="38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420" w:type="dxa"/>
            <w:vAlign w:val="bottom"/>
            <w:gridSpan w:val="2"/>
          </w:tcPr>
          <w:p>
            <w:pPr>
              <w:ind w:left="280"/>
              <w:spacing w:after="0"/>
              <w:rPr>
                <w:sz w:val="20"/>
                <w:szCs w:val="20"/>
                <w:color w:val="auto"/>
              </w:rPr>
            </w:pPr>
            <w:r>
              <w:rPr>
                <w:rFonts w:ascii="Arial" w:cs="Arial" w:eastAsia="Arial" w:hAnsi="Arial"/>
                <w:sz w:val="18"/>
                <w:szCs w:val="18"/>
                <w:color w:val="auto"/>
              </w:rPr>
              <w:t>Due in 1 year</w:t>
            </w:r>
          </w:p>
        </w:tc>
        <w:tc>
          <w:tcPr>
            <w:tcW w:w="380" w:type="dxa"/>
            <w:vAlign w:val="bottom"/>
          </w:tcPr>
          <w:p>
            <w:pPr>
              <w:spacing w:after="0"/>
              <w:rPr>
                <w:sz w:val="21"/>
                <w:szCs w:val="21"/>
                <w:color w:val="auto"/>
              </w:rPr>
            </w:pPr>
          </w:p>
        </w:tc>
        <w:tc>
          <w:tcPr>
            <w:tcW w:w="1560" w:type="dxa"/>
            <w:vAlign w:val="bottom"/>
          </w:tcPr>
          <w:p>
            <w:pPr>
              <w:jc w:val="right"/>
              <w:ind w:right="31"/>
              <w:spacing w:after="0"/>
              <w:rPr>
                <w:sz w:val="20"/>
                <w:szCs w:val="20"/>
                <w:color w:val="auto"/>
              </w:rPr>
            </w:pPr>
            <w:r>
              <w:rPr>
                <w:rFonts w:ascii="Arial" w:cs="Arial" w:eastAsia="Arial" w:hAnsi="Arial"/>
                <w:sz w:val="18"/>
                <w:szCs w:val="18"/>
                <w:color w:val="auto"/>
              </w:rPr>
              <w:t>2,408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2,413</w:t>
            </w:r>
          </w:p>
        </w:tc>
        <w:tc>
          <w:tcPr>
            <w:tcW w:w="0" w:type="dxa"/>
            <w:vAlign w:val="bottom"/>
          </w:tcPr>
          <w:p>
            <w:pPr>
              <w:spacing w:after="0"/>
              <w:rPr>
                <w:sz w:val="1"/>
                <w:szCs w:val="1"/>
                <w:color w:val="auto"/>
              </w:rPr>
            </w:pPr>
          </w:p>
        </w:tc>
      </w:tr>
      <w:tr>
        <w:trPr>
          <w:trHeight w:val="27"/>
        </w:trPr>
        <w:tc>
          <w:tcPr>
            <w:tcW w:w="7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Due after 1 but within 5 years</w:t>
            </w:r>
          </w:p>
        </w:tc>
        <w:tc>
          <w:tcPr>
            <w:tcW w:w="38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12,140</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12,244</w:t>
            </w:r>
          </w:p>
        </w:tc>
        <w:tc>
          <w:tcPr>
            <w:tcW w:w="0" w:type="dxa"/>
            <w:vAlign w:val="bottom"/>
          </w:tcPr>
          <w:p>
            <w:pPr>
              <w:spacing w:after="0"/>
              <w:rPr>
                <w:sz w:val="1"/>
                <w:szCs w:val="1"/>
                <w:color w:val="auto"/>
              </w:rPr>
            </w:pPr>
          </w:p>
        </w:tc>
      </w:tr>
      <w:tr>
        <w:trPr>
          <w:trHeight w:val="237"/>
        </w:trPr>
        <w:tc>
          <w:tcPr>
            <w:tcW w:w="7420" w:type="dxa"/>
            <w:vAlign w:val="bottom"/>
            <w:gridSpan w:val="2"/>
          </w:tcPr>
          <w:p>
            <w:pPr>
              <w:ind w:left="500"/>
              <w:spacing w:after="0"/>
              <w:rPr>
                <w:sz w:val="20"/>
                <w:szCs w:val="20"/>
                <w:color w:val="auto"/>
              </w:rPr>
            </w:pPr>
            <w:r>
              <w:rPr>
                <w:rFonts w:ascii="Arial" w:cs="Arial" w:eastAsia="Arial" w:hAnsi="Arial"/>
                <w:sz w:val="18"/>
                <w:szCs w:val="18"/>
                <w:color w:val="auto"/>
              </w:rPr>
              <w:t>Subtotal</w:t>
            </w:r>
          </w:p>
        </w:tc>
        <w:tc>
          <w:tcPr>
            <w:tcW w:w="38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14,548</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14,657</w:t>
            </w:r>
          </w:p>
        </w:tc>
        <w:tc>
          <w:tcPr>
            <w:tcW w:w="0" w:type="dxa"/>
            <w:vAlign w:val="bottom"/>
          </w:tcPr>
          <w:p>
            <w:pPr>
              <w:spacing w:after="0"/>
              <w:rPr>
                <w:sz w:val="1"/>
                <w:szCs w:val="1"/>
                <w:color w:val="auto"/>
              </w:rPr>
            </w:pPr>
          </w:p>
        </w:tc>
      </w:tr>
      <w:tr>
        <w:trPr>
          <w:trHeight w:val="27"/>
        </w:trPr>
        <w:tc>
          <w:tcPr>
            <w:tcW w:w="7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Municipal debt securities:</w:t>
            </w:r>
          </w:p>
        </w:tc>
        <w:tc>
          <w:tcPr>
            <w:tcW w:w="38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420" w:type="dxa"/>
            <w:vAlign w:val="bottom"/>
            <w:gridSpan w:val="2"/>
          </w:tcPr>
          <w:p>
            <w:pPr>
              <w:ind w:left="280"/>
              <w:spacing w:after="0"/>
              <w:rPr>
                <w:sz w:val="20"/>
                <w:szCs w:val="20"/>
                <w:color w:val="auto"/>
              </w:rPr>
            </w:pPr>
            <w:r>
              <w:rPr>
                <w:rFonts w:ascii="Arial" w:cs="Arial" w:eastAsia="Arial" w:hAnsi="Arial"/>
                <w:sz w:val="18"/>
                <w:szCs w:val="18"/>
                <w:color w:val="auto"/>
              </w:rPr>
              <w:t>Due in 1 year</w:t>
            </w:r>
          </w:p>
        </w:tc>
        <w:tc>
          <w:tcPr>
            <w:tcW w:w="380" w:type="dxa"/>
            <w:vAlign w:val="bottom"/>
          </w:tcPr>
          <w:p>
            <w:pPr>
              <w:spacing w:after="0"/>
              <w:rPr>
                <w:sz w:val="21"/>
                <w:szCs w:val="21"/>
                <w:color w:val="auto"/>
              </w:rPr>
            </w:pPr>
          </w:p>
        </w:tc>
        <w:tc>
          <w:tcPr>
            <w:tcW w:w="1560" w:type="dxa"/>
            <w:vAlign w:val="bottom"/>
          </w:tcPr>
          <w:p>
            <w:pPr>
              <w:jc w:val="right"/>
              <w:ind w:right="31"/>
              <w:spacing w:after="0"/>
              <w:rPr>
                <w:sz w:val="20"/>
                <w:szCs w:val="20"/>
                <w:color w:val="auto"/>
              </w:rPr>
            </w:pPr>
            <w:r>
              <w:rPr>
                <w:rFonts w:ascii="Arial" w:cs="Arial" w:eastAsia="Arial" w:hAnsi="Arial"/>
                <w:sz w:val="18"/>
                <w:szCs w:val="18"/>
                <w:color w:val="auto"/>
              </w:rPr>
              <w:t>2,043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2,044</w:t>
            </w:r>
          </w:p>
        </w:tc>
        <w:tc>
          <w:tcPr>
            <w:tcW w:w="0" w:type="dxa"/>
            <w:vAlign w:val="bottom"/>
          </w:tcPr>
          <w:p>
            <w:pPr>
              <w:spacing w:after="0"/>
              <w:rPr>
                <w:sz w:val="1"/>
                <w:szCs w:val="1"/>
                <w:color w:val="auto"/>
              </w:rPr>
            </w:pPr>
          </w:p>
        </w:tc>
      </w:tr>
      <w:tr>
        <w:trPr>
          <w:trHeight w:val="27"/>
        </w:trPr>
        <w:tc>
          <w:tcPr>
            <w:tcW w:w="7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Due after 1 but within 5 years</w:t>
            </w:r>
          </w:p>
        </w:tc>
        <w:tc>
          <w:tcPr>
            <w:tcW w:w="3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86,093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87,061</w:t>
            </w:r>
          </w:p>
        </w:tc>
        <w:tc>
          <w:tcPr>
            <w:tcW w:w="0" w:type="dxa"/>
            <w:vAlign w:val="bottom"/>
          </w:tcPr>
          <w:p>
            <w:pPr>
              <w:spacing w:after="0"/>
              <w:rPr>
                <w:sz w:val="1"/>
                <w:szCs w:val="1"/>
                <w:color w:val="auto"/>
              </w:rPr>
            </w:pPr>
          </w:p>
        </w:tc>
      </w:tr>
      <w:tr>
        <w:trPr>
          <w:trHeight w:val="243"/>
        </w:trPr>
        <w:tc>
          <w:tcPr>
            <w:tcW w:w="7420" w:type="dxa"/>
            <w:vAlign w:val="bottom"/>
            <w:gridSpan w:val="2"/>
          </w:tcPr>
          <w:p>
            <w:pPr>
              <w:ind w:left="280"/>
              <w:spacing w:after="0"/>
              <w:rPr>
                <w:sz w:val="20"/>
                <w:szCs w:val="20"/>
                <w:color w:val="auto"/>
              </w:rPr>
            </w:pPr>
            <w:r>
              <w:rPr>
                <w:rFonts w:ascii="Arial" w:cs="Arial" w:eastAsia="Arial" w:hAnsi="Arial"/>
                <w:sz w:val="18"/>
                <w:szCs w:val="18"/>
                <w:color w:val="auto"/>
              </w:rPr>
              <w:t>Due after 5 but within 10 years</w:t>
            </w:r>
          </w:p>
        </w:tc>
        <w:tc>
          <w:tcPr>
            <w:tcW w:w="380" w:type="dxa"/>
            <w:vAlign w:val="bottom"/>
          </w:tcPr>
          <w:p>
            <w:pPr>
              <w:spacing w:after="0"/>
              <w:rPr>
                <w:sz w:val="21"/>
                <w:szCs w:val="21"/>
                <w:color w:val="auto"/>
              </w:rPr>
            </w:pPr>
          </w:p>
        </w:tc>
        <w:tc>
          <w:tcPr>
            <w:tcW w:w="1560" w:type="dxa"/>
            <w:vAlign w:val="bottom"/>
          </w:tcPr>
          <w:p>
            <w:pPr>
              <w:jc w:val="right"/>
              <w:ind w:right="31"/>
              <w:spacing w:after="0"/>
              <w:rPr>
                <w:sz w:val="20"/>
                <w:szCs w:val="20"/>
                <w:color w:val="auto"/>
              </w:rPr>
            </w:pPr>
            <w:r>
              <w:rPr>
                <w:rFonts w:ascii="Arial" w:cs="Arial" w:eastAsia="Arial" w:hAnsi="Arial"/>
                <w:sz w:val="18"/>
                <w:szCs w:val="18"/>
                <w:color w:val="auto"/>
              </w:rPr>
              <w:t>106,907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112,055</w:t>
            </w:r>
          </w:p>
        </w:tc>
        <w:tc>
          <w:tcPr>
            <w:tcW w:w="0" w:type="dxa"/>
            <w:vAlign w:val="bottom"/>
          </w:tcPr>
          <w:p>
            <w:pPr>
              <w:spacing w:after="0"/>
              <w:rPr>
                <w:sz w:val="1"/>
                <w:szCs w:val="1"/>
                <w:color w:val="auto"/>
              </w:rPr>
            </w:pPr>
          </w:p>
        </w:tc>
      </w:tr>
      <w:tr>
        <w:trPr>
          <w:trHeight w:val="27"/>
        </w:trPr>
        <w:tc>
          <w:tcPr>
            <w:tcW w:w="7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Due after 10 years</w:t>
            </w:r>
          </w:p>
        </w:tc>
        <w:tc>
          <w:tcPr>
            <w:tcW w:w="38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98,405</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102,951</w:t>
            </w:r>
          </w:p>
        </w:tc>
        <w:tc>
          <w:tcPr>
            <w:tcW w:w="0" w:type="dxa"/>
            <w:vAlign w:val="bottom"/>
          </w:tcPr>
          <w:p>
            <w:pPr>
              <w:spacing w:after="0"/>
              <w:rPr>
                <w:sz w:val="1"/>
                <w:szCs w:val="1"/>
                <w:color w:val="auto"/>
              </w:rPr>
            </w:pPr>
          </w:p>
        </w:tc>
      </w:tr>
      <w:tr>
        <w:trPr>
          <w:trHeight w:val="237"/>
        </w:trPr>
        <w:tc>
          <w:tcPr>
            <w:tcW w:w="7420" w:type="dxa"/>
            <w:vAlign w:val="bottom"/>
            <w:gridSpan w:val="2"/>
          </w:tcPr>
          <w:p>
            <w:pPr>
              <w:ind w:left="500"/>
              <w:spacing w:after="0"/>
              <w:rPr>
                <w:sz w:val="20"/>
                <w:szCs w:val="20"/>
                <w:color w:val="auto"/>
              </w:rPr>
            </w:pPr>
            <w:r>
              <w:rPr>
                <w:rFonts w:ascii="Arial" w:cs="Arial" w:eastAsia="Arial" w:hAnsi="Arial"/>
                <w:sz w:val="18"/>
                <w:szCs w:val="18"/>
                <w:color w:val="auto"/>
              </w:rPr>
              <w:t>Subtotal</w:t>
            </w:r>
          </w:p>
        </w:tc>
        <w:tc>
          <w:tcPr>
            <w:tcW w:w="38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293,448</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304,111</w:t>
            </w:r>
          </w:p>
        </w:tc>
        <w:tc>
          <w:tcPr>
            <w:tcW w:w="0" w:type="dxa"/>
            <w:vAlign w:val="bottom"/>
          </w:tcPr>
          <w:p>
            <w:pPr>
              <w:spacing w:after="0"/>
              <w:rPr>
                <w:sz w:val="1"/>
                <w:szCs w:val="1"/>
                <w:color w:val="auto"/>
              </w:rPr>
            </w:pPr>
          </w:p>
        </w:tc>
      </w:tr>
      <w:tr>
        <w:trPr>
          <w:trHeight w:val="27"/>
        </w:trPr>
        <w:tc>
          <w:tcPr>
            <w:tcW w:w="7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Corporate debt securities:</w:t>
            </w:r>
          </w:p>
        </w:tc>
        <w:tc>
          <w:tcPr>
            <w:tcW w:w="38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420" w:type="dxa"/>
            <w:vAlign w:val="bottom"/>
            <w:gridSpan w:val="2"/>
          </w:tcPr>
          <w:p>
            <w:pPr>
              <w:ind w:left="280"/>
              <w:spacing w:after="0"/>
              <w:rPr>
                <w:sz w:val="20"/>
                <w:szCs w:val="20"/>
                <w:color w:val="auto"/>
              </w:rPr>
            </w:pPr>
            <w:r>
              <w:rPr>
                <w:rFonts w:ascii="Arial" w:cs="Arial" w:eastAsia="Arial" w:hAnsi="Arial"/>
                <w:sz w:val="18"/>
                <w:szCs w:val="18"/>
                <w:color w:val="auto"/>
              </w:rPr>
              <w:t>Due in 1 year</w:t>
            </w:r>
          </w:p>
        </w:tc>
        <w:tc>
          <w:tcPr>
            <w:tcW w:w="380" w:type="dxa"/>
            <w:vAlign w:val="bottom"/>
          </w:tcPr>
          <w:p>
            <w:pPr>
              <w:spacing w:after="0"/>
              <w:rPr>
                <w:sz w:val="21"/>
                <w:szCs w:val="21"/>
                <w:color w:val="auto"/>
              </w:rPr>
            </w:pPr>
          </w:p>
        </w:tc>
        <w:tc>
          <w:tcPr>
            <w:tcW w:w="1560" w:type="dxa"/>
            <w:vAlign w:val="bottom"/>
          </w:tcPr>
          <w:p>
            <w:pPr>
              <w:jc w:val="right"/>
              <w:ind w:right="31"/>
              <w:spacing w:after="0"/>
              <w:rPr>
                <w:sz w:val="20"/>
                <w:szCs w:val="20"/>
                <w:color w:val="auto"/>
              </w:rPr>
            </w:pPr>
            <w:r>
              <w:rPr>
                <w:rFonts w:ascii="Arial" w:cs="Arial" w:eastAsia="Arial" w:hAnsi="Arial"/>
                <w:sz w:val="18"/>
                <w:szCs w:val="18"/>
                <w:color w:val="auto"/>
              </w:rPr>
              <w:t>20,135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20,124</w:t>
            </w:r>
          </w:p>
        </w:tc>
        <w:tc>
          <w:tcPr>
            <w:tcW w:w="0" w:type="dxa"/>
            <w:vAlign w:val="bottom"/>
          </w:tcPr>
          <w:p>
            <w:pPr>
              <w:spacing w:after="0"/>
              <w:rPr>
                <w:sz w:val="1"/>
                <w:szCs w:val="1"/>
                <w:color w:val="auto"/>
              </w:rPr>
            </w:pPr>
          </w:p>
        </w:tc>
      </w:tr>
      <w:tr>
        <w:trPr>
          <w:trHeight w:val="27"/>
        </w:trPr>
        <w:tc>
          <w:tcPr>
            <w:tcW w:w="7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Due after 1 but within 5 years</w:t>
            </w:r>
          </w:p>
        </w:tc>
        <w:tc>
          <w:tcPr>
            <w:tcW w:w="3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265,999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267,539</w:t>
            </w:r>
          </w:p>
        </w:tc>
        <w:tc>
          <w:tcPr>
            <w:tcW w:w="0" w:type="dxa"/>
            <w:vAlign w:val="bottom"/>
          </w:tcPr>
          <w:p>
            <w:pPr>
              <w:spacing w:after="0"/>
              <w:rPr>
                <w:sz w:val="1"/>
                <w:szCs w:val="1"/>
                <w:color w:val="auto"/>
              </w:rPr>
            </w:pPr>
          </w:p>
        </w:tc>
      </w:tr>
      <w:tr>
        <w:trPr>
          <w:trHeight w:val="243"/>
        </w:trPr>
        <w:tc>
          <w:tcPr>
            <w:tcW w:w="7420" w:type="dxa"/>
            <w:vAlign w:val="bottom"/>
            <w:gridSpan w:val="2"/>
          </w:tcPr>
          <w:p>
            <w:pPr>
              <w:ind w:left="280"/>
              <w:spacing w:after="0"/>
              <w:rPr>
                <w:sz w:val="20"/>
                <w:szCs w:val="20"/>
                <w:color w:val="auto"/>
              </w:rPr>
            </w:pPr>
            <w:r>
              <w:rPr>
                <w:rFonts w:ascii="Arial" w:cs="Arial" w:eastAsia="Arial" w:hAnsi="Arial"/>
                <w:sz w:val="18"/>
                <w:szCs w:val="18"/>
                <w:color w:val="auto"/>
              </w:rPr>
              <w:t>Due after 5 but within 10 years</w:t>
            </w:r>
          </w:p>
        </w:tc>
        <w:tc>
          <w:tcPr>
            <w:tcW w:w="380" w:type="dxa"/>
            <w:vAlign w:val="bottom"/>
          </w:tcPr>
          <w:p>
            <w:pPr>
              <w:spacing w:after="0"/>
              <w:rPr>
                <w:sz w:val="21"/>
                <w:szCs w:val="21"/>
                <w:color w:val="auto"/>
              </w:rPr>
            </w:pPr>
          </w:p>
        </w:tc>
        <w:tc>
          <w:tcPr>
            <w:tcW w:w="1560" w:type="dxa"/>
            <w:vAlign w:val="bottom"/>
          </w:tcPr>
          <w:p>
            <w:pPr>
              <w:jc w:val="right"/>
              <w:ind w:right="31"/>
              <w:spacing w:after="0"/>
              <w:rPr>
                <w:sz w:val="20"/>
                <w:szCs w:val="20"/>
                <w:color w:val="auto"/>
              </w:rPr>
            </w:pPr>
            <w:r>
              <w:rPr>
                <w:rFonts w:ascii="Arial" w:cs="Arial" w:eastAsia="Arial" w:hAnsi="Arial"/>
                <w:sz w:val="18"/>
                <w:szCs w:val="18"/>
                <w:color w:val="auto"/>
              </w:rPr>
              <w:t>124,875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128,491</w:t>
            </w:r>
          </w:p>
        </w:tc>
        <w:tc>
          <w:tcPr>
            <w:tcW w:w="0" w:type="dxa"/>
            <w:vAlign w:val="bottom"/>
          </w:tcPr>
          <w:p>
            <w:pPr>
              <w:spacing w:after="0"/>
              <w:rPr>
                <w:sz w:val="1"/>
                <w:szCs w:val="1"/>
                <w:color w:val="auto"/>
              </w:rPr>
            </w:pPr>
          </w:p>
        </w:tc>
      </w:tr>
      <w:tr>
        <w:trPr>
          <w:trHeight w:val="27"/>
        </w:trPr>
        <w:tc>
          <w:tcPr>
            <w:tcW w:w="7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Due after 10 years</w:t>
            </w:r>
          </w:p>
        </w:tc>
        <w:tc>
          <w:tcPr>
            <w:tcW w:w="38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518</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534</w:t>
            </w:r>
          </w:p>
        </w:tc>
        <w:tc>
          <w:tcPr>
            <w:tcW w:w="0" w:type="dxa"/>
            <w:vAlign w:val="bottom"/>
          </w:tcPr>
          <w:p>
            <w:pPr>
              <w:spacing w:after="0"/>
              <w:rPr>
                <w:sz w:val="1"/>
                <w:szCs w:val="1"/>
                <w:color w:val="auto"/>
              </w:rPr>
            </w:pPr>
          </w:p>
        </w:tc>
      </w:tr>
      <w:tr>
        <w:trPr>
          <w:trHeight w:val="237"/>
        </w:trPr>
        <w:tc>
          <w:tcPr>
            <w:tcW w:w="7420" w:type="dxa"/>
            <w:vAlign w:val="bottom"/>
            <w:gridSpan w:val="2"/>
          </w:tcPr>
          <w:p>
            <w:pPr>
              <w:ind w:left="500"/>
              <w:spacing w:after="0"/>
              <w:rPr>
                <w:sz w:val="20"/>
                <w:szCs w:val="20"/>
                <w:color w:val="auto"/>
              </w:rPr>
            </w:pPr>
            <w:r>
              <w:rPr>
                <w:rFonts w:ascii="Arial" w:cs="Arial" w:eastAsia="Arial" w:hAnsi="Arial"/>
                <w:sz w:val="18"/>
                <w:szCs w:val="18"/>
                <w:color w:val="auto"/>
              </w:rPr>
              <w:t>Subtotal</w:t>
            </w:r>
          </w:p>
        </w:tc>
        <w:tc>
          <w:tcPr>
            <w:tcW w:w="38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411,527</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416,688</w:t>
            </w:r>
          </w:p>
        </w:tc>
        <w:tc>
          <w:tcPr>
            <w:tcW w:w="0" w:type="dxa"/>
            <w:vAlign w:val="bottom"/>
          </w:tcPr>
          <w:p>
            <w:pPr>
              <w:spacing w:after="0"/>
              <w:rPr>
                <w:sz w:val="1"/>
                <w:szCs w:val="1"/>
                <w:color w:val="auto"/>
              </w:rPr>
            </w:pPr>
          </w:p>
        </w:tc>
      </w:tr>
      <w:tr>
        <w:trPr>
          <w:trHeight w:val="27"/>
        </w:trPr>
        <w:tc>
          <w:tcPr>
            <w:tcW w:w="7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U.S. agency mortgage-backed securities</w:t>
            </w:r>
          </w:p>
        </w:tc>
        <w:tc>
          <w:tcPr>
            <w:tcW w:w="38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176,000</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178,003</w:t>
            </w:r>
          </w:p>
        </w:tc>
        <w:tc>
          <w:tcPr>
            <w:tcW w:w="0" w:type="dxa"/>
            <w:vAlign w:val="bottom"/>
          </w:tcPr>
          <w:p>
            <w:pPr>
              <w:spacing w:after="0"/>
              <w:rPr>
                <w:sz w:val="1"/>
                <w:szCs w:val="1"/>
                <w:color w:val="auto"/>
              </w:rPr>
            </w:pPr>
          </w:p>
        </w:tc>
      </w:tr>
      <w:tr>
        <w:trPr>
          <w:trHeight w:val="237"/>
        </w:trPr>
        <w:tc>
          <w:tcPr>
            <w:tcW w:w="7420" w:type="dxa"/>
            <w:vAlign w:val="bottom"/>
            <w:gridSpan w:val="2"/>
          </w:tcPr>
          <w:p>
            <w:pPr>
              <w:ind w:left="40"/>
              <w:spacing w:after="0"/>
              <w:rPr>
                <w:sz w:val="20"/>
                <w:szCs w:val="20"/>
                <w:color w:val="auto"/>
              </w:rPr>
            </w:pPr>
            <w:r>
              <w:rPr>
                <w:rFonts w:ascii="Arial" w:cs="Arial" w:eastAsia="Arial" w:hAnsi="Arial"/>
                <w:sz w:val="18"/>
                <w:szCs w:val="18"/>
                <w:color w:val="auto"/>
              </w:rPr>
              <w:t>Mortgage-backed securities</w:t>
            </w:r>
          </w:p>
        </w:tc>
        <w:tc>
          <w:tcPr>
            <w:tcW w:w="38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53,171</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53,046</w:t>
            </w:r>
          </w:p>
        </w:tc>
        <w:tc>
          <w:tcPr>
            <w:tcW w:w="0" w:type="dxa"/>
            <w:vAlign w:val="bottom"/>
          </w:tcPr>
          <w:p>
            <w:pPr>
              <w:spacing w:after="0"/>
              <w:rPr>
                <w:sz w:val="1"/>
                <w:szCs w:val="1"/>
                <w:color w:val="auto"/>
              </w:rPr>
            </w:pPr>
          </w:p>
        </w:tc>
      </w:tr>
      <w:tr>
        <w:trPr>
          <w:trHeight w:val="27"/>
        </w:trPr>
        <w:tc>
          <w:tcPr>
            <w:tcW w:w="7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Asset-backed securities</w:t>
            </w:r>
          </w:p>
        </w:tc>
        <w:tc>
          <w:tcPr>
            <w:tcW w:w="38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123,123</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121,729</w:t>
            </w:r>
          </w:p>
        </w:tc>
        <w:tc>
          <w:tcPr>
            <w:tcW w:w="0" w:type="dxa"/>
            <w:vAlign w:val="bottom"/>
          </w:tcPr>
          <w:p>
            <w:pPr>
              <w:spacing w:after="0"/>
              <w:rPr>
                <w:sz w:val="1"/>
                <w:szCs w:val="1"/>
                <w:color w:val="auto"/>
              </w:rPr>
            </w:pPr>
          </w:p>
        </w:tc>
      </w:tr>
      <w:tr>
        <w:trPr>
          <w:trHeight w:val="237"/>
        </w:trPr>
        <w:tc>
          <w:tcPr>
            <w:tcW w:w="7420" w:type="dxa"/>
            <w:vAlign w:val="bottom"/>
            <w:gridSpan w:val="2"/>
          </w:tcPr>
          <w:p>
            <w:pPr>
              <w:ind w:left="40"/>
              <w:spacing w:after="0"/>
              <w:rPr>
                <w:sz w:val="20"/>
                <w:szCs w:val="20"/>
                <w:color w:val="auto"/>
              </w:rPr>
            </w:pPr>
            <w:r>
              <w:rPr>
                <w:rFonts w:ascii="Arial" w:cs="Arial" w:eastAsia="Arial" w:hAnsi="Arial"/>
                <w:sz w:val="18"/>
                <w:szCs w:val="18"/>
                <w:color w:val="auto"/>
              </w:rPr>
              <w:t>Money market funds</w:t>
            </w:r>
          </w:p>
        </w:tc>
        <w:tc>
          <w:tcPr>
            <w:tcW w:w="38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68,488</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68,488</w:t>
            </w:r>
          </w:p>
        </w:tc>
        <w:tc>
          <w:tcPr>
            <w:tcW w:w="0" w:type="dxa"/>
            <w:vAlign w:val="bottom"/>
          </w:tcPr>
          <w:p>
            <w:pPr>
              <w:spacing w:after="0"/>
              <w:rPr>
                <w:sz w:val="1"/>
                <w:szCs w:val="1"/>
                <w:color w:val="auto"/>
              </w:rPr>
            </w:pPr>
          </w:p>
        </w:tc>
      </w:tr>
      <w:tr>
        <w:trPr>
          <w:trHeight w:val="27"/>
        </w:trPr>
        <w:tc>
          <w:tcPr>
            <w:tcW w:w="7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investments available for sale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1,348,767</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1,368,502</w:t>
            </w:r>
          </w:p>
        </w:tc>
        <w:tc>
          <w:tcPr>
            <w:tcW w:w="0" w:type="dxa"/>
            <w:vAlign w:val="bottom"/>
          </w:tcPr>
          <w:p>
            <w:pPr>
              <w:spacing w:after="0"/>
              <w:rPr>
                <w:sz w:val="1"/>
                <w:szCs w:val="1"/>
                <w:color w:val="auto"/>
              </w:rPr>
            </w:pPr>
          </w:p>
        </w:tc>
      </w:tr>
      <w:tr>
        <w:trPr>
          <w:trHeight w:val="20"/>
        </w:trPr>
        <w:tc>
          <w:tcPr>
            <w:tcW w:w="7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25" w:right="259" w:bottom="1440" w:gutter="0" w:footer="0" w:header="0"/>
        </w:sect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00"/>
          </w:cols>
          <w:pgMar w:left="240" w:top="125" w:right="259" w:bottom="1440" w:gutter="0" w:footer="0" w:header="0"/>
          <w:type w:val="continuous"/>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7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Gross gains and losses realized on the sale of investments available for sale were as follows: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556"/>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0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9"/>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2015</w:t>
            </w: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Realized gross gains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1,148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788</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Realized gross losses</w:t>
            </w:r>
          </w:p>
        </w:tc>
        <w:tc>
          <w:tcPr>
            <w:tcW w:w="380" w:type="dxa"/>
            <w:vAlign w:val="bottom"/>
          </w:tcPr>
          <w:p>
            <w:pPr>
              <w:spacing w:after="0"/>
              <w:rPr>
                <w:sz w:val="21"/>
                <w:szCs w:val="21"/>
                <w:color w:val="auto"/>
              </w:rPr>
            </w:pPr>
          </w:p>
        </w:tc>
        <w:tc>
          <w:tcPr>
            <w:tcW w:w="1220" w:type="dxa"/>
            <w:vAlign w:val="bottom"/>
          </w:tcPr>
          <w:p>
            <w:pPr>
              <w:jc w:val="right"/>
              <w:ind w:right="19"/>
              <w:spacing w:after="0"/>
              <w:rPr>
                <w:sz w:val="20"/>
                <w:szCs w:val="20"/>
                <w:color w:val="auto"/>
              </w:rPr>
            </w:pPr>
            <w:r>
              <w:rPr>
                <w:rFonts w:ascii="Arial" w:cs="Arial" w:eastAsia="Arial" w:hAnsi="Arial"/>
                <w:sz w:val="18"/>
                <w:szCs w:val="18"/>
                <w:color w:val="auto"/>
              </w:rPr>
              <w:t>670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139</w:t>
            </w: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fair value of investments in an unrealized loss position and the related unrealized losses were as follows: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4"/>
          </w:tcPr>
          <w:p>
            <w:pPr>
              <w:jc w:val="right"/>
              <w:ind w:right="475"/>
              <w:spacing w:after="0"/>
              <w:rPr>
                <w:sz w:val="20"/>
                <w:szCs w:val="20"/>
                <w:color w:val="auto"/>
              </w:rPr>
            </w:pPr>
            <w:r>
              <w:rPr>
                <w:rFonts w:ascii="Arial" w:cs="Arial" w:eastAsia="Arial" w:hAnsi="Arial"/>
                <w:sz w:val="14"/>
                <w:szCs w:val="14"/>
                <w:b w:val="1"/>
                <w:bCs w:val="1"/>
                <w:color w:val="auto"/>
              </w:rPr>
              <w:t>Less than 12 months</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4"/>
          </w:tcPr>
          <w:p>
            <w:pPr>
              <w:jc w:val="right"/>
              <w:ind w:right="495"/>
              <w:spacing w:after="0"/>
              <w:rPr>
                <w:sz w:val="20"/>
                <w:szCs w:val="20"/>
                <w:color w:val="auto"/>
              </w:rPr>
            </w:pPr>
            <w:r>
              <w:rPr>
                <w:rFonts w:ascii="Arial" w:cs="Arial" w:eastAsia="Arial" w:hAnsi="Arial"/>
                <w:sz w:val="14"/>
                <w:szCs w:val="14"/>
                <w:b w:val="1"/>
                <w:bCs w:val="1"/>
                <w:color w:val="auto"/>
              </w:rPr>
              <w:t>12 months or more</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9"/>
              </w:rPr>
              <w:t>Total</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rPr>
              <w:t>Fair</w:t>
            </w:r>
          </w:p>
        </w:tc>
        <w:tc>
          <w:tcPr>
            <w:tcW w:w="180" w:type="dxa"/>
            <w:vAlign w:val="bottom"/>
          </w:tcPr>
          <w:p>
            <w:pPr>
              <w:spacing w:after="0"/>
              <w:rPr>
                <w:sz w:val="13"/>
                <w:szCs w:val="13"/>
                <w:color w:val="auto"/>
              </w:rPr>
            </w:pPr>
          </w:p>
        </w:tc>
        <w:tc>
          <w:tcPr>
            <w:tcW w:w="108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88"/>
              </w:rPr>
              <w:t>Gross</w:t>
            </w:r>
          </w:p>
        </w:tc>
        <w:tc>
          <w:tcPr>
            <w:tcW w:w="240" w:type="dxa"/>
            <w:vAlign w:val="bottom"/>
          </w:tcPr>
          <w:p>
            <w:pPr>
              <w:spacing w:after="0"/>
              <w:rPr>
                <w:sz w:val="13"/>
                <w:szCs w:val="13"/>
                <w:color w:val="auto"/>
              </w:rPr>
            </w:pPr>
          </w:p>
        </w:tc>
        <w:tc>
          <w:tcPr>
            <w:tcW w:w="100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rPr>
              <w:t>Fair</w:t>
            </w:r>
          </w:p>
        </w:tc>
        <w:tc>
          <w:tcPr>
            <w:tcW w:w="160" w:type="dxa"/>
            <w:vAlign w:val="bottom"/>
          </w:tcPr>
          <w:p>
            <w:pPr>
              <w:spacing w:after="0"/>
              <w:rPr>
                <w:sz w:val="13"/>
                <w:szCs w:val="13"/>
                <w:color w:val="auto"/>
              </w:rPr>
            </w:pPr>
          </w:p>
        </w:tc>
        <w:tc>
          <w:tcPr>
            <w:tcW w:w="108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88"/>
              </w:rPr>
              <w:t>Gross</w:t>
            </w:r>
          </w:p>
        </w:tc>
        <w:tc>
          <w:tcPr>
            <w:tcW w:w="260" w:type="dxa"/>
            <w:vAlign w:val="bottom"/>
          </w:tcPr>
          <w:p>
            <w:pPr>
              <w:spacing w:after="0"/>
              <w:rPr>
                <w:sz w:val="13"/>
                <w:szCs w:val="13"/>
                <w:color w:val="auto"/>
              </w:rPr>
            </w:pPr>
          </w:p>
        </w:tc>
        <w:tc>
          <w:tcPr>
            <w:tcW w:w="780" w:type="dxa"/>
            <w:vAlign w:val="bottom"/>
            <w:vMerge w:val="restart"/>
          </w:tcPr>
          <w:p>
            <w:pPr>
              <w:jc w:val="center"/>
              <w:ind w:right="74"/>
              <w:spacing w:after="0"/>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jc w:val="center"/>
              <w:ind w:right="115"/>
              <w:spacing w:after="0" w:line="153" w:lineRule="exact"/>
              <w:rPr>
                <w:sz w:val="20"/>
                <w:szCs w:val="20"/>
                <w:color w:val="auto"/>
              </w:rPr>
            </w:pPr>
            <w:r>
              <w:rPr>
                <w:rFonts w:ascii="Arial" w:cs="Arial" w:eastAsia="Arial" w:hAnsi="Arial"/>
                <w:sz w:val="14"/>
                <w:szCs w:val="14"/>
                <w:b w:val="1"/>
                <w:bCs w:val="1"/>
                <w:color w:val="auto"/>
                <w:w w:val="88"/>
              </w:rPr>
              <w:t>Gross</w:t>
            </w:r>
          </w:p>
        </w:tc>
        <w:tc>
          <w:tcPr>
            <w:tcW w:w="0" w:type="dxa"/>
            <w:vAlign w:val="bottom"/>
          </w:tcPr>
          <w:p>
            <w:pPr>
              <w:spacing w:after="0"/>
              <w:rPr>
                <w:sz w:val="1"/>
                <w:szCs w:val="1"/>
                <w:color w:val="auto"/>
              </w:rPr>
            </w:pPr>
          </w:p>
        </w:tc>
      </w:tr>
      <w:tr>
        <w:trPr>
          <w:trHeight w:val="149"/>
        </w:trPr>
        <w:tc>
          <w:tcPr>
            <w:tcW w:w="38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March 31, 2016 (In thousands)</w:t>
            </w:r>
          </w:p>
        </w:tc>
        <w:tc>
          <w:tcPr>
            <w:tcW w:w="120" w:type="dxa"/>
            <w:vAlign w:val="bottom"/>
            <w:vMerge w:val="restart"/>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Unrealized</w:t>
            </w:r>
          </w:p>
        </w:tc>
        <w:tc>
          <w:tcPr>
            <w:tcW w:w="2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Unrealized</w:t>
            </w:r>
          </w:p>
        </w:tc>
        <w:tc>
          <w:tcPr>
            <w:tcW w:w="26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center"/>
              <w:ind w:right="95"/>
              <w:spacing w:after="0" w:line="149" w:lineRule="exact"/>
              <w:rPr>
                <w:sz w:val="20"/>
                <w:szCs w:val="20"/>
                <w:color w:val="auto"/>
              </w:rPr>
            </w:pPr>
            <w:r>
              <w:rPr>
                <w:rFonts w:ascii="Arial" w:cs="Arial" w:eastAsia="Arial" w:hAnsi="Arial"/>
                <w:sz w:val="14"/>
                <w:szCs w:val="14"/>
                <w:b w:val="1"/>
                <w:bCs w:val="1"/>
                <w:color w:val="auto"/>
                <w:w w:val="93"/>
              </w:rPr>
              <w:t>Unrealized</w:t>
            </w:r>
          </w:p>
        </w:tc>
        <w:tc>
          <w:tcPr>
            <w:tcW w:w="0" w:type="dxa"/>
            <w:vAlign w:val="bottom"/>
          </w:tcPr>
          <w:p>
            <w:pPr>
              <w:spacing w:after="0"/>
              <w:rPr>
                <w:sz w:val="1"/>
                <w:szCs w:val="1"/>
                <w:color w:val="auto"/>
              </w:rPr>
            </w:pPr>
          </w:p>
        </w:tc>
      </w:tr>
      <w:tr>
        <w:trPr>
          <w:trHeight w:val="192"/>
        </w:trPr>
        <w:tc>
          <w:tcPr>
            <w:tcW w:w="38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195"/>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82"/>
              </w:rPr>
              <w:t>Losses</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w w:val="96"/>
              </w:rPr>
              <w:t>Value</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82"/>
              </w:rPr>
              <w:t>Losses</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82"/>
              </w:rPr>
              <w:t>Losses</w:t>
            </w: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U.S. Treasury securities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3,819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3,819</w:t>
            </w:r>
          </w:p>
        </w:tc>
        <w:tc>
          <w:tcPr>
            <w:tcW w:w="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3"/>
        </w:trPr>
        <w:tc>
          <w:tcPr>
            <w:tcW w:w="4000" w:type="dxa"/>
            <w:vAlign w:val="bottom"/>
            <w:gridSpan w:val="2"/>
          </w:tcPr>
          <w:p>
            <w:pPr>
              <w:ind w:left="40"/>
              <w:spacing w:after="0"/>
              <w:rPr>
                <w:sz w:val="20"/>
                <w:szCs w:val="20"/>
                <w:color w:val="auto"/>
              </w:rPr>
            </w:pPr>
            <w:r>
              <w:rPr>
                <w:rFonts w:ascii="Arial" w:cs="Arial" w:eastAsia="Arial" w:hAnsi="Arial"/>
                <w:sz w:val="18"/>
                <w:szCs w:val="18"/>
                <w:color w:val="auto"/>
              </w:rPr>
              <w:t>U.S. agency mortgage-backed securities</w:t>
            </w:r>
          </w:p>
        </w:tc>
        <w:tc>
          <w:tcPr>
            <w:tcW w:w="280" w:type="dxa"/>
            <w:vAlign w:val="bottom"/>
          </w:tcPr>
          <w:p>
            <w:pPr>
              <w:spacing w:after="0"/>
              <w:rPr>
                <w:sz w:val="21"/>
                <w:szCs w:val="21"/>
                <w:color w:val="auto"/>
              </w:rPr>
            </w:pP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17,479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5"/>
              <w:spacing w:after="0"/>
              <w:rPr>
                <w:sz w:val="20"/>
                <w:szCs w:val="20"/>
                <w:color w:val="auto"/>
              </w:rPr>
            </w:pPr>
            <w:r>
              <w:rPr>
                <w:rFonts w:ascii="Arial" w:cs="Arial" w:eastAsia="Arial" w:hAnsi="Arial"/>
                <w:sz w:val="18"/>
                <w:szCs w:val="18"/>
                <w:color w:val="auto"/>
              </w:rPr>
              <w:t>5,046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22,525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Municipal debt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21,414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4,616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26,030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43"/>
        </w:trPr>
        <w:tc>
          <w:tcPr>
            <w:tcW w:w="4000" w:type="dxa"/>
            <w:vAlign w:val="bottom"/>
            <w:gridSpan w:val="2"/>
          </w:tcPr>
          <w:p>
            <w:pPr>
              <w:ind w:left="40"/>
              <w:spacing w:after="0"/>
              <w:rPr>
                <w:sz w:val="20"/>
                <w:szCs w:val="20"/>
                <w:color w:val="auto"/>
              </w:rPr>
            </w:pPr>
            <w:r>
              <w:rPr>
                <w:rFonts w:ascii="Arial" w:cs="Arial" w:eastAsia="Arial" w:hAnsi="Arial"/>
                <w:sz w:val="18"/>
                <w:szCs w:val="18"/>
                <w:color w:val="auto"/>
              </w:rPr>
              <w:t>Corporate debt securities</w:t>
            </w:r>
          </w:p>
        </w:tc>
        <w:tc>
          <w:tcPr>
            <w:tcW w:w="280" w:type="dxa"/>
            <w:vAlign w:val="bottom"/>
          </w:tcPr>
          <w:p>
            <w:pPr>
              <w:spacing w:after="0"/>
              <w:rPr>
                <w:sz w:val="21"/>
                <w:szCs w:val="21"/>
                <w:color w:val="auto"/>
              </w:rPr>
            </w:pP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68,697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(930)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5"/>
              <w:spacing w:after="0"/>
              <w:rPr>
                <w:sz w:val="20"/>
                <w:szCs w:val="20"/>
                <w:color w:val="auto"/>
              </w:rPr>
            </w:pPr>
            <w:r>
              <w:rPr>
                <w:rFonts w:ascii="Arial" w:cs="Arial" w:eastAsia="Arial" w:hAnsi="Arial"/>
                <w:sz w:val="18"/>
                <w:szCs w:val="18"/>
                <w:color w:val="auto"/>
              </w:rPr>
              <w:t>20,307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89,004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(1,115)</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Mortgage-backed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9,984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23,319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33,303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(758)</w:t>
            </w:r>
          </w:p>
        </w:tc>
        <w:tc>
          <w:tcPr>
            <w:tcW w:w="0" w:type="dxa"/>
            <w:vAlign w:val="bottom"/>
          </w:tcPr>
          <w:p>
            <w:pPr>
              <w:spacing w:after="0"/>
              <w:rPr>
                <w:sz w:val="1"/>
                <w:szCs w:val="1"/>
                <w:color w:val="auto"/>
              </w:rPr>
            </w:pPr>
          </w:p>
        </w:tc>
      </w:tr>
      <w:tr>
        <w:trPr>
          <w:trHeight w:val="243"/>
        </w:trPr>
        <w:tc>
          <w:tcPr>
            <w:tcW w:w="4000" w:type="dxa"/>
            <w:vAlign w:val="bottom"/>
            <w:gridSpan w:val="2"/>
          </w:tcPr>
          <w:p>
            <w:pPr>
              <w:ind w:left="40"/>
              <w:spacing w:after="0"/>
              <w:rPr>
                <w:sz w:val="20"/>
                <w:szCs w:val="20"/>
                <w:color w:val="auto"/>
              </w:rPr>
            </w:pPr>
            <w:r>
              <w:rPr>
                <w:rFonts w:ascii="Arial" w:cs="Arial" w:eastAsia="Arial" w:hAnsi="Arial"/>
                <w:sz w:val="18"/>
                <w:szCs w:val="18"/>
                <w:color w:val="auto"/>
              </w:rPr>
              <w:t>Asset-backed securities</w:t>
            </w:r>
          </w:p>
        </w:tc>
        <w:tc>
          <w:tcPr>
            <w:tcW w:w="280" w:type="dxa"/>
            <w:vAlign w:val="bottom"/>
          </w:tcPr>
          <w:p>
            <w:pPr>
              <w:spacing w:after="0"/>
              <w:rPr>
                <w:sz w:val="21"/>
                <w:szCs w:val="21"/>
                <w:color w:val="auto"/>
              </w:rPr>
            </w:pP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67,435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(1,059)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5"/>
              <w:spacing w:after="0"/>
              <w:rPr>
                <w:sz w:val="20"/>
                <w:szCs w:val="20"/>
                <w:color w:val="auto"/>
              </w:rPr>
            </w:pPr>
            <w:r>
              <w:rPr>
                <w:rFonts w:ascii="Arial" w:cs="Arial" w:eastAsia="Arial" w:hAnsi="Arial"/>
                <w:sz w:val="18"/>
                <w:szCs w:val="18"/>
                <w:color w:val="auto"/>
              </w:rPr>
              <w:t>24,703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(538)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92,138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(1,597)</w:t>
            </w:r>
          </w:p>
        </w:tc>
        <w:tc>
          <w:tcPr>
            <w:tcW w:w="0" w:type="dxa"/>
            <w:vAlign w:val="bottom"/>
          </w:tcPr>
          <w:p>
            <w:pPr>
              <w:spacing w:after="0"/>
              <w:rPr>
                <w:sz w:val="1"/>
                <w:szCs w:val="1"/>
                <w:color w:val="auto"/>
              </w:rPr>
            </w:pPr>
          </w:p>
        </w:tc>
      </w:tr>
      <w:tr>
        <w:trPr>
          <w:trHeight w:val="27"/>
        </w:trPr>
        <w:tc>
          <w:tcPr>
            <w:tcW w:w="38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188,828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(2,449)</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77,991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266,819</w:t>
            </w:r>
          </w:p>
        </w:tc>
        <w:tc>
          <w:tcPr>
            <w:tcW w:w="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(3,753)</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6"/>
        </w:trPr>
        <w:tc>
          <w:tcPr>
            <w:tcW w:w="3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4"/>
          </w:tcPr>
          <w:p>
            <w:pPr>
              <w:jc w:val="right"/>
              <w:ind w:right="475"/>
              <w:spacing w:after="0"/>
              <w:rPr>
                <w:sz w:val="20"/>
                <w:szCs w:val="20"/>
                <w:color w:val="auto"/>
              </w:rPr>
            </w:pPr>
            <w:r>
              <w:rPr>
                <w:rFonts w:ascii="Arial" w:cs="Arial" w:eastAsia="Arial" w:hAnsi="Arial"/>
                <w:sz w:val="14"/>
                <w:szCs w:val="14"/>
                <w:b w:val="1"/>
                <w:bCs w:val="1"/>
                <w:color w:val="auto"/>
              </w:rPr>
              <w:t>Less than 12 months</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4"/>
          </w:tcPr>
          <w:p>
            <w:pPr>
              <w:jc w:val="right"/>
              <w:ind w:right="495"/>
              <w:spacing w:after="0"/>
              <w:rPr>
                <w:sz w:val="20"/>
                <w:szCs w:val="20"/>
                <w:color w:val="auto"/>
              </w:rPr>
            </w:pPr>
            <w:r>
              <w:rPr>
                <w:rFonts w:ascii="Arial" w:cs="Arial" w:eastAsia="Arial" w:hAnsi="Arial"/>
                <w:sz w:val="14"/>
                <w:szCs w:val="14"/>
                <w:b w:val="1"/>
                <w:bCs w:val="1"/>
                <w:color w:val="auto"/>
              </w:rPr>
              <w:t>12 months or more</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9"/>
              </w:rPr>
              <w:t>Total</w:t>
            </w: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3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rPr>
              <w:t>Fair</w:t>
            </w:r>
          </w:p>
        </w:tc>
        <w:tc>
          <w:tcPr>
            <w:tcW w:w="180" w:type="dxa"/>
            <w:vAlign w:val="bottom"/>
          </w:tcPr>
          <w:p>
            <w:pPr>
              <w:spacing w:after="0"/>
              <w:rPr>
                <w:sz w:val="13"/>
                <w:szCs w:val="13"/>
                <w:color w:val="auto"/>
              </w:rPr>
            </w:pPr>
          </w:p>
        </w:tc>
        <w:tc>
          <w:tcPr>
            <w:tcW w:w="108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88"/>
              </w:rPr>
              <w:t>Gross</w:t>
            </w:r>
          </w:p>
        </w:tc>
        <w:tc>
          <w:tcPr>
            <w:tcW w:w="240" w:type="dxa"/>
            <w:vAlign w:val="bottom"/>
          </w:tcPr>
          <w:p>
            <w:pPr>
              <w:spacing w:after="0"/>
              <w:rPr>
                <w:sz w:val="13"/>
                <w:szCs w:val="13"/>
                <w:color w:val="auto"/>
              </w:rPr>
            </w:pPr>
          </w:p>
        </w:tc>
        <w:tc>
          <w:tcPr>
            <w:tcW w:w="100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rPr>
              <w:t>Fair</w:t>
            </w:r>
          </w:p>
        </w:tc>
        <w:tc>
          <w:tcPr>
            <w:tcW w:w="160" w:type="dxa"/>
            <w:vAlign w:val="bottom"/>
          </w:tcPr>
          <w:p>
            <w:pPr>
              <w:spacing w:after="0"/>
              <w:rPr>
                <w:sz w:val="13"/>
                <w:szCs w:val="13"/>
                <w:color w:val="auto"/>
              </w:rPr>
            </w:pPr>
          </w:p>
        </w:tc>
        <w:tc>
          <w:tcPr>
            <w:tcW w:w="108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88"/>
              </w:rPr>
              <w:t>Gross</w:t>
            </w:r>
          </w:p>
        </w:tc>
        <w:tc>
          <w:tcPr>
            <w:tcW w:w="260" w:type="dxa"/>
            <w:vAlign w:val="bottom"/>
          </w:tcPr>
          <w:p>
            <w:pPr>
              <w:spacing w:after="0"/>
              <w:rPr>
                <w:sz w:val="13"/>
                <w:szCs w:val="13"/>
                <w:color w:val="auto"/>
              </w:rPr>
            </w:pPr>
          </w:p>
        </w:tc>
        <w:tc>
          <w:tcPr>
            <w:tcW w:w="780" w:type="dxa"/>
            <w:vAlign w:val="bottom"/>
            <w:vMerge w:val="restart"/>
          </w:tcPr>
          <w:p>
            <w:pPr>
              <w:jc w:val="center"/>
              <w:ind w:right="74"/>
              <w:spacing w:after="0"/>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jc w:val="center"/>
              <w:ind w:right="115"/>
              <w:spacing w:after="0" w:line="153" w:lineRule="exact"/>
              <w:rPr>
                <w:sz w:val="20"/>
                <w:szCs w:val="20"/>
                <w:color w:val="auto"/>
              </w:rPr>
            </w:pPr>
            <w:r>
              <w:rPr>
                <w:rFonts w:ascii="Arial" w:cs="Arial" w:eastAsia="Arial" w:hAnsi="Arial"/>
                <w:sz w:val="14"/>
                <w:szCs w:val="14"/>
                <w:b w:val="1"/>
                <w:bCs w:val="1"/>
                <w:color w:val="auto"/>
                <w:w w:val="88"/>
              </w:rPr>
              <w:t>Gross</w:t>
            </w:r>
          </w:p>
        </w:tc>
        <w:tc>
          <w:tcPr>
            <w:tcW w:w="0" w:type="dxa"/>
            <w:vAlign w:val="bottom"/>
          </w:tcPr>
          <w:p>
            <w:pPr>
              <w:spacing w:after="0"/>
              <w:rPr>
                <w:sz w:val="1"/>
                <w:szCs w:val="1"/>
                <w:color w:val="auto"/>
              </w:rPr>
            </w:pPr>
          </w:p>
        </w:tc>
      </w:tr>
      <w:tr>
        <w:trPr>
          <w:trHeight w:val="149"/>
        </w:trPr>
        <w:tc>
          <w:tcPr>
            <w:tcW w:w="38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December 31, 2015 (In thousands)</w:t>
            </w:r>
          </w:p>
        </w:tc>
        <w:tc>
          <w:tcPr>
            <w:tcW w:w="120" w:type="dxa"/>
            <w:vAlign w:val="bottom"/>
            <w:vMerge w:val="restart"/>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Unrealized</w:t>
            </w:r>
          </w:p>
        </w:tc>
        <w:tc>
          <w:tcPr>
            <w:tcW w:w="2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Unrealized</w:t>
            </w:r>
          </w:p>
        </w:tc>
        <w:tc>
          <w:tcPr>
            <w:tcW w:w="26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center"/>
              <w:ind w:right="95"/>
              <w:spacing w:after="0" w:line="149" w:lineRule="exact"/>
              <w:rPr>
                <w:sz w:val="20"/>
                <w:szCs w:val="20"/>
                <w:color w:val="auto"/>
              </w:rPr>
            </w:pPr>
            <w:r>
              <w:rPr>
                <w:rFonts w:ascii="Arial" w:cs="Arial" w:eastAsia="Arial" w:hAnsi="Arial"/>
                <w:sz w:val="14"/>
                <w:szCs w:val="14"/>
                <w:b w:val="1"/>
                <w:bCs w:val="1"/>
                <w:color w:val="auto"/>
                <w:w w:val="93"/>
              </w:rPr>
              <w:t>Unrealized</w:t>
            </w:r>
          </w:p>
        </w:tc>
        <w:tc>
          <w:tcPr>
            <w:tcW w:w="0" w:type="dxa"/>
            <w:vAlign w:val="bottom"/>
          </w:tcPr>
          <w:p>
            <w:pPr>
              <w:spacing w:after="0"/>
              <w:rPr>
                <w:sz w:val="1"/>
                <w:szCs w:val="1"/>
                <w:color w:val="auto"/>
              </w:rPr>
            </w:pPr>
          </w:p>
        </w:tc>
      </w:tr>
      <w:tr>
        <w:trPr>
          <w:trHeight w:val="192"/>
        </w:trPr>
        <w:tc>
          <w:tcPr>
            <w:tcW w:w="38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195"/>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82"/>
              </w:rPr>
              <w:t>Losses</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w w:val="96"/>
              </w:rPr>
              <w:t>Value</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82"/>
              </w:rPr>
              <w:t>Losses</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82"/>
              </w:rPr>
              <w:t>Losses</w:t>
            </w: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U.S. Treasury securities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110,699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110,699</w:t>
            </w:r>
          </w:p>
        </w:tc>
        <w:tc>
          <w:tcPr>
            <w:tcW w:w="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(1,088)</w:t>
            </w:r>
          </w:p>
        </w:tc>
        <w:tc>
          <w:tcPr>
            <w:tcW w:w="0" w:type="dxa"/>
            <w:vAlign w:val="bottom"/>
          </w:tcPr>
          <w:p>
            <w:pPr>
              <w:spacing w:after="0"/>
              <w:rPr>
                <w:sz w:val="1"/>
                <w:szCs w:val="1"/>
                <w:color w:val="auto"/>
              </w:rPr>
            </w:pPr>
          </w:p>
        </w:tc>
      </w:tr>
      <w:tr>
        <w:trPr>
          <w:trHeight w:val="243"/>
        </w:trPr>
        <w:tc>
          <w:tcPr>
            <w:tcW w:w="4000" w:type="dxa"/>
            <w:vAlign w:val="bottom"/>
            <w:gridSpan w:val="2"/>
          </w:tcPr>
          <w:p>
            <w:pPr>
              <w:ind w:left="40"/>
              <w:spacing w:after="0"/>
              <w:rPr>
                <w:sz w:val="20"/>
                <w:szCs w:val="20"/>
                <w:color w:val="auto"/>
              </w:rPr>
            </w:pPr>
            <w:r>
              <w:rPr>
                <w:rFonts w:ascii="Arial" w:cs="Arial" w:eastAsia="Arial" w:hAnsi="Arial"/>
                <w:sz w:val="18"/>
                <w:szCs w:val="18"/>
                <w:color w:val="auto"/>
              </w:rPr>
              <w:t>U.S. agency securities</w:t>
            </w:r>
          </w:p>
        </w:tc>
        <w:tc>
          <w:tcPr>
            <w:tcW w:w="280" w:type="dxa"/>
            <w:vAlign w:val="bottom"/>
          </w:tcPr>
          <w:p>
            <w:pPr>
              <w:spacing w:after="0"/>
              <w:rPr>
                <w:sz w:val="21"/>
                <w:szCs w:val="21"/>
                <w:color w:val="auto"/>
              </w:rPr>
            </w:pP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11,362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11,362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7"/>
        </w:trPr>
        <w:tc>
          <w:tcPr>
            <w:tcW w:w="400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U.S. agency mortgage-backed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101,465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3,683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105,148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(1,053)</w:t>
            </w:r>
          </w:p>
        </w:tc>
        <w:tc>
          <w:tcPr>
            <w:tcW w:w="0" w:type="dxa"/>
            <w:vAlign w:val="bottom"/>
          </w:tcPr>
          <w:p>
            <w:pPr>
              <w:spacing w:after="0"/>
              <w:rPr>
                <w:sz w:val="1"/>
                <w:szCs w:val="1"/>
                <w:color w:val="auto"/>
              </w:rPr>
            </w:pPr>
          </w:p>
        </w:tc>
      </w:tr>
      <w:tr>
        <w:trPr>
          <w:trHeight w:val="243"/>
        </w:trPr>
        <w:tc>
          <w:tcPr>
            <w:tcW w:w="4000" w:type="dxa"/>
            <w:vAlign w:val="bottom"/>
            <w:gridSpan w:val="2"/>
          </w:tcPr>
          <w:p>
            <w:pPr>
              <w:ind w:left="40"/>
              <w:spacing w:after="0"/>
              <w:rPr>
                <w:sz w:val="20"/>
                <w:szCs w:val="20"/>
                <w:color w:val="auto"/>
              </w:rPr>
            </w:pPr>
            <w:r>
              <w:rPr>
                <w:rFonts w:ascii="Arial" w:cs="Arial" w:eastAsia="Arial" w:hAnsi="Arial"/>
                <w:sz w:val="18"/>
                <w:szCs w:val="18"/>
                <w:color w:val="auto"/>
              </w:rPr>
              <w:t>Municipal debt securities</w:t>
            </w:r>
          </w:p>
        </w:tc>
        <w:tc>
          <w:tcPr>
            <w:tcW w:w="280" w:type="dxa"/>
            <w:vAlign w:val="bottom"/>
          </w:tcPr>
          <w:p>
            <w:pPr>
              <w:spacing w:after="0"/>
              <w:rPr>
                <w:sz w:val="21"/>
                <w:szCs w:val="21"/>
                <w:color w:val="auto"/>
              </w:rPr>
            </w:pP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47,850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5"/>
              <w:spacing w:after="0"/>
              <w:rPr>
                <w:sz w:val="20"/>
                <w:szCs w:val="20"/>
                <w:color w:val="auto"/>
              </w:rPr>
            </w:pPr>
            <w:r>
              <w:rPr>
                <w:rFonts w:ascii="Arial" w:cs="Arial" w:eastAsia="Arial" w:hAnsi="Arial"/>
                <w:sz w:val="18"/>
                <w:szCs w:val="18"/>
                <w:color w:val="auto"/>
              </w:rPr>
              <w:t>1,254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49,104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7"/>
        </w:trPr>
        <w:tc>
          <w:tcPr>
            <w:tcW w:w="400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Corporate debt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252,792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(3,447)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9,404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262,196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(3,852)</w:t>
            </w:r>
          </w:p>
        </w:tc>
        <w:tc>
          <w:tcPr>
            <w:tcW w:w="0" w:type="dxa"/>
            <w:vAlign w:val="bottom"/>
          </w:tcPr>
          <w:p>
            <w:pPr>
              <w:spacing w:after="0"/>
              <w:rPr>
                <w:sz w:val="1"/>
                <w:szCs w:val="1"/>
                <w:color w:val="auto"/>
              </w:rPr>
            </w:pPr>
          </w:p>
        </w:tc>
      </w:tr>
      <w:tr>
        <w:trPr>
          <w:trHeight w:val="243"/>
        </w:trPr>
        <w:tc>
          <w:tcPr>
            <w:tcW w:w="4000" w:type="dxa"/>
            <w:vAlign w:val="bottom"/>
            <w:gridSpan w:val="2"/>
          </w:tcPr>
          <w:p>
            <w:pPr>
              <w:ind w:left="40"/>
              <w:spacing w:after="0"/>
              <w:rPr>
                <w:sz w:val="20"/>
                <w:szCs w:val="20"/>
                <w:color w:val="auto"/>
              </w:rPr>
            </w:pPr>
            <w:r>
              <w:rPr>
                <w:rFonts w:ascii="Arial" w:cs="Arial" w:eastAsia="Arial" w:hAnsi="Arial"/>
                <w:sz w:val="18"/>
                <w:szCs w:val="18"/>
                <w:color w:val="auto"/>
              </w:rPr>
              <w:t>Mortgage-backed securities</w:t>
            </w:r>
          </w:p>
        </w:tc>
        <w:tc>
          <w:tcPr>
            <w:tcW w:w="280" w:type="dxa"/>
            <w:vAlign w:val="bottom"/>
          </w:tcPr>
          <w:p>
            <w:pPr>
              <w:spacing w:after="0"/>
              <w:rPr>
                <w:sz w:val="21"/>
                <w:szCs w:val="21"/>
                <w:color w:val="auto"/>
              </w:rPr>
            </w:pP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23,360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5"/>
              <w:spacing w:after="0"/>
              <w:rPr>
                <w:sz w:val="20"/>
                <w:szCs w:val="20"/>
                <w:color w:val="auto"/>
              </w:rPr>
            </w:pPr>
            <w:r>
              <w:rPr>
                <w:rFonts w:ascii="Arial" w:cs="Arial" w:eastAsia="Arial" w:hAnsi="Arial"/>
                <w:sz w:val="18"/>
                <w:szCs w:val="18"/>
                <w:color w:val="auto"/>
              </w:rPr>
              <w:t>26,075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(663)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49,435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(1,121)</w:t>
            </w:r>
          </w:p>
        </w:tc>
        <w:tc>
          <w:tcPr>
            <w:tcW w:w="0" w:type="dxa"/>
            <w:vAlign w:val="bottom"/>
          </w:tcPr>
          <w:p>
            <w:pPr>
              <w:spacing w:after="0"/>
              <w:rPr>
                <w:sz w:val="1"/>
                <w:szCs w:val="1"/>
                <w:color w:val="auto"/>
              </w:rPr>
            </w:pPr>
          </w:p>
        </w:tc>
      </w:tr>
      <w:tr>
        <w:trPr>
          <w:trHeight w:val="27"/>
        </w:trPr>
        <w:tc>
          <w:tcPr>
            <w:tcW w:w="400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Asset-backed securities</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86,431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26,364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(448)</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112,795</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(1,319)</w:t>
            </w:r>
          </w:p>
        </w:tc>
        <w:tc>
          <w:tcPr>
            <w:tcW w:w="0" w:type="dxa"/>
            <w:vAlign w:val="bottom"/>
          </w:tcPr>
          <w:p>
            <w:pPr>
              <w:spacing w:after="0"/>
              <w:rPr>
                <w:sz w:val="1"/>
                <w:szCs w:val="1"/>
                <w:color w:val="auto"/>
              </w:rPr>
            </w:pPr>
          </w:p>
        </w:tc>
      </w:tr>
      <w:tr>
        <w:trPr>
          <w:trHeight w:val="237"/>
        </w:trPr>
        <w:tc>
          <w:tcPr>
            <w:tcW w:w="400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633,959</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(7,212)</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66,780</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(1,661)</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700,739</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(8,873)</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The gross unrealized losses on these investment securities are principally associated with the changes in the interest rate environment subsequent to their purchase. Each issuer is current on its scheduled interest and principal payments. We assess our intent to sell these securities and whether we will be required to sell these securities before the recovery of their amortized cost basis when determining whether an impairment is other-than-temporary. We recorded an other-than-temporary impairment of $7 thousand in the three months ended March 31, 2016 for one security in an unrealized loss position that we intend to sell. There were no other-than-temporary impairments of investments in the three months ended March 31, 2015.</w:t>
      </w:r>
    </w:p>
    <w:p>
      <w:pPr>
        <w:spacing w:after="0" w:line="158"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The fair value of investments deposited with insurance regulatory authorities to meet statutory requirements was $8.6 million as of March 31, 2016 and $8.5 million as of December 31, 2015. In connection with its insurance and reinsurance activities, Essent Re is required to maintain assets in trusts for the benefit of its contractual counterparties. The fair value of the investments required to be on deposit in these trusts was $203.8 million at March 31, 2016 and $171.5 million at December 31, 2015.</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7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investment income consists of:</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6"/>
          </w:tcPr>
          <w:p>
            <w:pPr>
              <w:jc w:val="right"/>
              <w:ind w:right="554"/>
              <w:spacing w:after="0"/>
              <w:rPr>
                <w:sz w:val="20"/>
                <w:szCs w:val="20"/>
                <w:color w:val="auto"/>
              </w:rPr>
            </w:pPr>
            <w:r>
              <w:rPr>
                <w:rFonts w:ascii="Arial" w:cs="Arial" w:eastAsia="Arial" w:hAnsi="Arial"/>
                <w:sz w:val="14"/>
                <w:szCs w:val="14"/>
                <w:b w:val="1"/>
                <w:bCs w:val="1"/>
                <w:color w:val="auto"/>
                <w:w w:val="97"/>
              </w:rPr>
              <w:t>Three Months Ended March 31,</w:t>
            </w:r>
          </w:p>
        </w:tc>
        <w:tc>
          <w:tcPr>
            <w:tcW w:w="0" w:type="dxa"/>
            <w:vAlign w:val="bottom"/>
          </w:tcPr>
          <w:p>
            <w:pPr>
              <w:spacing w:after="0"/>
              <w:rPr>
                <w:sz w:val="1"/>
                <w:szCs w:val="1"/>
                <w:color w:val="auto"/>
              </w:rPr>
            </w:pPr>
          </w:p>
        </w:tc>
      </w:tr>
      <w:tr>
        <w:trPr>
          <w:trHeight w:val="264"/>
        </w:trPr>
        <w:tc>
          <w:tcPr>
            <w:tcW w:w="80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Fixed maturities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6,655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4,653</w:t>
            </w:r>
          </w:p>
        </w:tc>
        <w:tc>
          <w:tcPr>
            <w:tcW w:w="0" w:type="dxa"/>
            <w:vAlign w:val="bottom"/>
          </w:tcPr>
          <w:p>
            <w:pPr>
              <w:spacing w:after="0"/>
              <w:rPr>
                <w:sz w:val="1"/>
                <w:szCs w:val="1"/>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Short-term investments</w:t>
            </w: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5"/>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8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Gross investment income</w:t>
            </w: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6,688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4,665</w:t>
            </w:r>
          </w:p>
        </w:tc>
        <w:tc>
          <w:tcPr>
            <w:tcW w:w="0" w:type="dxa"/>
            <w:vAlign w:val="bottom"/>
          </w:tcPr>
          <w:p>
            <w:pPr>
              <w:spacing w:after="0"/>
              <w:rPr>
                <w:sz w:val="1"/>
                <w:szCs w:val="1"/>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Investment expenses</w:t>
            </w: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7"/>
        </w:trPr>
        <w:tc>
          <w:tcPr>
            <w:tcW w:w="8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investment income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6,183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4,280</w:t>
            </w: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b w:val="1"/>
                <w:bCs w:val="1"/>
                <w:color w:val="auto"/>
              </w:rPr>
              <w:t>Note 4. Accounts Receivable</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12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120" w:type="dxa"/>
            <w:vAlign w:val="bottom"/>
            <w:gridSpan w:val="2"/>
          </w:tcPr>
          <w:p>
            <w:pPr>
              <w:ind w:left="660"/>
              <w:spacing w:after="0"/>
              <w:rPr>
                <w:sz w:val="20"/>
                <w:szCs w:val="20"/>
                <w:color w:val="auto"/>
              </w:rPr>
            </w:pPr>
            <w:r>
              <w:rPr>
                <w:rFonts w:ascii="Arial" w:cs="Arial" w:eastAsia="Arial" w:hAnsi="Arial"/>
                <w:sz w:val="18"/>
                <w:szCs w:val="18"/>
                <w:color w:val="auto"/>
              </w:rPr>
              <w:t>Accounts receivable consists of the following:</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9"/>
        </w:trPr>
        <w:tc>
          <w:tcPr>
            <w:tcW w:w="8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March 31,</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jc w:val="right"/>
              <w:ind w:right="234"/>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76"/>
        </w:trPr>
        <w:tc>
          <w:tcPr>
            <w:tcW w:w="81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Premiums receivable</w:t>
            </w:r>
          </w:p>
        </w:tc>
        <w:tc>
          <w:tcPr>
            <w:tcW w:w="62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16,784</w:t>
            </w:r>
          </w:p>
        </w:tc>
        <w:tc>
          <w:tcPr>
            <w:tcW w:w="3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16,034</w:t>
            </w:r>
          </w:p>
        </w:tc>
        <w:tc>
          <w:tcPr>
            <w:tcW w:w="0" w:type="dxa"/>
            <w:vAlign w:val="bottom"/>
          </w:tcPr>
          <w:p>
            <w:pPr>
              <w:spacing w:after="0"/>
              <w:rPr>
                <w:sz w:val="1"/>
                <w:szCs w:val="1"/>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Other receivables</w:t>
            </w: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416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gridSpan w:val="2"/>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accounts receivable</w:t>
            </w: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17,200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16,637</w:t>
            </w:r>
          </w:p>
        </w:tc>
        <w:tc>
          <w:tcPr>
            <w:tcW w:w="0" w:type="dxa"/>
            <w:vAlign w:val="bottom"/>
          </w:tcPr>
          <w:p>
            <w:pPr>
              <w:spacing w:after="0"/>
              <w:rPr>
                <w:sz w:val="1"/>
                <w:szCs w:val="1"/>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Less: Allowance for doubtful accounts</w:t>
            </w: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gridSpan w:val="2"/>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Accounts receivable, net</w:t>
            </w:r>
          </w:p>
        </w:tc>
        <w:tc>
          <w:tcPr>
            <w:tcW w:w="62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17,200</w:t>
            </w:r>
          </w:p>
        </w:tc>
        <w:tc>
          <w:tcPr>
            <w:tcW w:w="3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16,637</w:t>
            </w: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Premiums receivable consists of premiums due on our mortgage insurance policies. If mortgage insurance premiums are unpaid for more than 90 days, the receivable is written off against earned premium and the related insurance policy is cancelled. For all periods presented, no provision or allowance for doubtful accounts was required.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Reserve for Losses and Loss Adjustment Expenses</w:t>
      </w:r>
    </w:p>
    <w:p>
      <w:pPr>
        <w:spacing w:after="0" w:line="229"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following table provides a reconciliation of the beginning and ending reserve balances for losses and loss adjustment expenses (“LAE”) for the three months ended March 31:</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in thousands)</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2015</w:t>
            </w:r>
          </w:p>
        </w:tc>
      </w:tr>
      <w:tr>
        <w:trPr>
          <w:trHeight w:val="250"/>
        </w:trPr>
        <w:tc>
          <w:tcPr>
            <w:tcW w:w="8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Reserve for losses and LAE at beginning of period</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17,760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8,427</w:t>
            </w:r>
          </w:p>
        </w:tc>
      </w:tr>
      <w:tr>
        <w:trPr>
          <w:trHeight w:val="243"/>
        </w:trPr>
        <w:tc>
          <w:tcPr>
            <w:tcW w:w="8100" w:type="dxa"/>
            <w:vAlign w:val="bottom"/>
            <w:gridSpan w:val="2"/>
          </w:tcPr>
          <w:p>
            <w:pPr>
              <w:ind w:left="40"/>
              <w:spacing w:after="0"/>
              <w:rPr>
                <w:sz w:val="20"/>
                <w:szCs w:val="20"/>
                <w:color w:val="auto"/>
              </w:rPr>
            </w:pPr>
            <w:r>
              <w:rPr>
                <w:rFonts w:ascii="Arial" w:cs="Arial" w:eastAsia="Arial" w:hAnsi="Arial"/>
                <w:sz w:val="18"/>
                <w:szCs w:val="18"/>
                <w:color w:val="auto"/>
              </w:rPr>
              <w:t>Less: Reinsurance recoverables</w:t>
            </w:r>
          </w:p>
        </w:tc>
        <w:tc>
          <w:tcPr>
            <w:tcW w:w="38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7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8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reserve for losses and LAE at beginning of period</w:t>
            </w: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17,760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8,427</w:t>
            </w:r>
          </w:p>
        </w:tc>
      </w:tr>
      <w:tr>
        <w:trPr>
          <w:trHeight w:val="223"/>
        </w:trPr>
        <w:tc>
          <w:tcPr>
            <w:tcW w:w="8100" w:type="dxa"/>
            <w:vAlign w:val="bottom"/>
            <w:gridSpan w:val="2"/>
          </w:tcPr>
          <w:p>
            <w:pPr>
              <w:ind w:left="40"/>
              <w:spacing w:after="0"/>
              <w:rPr>
                <w:sz w:val="20"/>
                <w:szCs w:val="20"/>
                <w:color w:val="auto"/>
              </w:rPr>
            </w:pPr>
            <w:r>
              <w:rPr>
                <w:rFonts w:ascii="Arial" w:cs="Arial" w:eastAsia="Arial" w:hAnsi="Arial"/>
                <w:sz w:val="18"/>
                <w:szCs w:val="18"/>
                <w:color w:val="auto"/>
              </w:rPr>
              <w:t>Add provision for losses and LAE, net of reinsurance, occurring in:</w:t>
            </w:r>
          </w:p>
        </w:tc>
        <w:tc>
          <w:tcPr>
            <w:tcW w:w="3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r>
      <w:tr>
        <w:trPr>
          <w:trHeight w:val="27"/>
        </w:trPr>
        <w:tc>
          <w:tcPr>
            <w:tcW w:w="7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Current period</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5,080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2,705</w:t>
            </w:r>
          </w:p>
        </w:tc>
      </w:tr>
      <w:tr>
        <w:trPr>
          <w:trHeight w:val="243"/>
        </w:trPr>
        <w:tc>
          <w:tcPr>
            <w:tcW w:w="8100" w:type="dxa"/>
            <w:vAlign w:val="bottom"/>
            <w:gridSpan w:val="2"/>
          </w:tcPr>
          <w:p>
            <w:pPr>
              <w:ind w:left="280"/>
              <w:spacing w:after="0"/>
              <w:rPr>
                <w:sz w:val="20"/>
                <w:szCs w:val="20"/>
                <w:color w:val="auto"/>
              </w:rPr>
            </w:pPr>
            <w:r>
              <w:rPr>
                <w:rFonts w:ascii="Arial" w:cs="Arial" w:eastAsia="Arial" w:hAnsi="Arial"/>
                <w:sz w:val="18"/>
                <w:szCs w:val="18"/>
                <w:color w:val="auto"/>
              </w:rPr>
              <w:t>Prior years</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(1,349)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(706)</w:t>
            </w:r>
          </w:p>
        </w:tc>
      </w:tr>
      <w:tr>
        <w:trPr>
          <w:trHeight w:val="27"/>
        </w:trPr>
        <w:tc>
          <w:tcPr>
            <w:tcW w:w="7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8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incurred losses during the current period</w:t>
            </w: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3,731</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1,999</w:t>
            </w:r>
          </w:p>
        </w:tc>
      </w:tr>
      <w:tr>
        <w:trPr>
          <w:trHeight w:val="223"/>
        </w:trPr>
        <w:tc>
          <w:tcPr>
            <w:tcW w:w="8100" w:type="dxa"/>
            <w:vAlign w:val="bottom"/>
            <w:gridSpan w:val="2"/>
          </w:tcPr>
          <w:p>
            <w:pPr>
              <w:ind w:left="40"/>
              <w:spacing w:after="0"/>
              <w:rPr>
                <w:sz w:val="20"/>
                <w:szCs w:val="20"/>
                <w:color w:val="auto"/>
              </w:rPr>
            </w:pPr>
            <w:r>
              <w:rPr>
                <w:rFonts w:ascii="Arial" w:cs="Arial" w:eastAsia="Arial" w:hAnsi="Arial"/>
                <w:sz w:val="18"/>
                <w:szCs w:val="18"/>
                <w:color w:val="auto"/>
              </w:rPr>
              <w:t>Deduct payments for losses and LAE, net of reinsurance, occurring in:</w:t>
            </w:r>
          </w:p>
        </w:tc>
        <w:tc>
          <w:tcPr>
            <w:tcW w:w="3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r>
      <w:tr>
        <w:trPr>
          <w:trHeight w:val="27"/>
        </w:trPr>
        <w:tc>
          <w:tcPr>
            <w:tcW w:w="7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Current period</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43"/>
        </w:trPr>
        <w:tc>
          <w:tcPr>
            <w:tcW w:w="8100" w:type="dxa"/>
            <w:vAlign w:val="bottom"/>
            <w:gridSpan w:val="2"/>
          </w:tcPr>
          <w:p>
            <w:pPr>
              <w:ind w:left="280"/>
              <w:spacing w:after="0"/>
              <w:rPr>
                <w:sz w:val="20"/>
                <w:szCs w:val="20"/>
                <w:color w:val="auto"/>
              </w:rPr>
            </w:pPr>
            <w:r>
              <w:rPr>
                <w:rFonts w:ascii="Arial" w:cs="Arial" w:eastAsia="Arial" w:hAnsi="Arial"/>
                <w:sz w:val="18"/>
                <w:szCs w:val="18"/>
                <w:color w:val="auto"/>
              </w:rPr>
              <w:t>Prior years</w:t>
            </w:r>
          </w:p>
        </w:tc>
        <w:tc>
          <w:tcPr>
            <w:tcW w:w="3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1,020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361</w:t>
            </w:r>
          </w:p>
        </w:tc>
      </w:tr>
      <w:tr>
        <w:trPr>
          <w:trHeight w:val="27"/>
        </w:trPr>
        <w:tc>
          <w:tcPr>
            <w:tcW w:w="7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8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loss and LAE payments during the current period</w:t>
            </w: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1,021</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361</w:t>
            </w:r>
          </w:p>
        </w:tc>
      </w:tr>
      <w:tr>
        <w:trPr>
          <w:trHeight w:val="237"/>
        </w:trPr>
        <w:tc>
          <w:tcPr>
            <w:tcW w:w="8100" w:type="dxa"/>
            <w:vAlign w:val="bottom"/>
            <w:gridSpan w:val="2"/>
          </w:tcPr>
          <w:p>
            <w:pPr>
              <w:ind w:left="40"/>
              <w:spacing w:after="0"/>
              <w:rPr>
                <w:sz w:val="20"/>
                <w:szCs w:val="20"/>
                <w:color w:val="auto"/>
              </w:rPr>
            </w:pPr>
            <w:r>
              <w:rPr>
                <w:rFonts w:ascii="Arial" w:cs="Arial" w:eastAsia="Arial" w:hAnsi="Arial"/>
                <w:sz w:val="18"/>
                <w:szCs w:val="18"/>
                <w:color w:val="auto"/>
              </w:rPr>
              <w:t>Net reserve for losses and LAE at end of period</w:t>
            </w: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20,470</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10,065</w:t>
            </w:r>
          </w:p>
        </w:tc>
      </w:tr>
      <w:tr>
        <w:trPr>
          <w:trHeight w:val="27"/>
        </w:trPr>
        <w:tc>
          <w:tcPr>
            <w:tcW w:w="7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Plus: Reinsurance recoverables</w:t>
            </w:r>
          </w:p>
        </w:tc>
        <w:tc>
          <w:tcPr>
            <w:tcW w:w="3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37"/>
        </w:trPr>
        <w:tc>
          <w:tcPr>
            <w:tcW w:w="8100" w:type="dxa"/>
            <w:vAlign w:val="bottom"/>
            <w:gridSpan w:val="2"/>
          </w:tcPr>
          <w:p>
            <w:pPr>
              <w:ind w:left="40"/>
              <w:spacing w:after="0"/>
              <w:rPr>
                <w:sz w:val="20"/>
                <w:szCs w:val="20"/>
                <w:color w:val="auto"/>
              </w:rPr>
            </w:pPr>
            <w:r>
              <w:rPr>
                <w:rFonts w:ascii="Arial" w:cs="Arial" w:eastAsia="Arial" w:hAnsi="Arial"/>
                <w:sz w:val="18"/>
                <w:szCs w:val="18"/>
                <w:color w:val="auto"/>
              </w:rPr>
              <w:t>Reserve for losses and LAE at end of period</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20,470</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10,065</w:t>
            </w:r>
          </w:p>
        </w:tc>
      </w:tr>
      <w:tr>
        <w:trPr>
          <w:trHeight w:val="67"/>
        </w:trPr>
        <w:tc>
          <w:tcPr>
            <w:tcW w:w="798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r>
      <w:tr>
        <w:trPr>
          <w:trHeight w:val="278"/>
        </w:trPr>
        <w:tc>
          <w:tcPr>
            <w:tcW w:w="7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43"/>
        </w:trPr>
        <w:tc>
          <w:tcPr>
            <w:tcW w:w="8100" w:type="dxa"/>
            <w:vAlign w:val="bottom"/>
            <w:gridSpan w:val="2"/>
          </w:tcPr>
          <w:p>
            <w:pPr>
              <w:ind w:left="40"/>
              <w:spacing w:after="0"/>
              <w:rPr>
                <w:sz w:val="20"/>
                <w:szCs w:val="20"/>
                <w:color w:val="auto"/>
              </w:rPr>
            </w:pPr>
            <w:r>
              <w:rPr>
                <w:rFonts w:ascii="Arial" w:cs="Arial" w:eastAsia="Arial" w:hAnsi="Arial"/>
                <w:sz w:val="18"/>
                <w:szCs w:val="18"/>
                <w:color w:val="auto"/>
              </w:rPr>
              <w:t>Loans in default at end of period</w:t>
            </w:r>
          </w:p>
        </w:tc>
        <w:tc>
          <w:tcPr>
            <w:tcW w:w="3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1,060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505</w:t>
            </w: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125" w:right="23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For the three months ended March 31, 2016, $1.0 million was paid for incurred claims and claim adjustment expenses attributable to insured events of prior years. There has been a $1.3 million favorable prior year development during the three months ended March 31, 2016. Reserves remaining as of March 31, 2016 for prior years are $15.4 million as a result of re-estimation of unpaid losses and loss adjustment expenses. For the three months ended March 31, 2015, $0.4 million was paid for incurred claims and claim adjustment expenses attributable to insured events of prior years. There had been a $0.7 million favorable prior year development during the three months ended March 31, 2015. Reserves remaining as of March 31, 2015 for prior years were $7.4 million as a result of re-estimation of unpaid losses and loss adjustment expenses. In both periods, the favorable prior years' loss development was the result of a re-estimation of amounts ultimately to be paid on prior year defaults in the default inventory, including the impact of previously identified defaults that cured. Original estimates are increased or decreased as additional information becomes known regarding individual claims.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Obligations under Guarantees</w:t>
      </w:r>
    </w:p>
    <w:p>
      <w:pPr>
        <w:spacing w:after="0" w:line="229"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Under the terms of CUW Solutions' contract underwriting agreements with lenders and subject to contractual limitations on liability, we agree to indemnify certain lenders against losses incurred in the event that we make an error in determining whether loans processed meet specified underwriting criteria, to the extent that such error materially restricts or impairs the salability of such loan, results in a material reduction in the value of such loan or results in the lender repurchasing the loan. The indemnification may be in the form of monetary or other remedies. We have not paid any amounts related to remedies for the three months ended March 31, 2016 and 2015. As of March 31, 2016, management believes any potential claims for indemnification related to contract underwriting services through March 31, 2016 are not material to our financial position or results of operations.</w:t>
      </w:r>
    </w:p>
    <w:p>
      <w:pPr>
        <w:spacing w:after="0" w:line="178"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In addition to the indemnifications discussed above, in the normal course of business, we enter into agreements or other relationships with third parties pursuant to which we may be obligated under specified circumstances to indemnify the counterparties with respect to certain matters. Our contractual indemnification obligations typically arise in the context of agreements entered into by us to, among other things, purchase or sell services, finance our business and business transactions, lease real property and license intellectual property. The agreements we enter into in the normal course of business generally require us to pay certain amounts to the other party associated with claims or losses if they result from our breach of the agreement, including the inaccuracy of representations or warranties. The agreements we enter into may also contain other indemnification provisions that obligate us to pay amounts upon the occurrence of certain events, such as the negligence or willful misconduct of our employees, infringement of third-party intellectual property rights or claims that performance of the agreement constitutes a violation of law. Generally, payment by us under an indemnification provision is conditioned upon the other party making a claim, and typically we can challenge the other party’s claims. Further, our indemnification obligations may be limited in time and/or amount, and in some instances, we may have recourse against third parties for certain payments made by us under an indemnification agreement or obligation. As of March 31, 2016, contingencies triggering material indemnification obligations or payments have not occurred historically and are not expected to occur. The nature of the indemnification provisions in the various types of agreements and relationships described above are believed to be low risk and pervasive, and we consider them to have a remote risk of loss or payment. We have not recorded any provisions on the condensed consolidated balance sheets related to indemnifications.</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125" w:right="25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Stock-Based Compensation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summarizes nonvested common share and nonvested common share unit activity for the three months ended March 31, 2016:</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40" w:type="dxa"/>
            <w:vAlign w:val="bottom"/>
            <w:gridSpan w:val="5"/>
          </w:tcPr>
          <w:p>
            <w:pPr>
              <w:ind w:left="440"/>
              <w:spacing w:after="0"/>
              <w:rPr>
                <w:sz w:val="20"/>
                <w:szCs w:val="20"/>
                <w:color w:val="auto"/>
              </w:rPr>
            </w:pPr>
            <w:r>
              <w:rPr>
                <w:rFonts w:ascii="Arial" w:cs="Arial" w:eastAsia="Arial" w:hAnsi="Arial"/>
                <w:sz w:val="14"/>
                <w:szCs w:val="14"/>
                <w:b w:val="1"/>
                <w:bCs w:val="1"/>
                <w:color w:val="auto"/>
              </w:rPr>
              <w:t>Time and Performance-</w:t>
            </w:r>
          </w:p>
        </w:tc>
        <w:tc>
          <w:tcPr>
            <w:tcW w:w="2360" w:type="dxa"/>
            <w:vAlign w:val="bottom"/>
            <w:gridSpan w:val="5"/>
          </w:tcPr>
          <w:p>
            <w:pPr>
              <w:ind w:left="580"/>
              <w:spacing w:after="0"/>
              <w:rPr>
                <w:sz w:val="20"/>
                <w:szCs w:val="20"/>
                <w:color w:val="auto"/>
              </w:rPr>
            </w:pPr>
            <w:r>
              <w:rPr>
                <w:rFonts w:ascii="Arial" w:cs="Arial" w:eastAsia="Arial" w:hAnsi="Arial"/>
                <w:sz w:val="14"/>
                <w:szCs w:val="14"/>
                <w:b w:val="1"/>
                <w:bCs w:val="1"/>
                <w:color w:val="auto"/>
              </w:rPr>
              <w:t>Time-Based Share</w:t>
            </w:r>
          </w:p>
        </w:tc>
        <w:tc>
          <w:tcPr>
            <w:tcW w:w="2380" w:type="dxa"/>
            <w:vAlign w:val="bottom"/>
            <w:gridSpan w:val="4"/>
            <w:vMerge w:val="restart"/>
          </w:tcPr>
          <w:p>
            <w:pPr>
              <w:jc w:val="right"/>
              <w:ind w:right="738"/>
              <w:spacing w:after="0"/>
              <w:rPr>
                <w:sz w:val="20"/>
                <w:szCs w:val="20"/>
                <w:color w:val="auto"/>
              </w:rPr>
            </w:pPr>
            <w:r>
              <w:rPr>
                <w:rFonts w:ascii="Arial" w:cs="Arial" w:eastAsia="Arial" w:hAnsi="Arial"/>
                <w:sz w:val="14"/>
                <w:szCs w:val="14"/>
                <w:b w:val="1"/>
                <w:bCs w:val="1"/>
                <w:color w:val="auto"/>
              </w:rPr>
              <w:t>Share Units</w:t>
            </w:r>
          </w:p>
        </w:tc>
        <w:tc>
          <w:tcPr>
            <w:tcW w:w="0" w:type="dxa"/>
            <w:vAlign w:val="bottom"/>
          </w:tcPr>
          <w:p>
            <w:pPr>
              <w:spacing w:after="0"/>
              <w:rPr>
                <w:sz w:val="1"/>
                <w:szCs w:val="1"/>
                <w:color w:val="auto"/>
              </w:rPr>
            </w:pPr>
          </w:p>
        </w:tc>
      </w:tr>
      <w:tr>
        <w:trPr>
          <w:trHeight w:val="192"/>
        </w:trPr>
        <w:tc>
          <w:tcPr>
            <w:tcW w:w="4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40" w:type="dxa"/>
            <w:vAlign w:val="bottom"/>
            <w:tcBorders>
              <w:bottom w:val="single" w:sz="8" w:color="auto"/>
            </w:tcBorders>
            <w:gridSpan w:val="4"/>
          </w:tcPr>
          <w:p>
            <w:pPr>
              <w:jc w:val="right"/>
              <w:ind w:right="438"/>
              <w:spacing w:after="0"/>
              <w:rPr>
                <w:sz w:val="20"/>
                <w:szCs w:val="20"/>
                <w:color w:val="auto"/>
              </w:rPr>
            </w:pPr>
            <w:r>
              <w:rPr>
                <w:rFonts w:ascii="Arial" w:cs="Arial" w:eastAsia="Arial" w:hAnsi="Arial"/>
                <w:sz w:val="14"/>
                <w:szCs w:val="14"/>
                <w:b w:val="1"/>
                <w:bCs w:val="1"/>
                <w:color w:val="auto"/>
              </w:rPr>
              <w:t>Based Share Awards</w:t>
            </w:r>
          </w:p>
        </w:tc>
        <w:tc>
          <w:tcPr>
            <w:tcW w:w="100" w:type="dxa"/>
            <w:vAlign w:val="bottom"/>
          </w:tcPr>
          <w:p>
            <w:pPr>
              <w:spacing w:after="0"/>
              <w:rPr>
                <w:sz w:val="16"/>
                <w:szCs w:val="16"/>
                <w:color w:val="auto"/>
              </w:rPr>
            </w:pPr>
          </w:p>
        </w:tc>
        <w:tc>
          <w:tcPr>
            <w:tcW w:w="2260" w:type="dxa"/>
            <w:vAlign w:val="bottom"/>
            <w:tcBorders>
              <w:bottom w:val="single" w:sz="8" w:color="auto"/>
            </w:tcBorders>
            <w:gridSpan w:val="4"/>
          </w:tcPr>
          <w:p>
            <w:pPr>
              <w:jc w:val="right"/>
              <w:ind w:right="798"/>
              <w:spacing w:after="0"/>
              <w:rPr>
                <w:sz w:val="20"/>
                <w:szCs w:val="20"/>
                <w:color w:val="auto"/>
              </w:rPr>
            </w:pPr>
            <w:r>
              <w:rPr>
                <w:rFonts w:ascii="Arial" w:cs="Arial" w:eastAsia="Arial" w:hAnsi="Arial"/>
                <w:sz w:val="14"/>
                <w:szCs w:val="14"/>
                <w:b w:val="1"/>
                <w:bCs w:val="1"/>
                <w:color w:val="auto"/>
              </w:rPr>
              <w:t>Awards</w:t>
            </w:r>
          </w:p>
        </w:tc>
        <w:tc>
          <w:tcPr>
            <w:tcW w:w="100" w:type="dxa"/>
            <w:vAlign w:val="bottom"/>
          </w:tcPr>
          <w:p>
            <w:pPr>
              <w:spacing w:after="0"/>
              <w:rPr>
                <w:sz w:val="16"/>
                <w:szCs w:val="16"/>
                <w:color w:val="auto"/>
              </w:rPr>
            </w:pPr>
          </w:p>
        </w:tc>
        <w:tc>
          <w:tcPr>
            <w:tcW w:w="2380" w:type="dxa"/>
            <w:vAlign w:val="bottom"/>
            <w:tcBorders>
              <w:bottom w:val="single" w:sz="8" w:color="auto"/>
            </w:tcBorders>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1"/>
              </w:rPr>
              <w:t>Weighted</w:t>
            </w: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1"/>
              </w:rPr>
              <w:t>Weighted</w:t>
            </w: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jc w:val="center"/>
              <w:ind w:right="98"/>
              <w:spacing w:after="0" w:line="153"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vMerge w:val="restart"/>
          </w:tcPr>
          <w:p>
            <w:pPr>
              <w:jc w:val="right"/>
              <w:ind w:right="98"/>
              <w:spacing w:after="0"/>
              <w:rPr>
                <w:sz w:val="20"/>
                <w:szCs w:val="20"/>
                <w:color w:val="auto"/>
              </w:rPr>
            </w:pPr>
            <w:r>
              <w:rPr>
                <w:rFonts w:ascii="Arial" w:cs="Arial" w:eastAsia="Arial" w:hAnsi="Arial"/>
                <w:sz w:val="14"/>
                <w:szCs w:val="14"/>
                <w:b w:val="1"/>
                <w:bCs w:val="1"/>
                <w:color w:val="auto"/>
              </w:rPr>
              <w:t>Number of</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Average</w:t>
            </w:r>
          </w:p>
        </w:tc>
        <w:tc>
          <w:tcPr>
            <w:tcW w:w="1020" w:type="dxa"/>
            <w:vAlign w:val="bottom"/>
            <w:vMerge w:val="restart"/>
          </w:tcPr>
          <w:p>
            <w:pPr>
              <w:jc w:val="right"/>
              <w:ind w:right="98"/>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Average</w:t>
            </w:r>
          </w:p>
        </w:tc>
        <w:tc>
          <w:tcPr>
            <w:tcW w:w="1140" w:type="dxa"/>
            <w:vAlign w:val="bottom"/>
            <w:vMerge w:val="restart"/>
          </w:tcPr>
          <w:p>
            <w:pPr>
              <w:jc w:val="right"/>
              <w:ind w:right="157"/>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center"/>
              <w:ind w:right="98"/>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41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(Shares in thousands)</w:t>
            </w:r>
          </w:p>
        </w:tc>
        <w:tc>
          <w:tcPr>
            <w:tcW w:w="120" w:type="dxa"/>
            <w:vAlign w:val="bottom"/>
            <w:vMerge w:val="restart"/>
          </w:tcPr>
          <w:p>
            <w:pPr>
              <w:spacing w:after="0"/>
              <w:rPr>
                <w:sz w:val="12"/>
                <w:szCs w:val="12"/>
                <w:color w:val="auto"/>
              </w:rPr>
            </w:pPr>
          </w:p>
        </w:tc>
        <w:tc>
          <w:tcPr>
            <w:tcW w:w="10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Grant Date</w:t>
            </w:r>
          </w:p>
        </w:tc>
        <w:tc>
          <w:tcPr>
            <w:tcW w:w="10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Grant Date</w:t>
            </w:r>
          </w:p>
        </w:tc>
        <w:tc>
          <w:tcPr>
            <w:tcW w:w="11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center"/>
              <w:ind w:right="98"/>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92"/>
        </w:trPr>
        <w:tc>
          <w:tcPr>
            <w:tcW w:w="4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40" w:type="dxa"/>
            <w:vAlign w:val="bottom"/>
            <w:tcBorders>
              <w:bottom w:val="single" w:sz="8" w:color="auto"/>
            </w:tcBorders>
          </w:tcPr>
          <w:p>
            <w:pPr>
              <w:jc w:val="right"/>
              <w:ind w:right="218"/>
              <w:spacing w:after="0"/>
              <w:rPr>
                <w:sz w:val="20"/>
                <w:szCs w:val="20"/>
                <w:color w:val="auto"/>
              </w:rPr>
            </w:pPr>
            <w:r>
              <w:rPr>
                <w:rFonts w:ascii="Arial" w:cs="Arial" w:eastAsia="Arial" w:hAnsi="Arial"/>
                <w:sz w:val="14"/>
                <w:szCs w:val="14"/>
                <w:b w:val="1"/>
                <w:bCs w:val="1"/>
                <w:color w:val="auto"/>
              </w:rPr>
              <w:t>Shares</w:t>
            </w:r>
          </w:p>
        </w:tc>
        <w:tc>
          <w:tcPr>
            <w:tcW w:w="1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98"/>
              </w:rPr>
              <w:t>Fair Value</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218"/>
              <w:spacing w:after="0"/>
              <w:rPr>
                <w:sz w:val="20"/>
                <w:szCs w:val="20"/>
                <w:color w:val="auto"/>
              </w:rPr>
            </w:pPr>
            <w:r>
              <w:rPr>
                <w:rFonts w:ascii="Arial" w:cs="Arial" w:eastAsia="Arial" w:hAnsi="Arial"/>
                <w:sz w:val="14"/>
                <w:szCs w:val="14"/>
                <w:b w:val="1"/>
                <w:bCs w:val="1"/>
                <w:color w:val="auto"/>
              </w:rPr>
              <w:t>Shares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98"/>
              </w:rPr>
              <w:t>Fair Value</w:t>
            </w: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Share Units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Outstanding at beginning of year</w:t>
            </w:r>
          </w:p>
        </w:tc>
        <w:tc>
          <w:tcPr>
            <w:tcW w:w="10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1,294</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15.15</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890</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12.31</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544</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19.84</w:t>
            </w:r>
          </w:p>
        </w:tc>
        <w:tc>
          <w:tcPr>
            <w:tcW w:w="0" w:type="dxa"/>
            <w:vAlign w:val="bottom"/>
          </w:tcPr>
          <w:p>
            <w:pPr>
              <w:spacing w:after="0"/>
              <w:rPr>
                <w:sz w:val="1"/>
                <w:szCs w:val="1"/>
                <w:color w:val="auto"/>
              </w:rPr>
            </w:pPr>
          </w:p>
        </w:tc>
      </w:tr>
      <w:tr>
        <w:trPr>
          <w:trHeight w:val="243"/>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Granted</w:t>
            </w:r>
          </w:p>
        </w:tc>
        <w:tc>
          <w:tcPr>
            <w:tcW w:w="1040" w:type="dxa"/>
            <w:vAlign w:val="bottom"/>
          </w:tcPr>
          <w:p>
            <w:pPr>
              <w:jc w:val="right"/>
              <w:ind w:right="38"/>
              <w:spacing w:after="0"/>
              <w:rPr>
                <w:sz w:val="20"/>
                <w:szCs w:val="20"/>
                <w:color w:val="auto"/>
              </w:rPr>
            </w:pPr>
            <w:r>
              <w:rPr>
                <w:rFonts w:ascii="Arial" w:cs="Arial" w:eastAsia="Arial" w:hAnsi="Arial"/>
                <w:sz w:val="18"/>
                <w:szCs w:val="18"/>
                <w:color w:val="auto"/>
              </w:rPr>
              <w:t>209</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ind w:right="38"/>
              <w:spacing w:after="0"/>
              <w:rPr>
                <w:sz w:val="20"/>
                <w:szCs w:val="20"/>
                <w:color w:val="auto"/>
              </w:rPr>
            </w:pPr>
            <w:r>
              <w:rPr>
                <w:rFonts w:ascii="Arial" w:cs="Arial" w:eastAsia="Arial" w:hAnsi="Arial"/>
                <w:sz w:val="18"/>
                <w:szCs w:val="18"/>
                <w:color w:val="auto"/>
              </w:rPr>
              <w:t>17.01</w:t>
            </w:r>
          </w:p>
        </w:tc>
        <w:tc>
          <w:tcPr>
            <w:tcW w:w="100" w:type="dxa"/>
            <w:vAlign w:val="bottom"/>
          </w:tcPr>
          <w:p>
            <w:pPr>
              <w:spacing w:after="0"/>
              <w:rPr>
                <w:sz w:val="21"/>
                <w:szCs w:val="21"/>
                <w:color w:val="auto"/>
              </w:rPr>
            </w:pPr>
          </w:p>
        </w:tc>
        <w:tc>
          <w:tcPr>
            <w:tcW w:w="1020" w:type="dxa"/>
            <w:vAlign w:val="bottom"/>
          </w:tcPr>
          <w:p>
            <w:pPr>
              <w:jc w:val="right"/>
              <w:ind w:right="38"/>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8"/>
              <w:spacing w:after="0"/>
              <w:rPr>
                <w:sz w:val="20"/>
                <w:szCs w:val="20"/>
                <w:color w:val="auto"/>
              </w:rPr>
            </w:pPr>
            <w:r>
              <w:rPr>
                <w:rFonts w:ascii="Arial" w:cs="Arial" w:eastAsia="Arial" w:hAnsi="Arial"/>
                <w:sz w:val="18"/>
                <w:szCs w:val="18"/>
                <w:color w:val="auto"/>
              </w:rPr>
              <w:t>17.01</w:t>
            </w:r>
          </w:p>
        </w:tc>
        <w:tc>
          <w:tcPr>
            <w:tcW w:w="100" w:type="dxa"/>
            <w:vAlign w:val="bottom"/>
          </w:tcPr>
          <w:p>
            <w:pPr>
              <w:spacing w:after="0"/>
              <w:rPr>
                <w:sz w:val="21"/>
                <w:szCs w:val="21"/>
                <w:color w:val="auto"/>
              </w:rPr>
            </w:pPr>
          </w:p>
        </w:tc>
        <w:tc>
          <w:tcPr>
            <w:tcW w:w="1140" w:type="dxa"/>
            <w:vAlign w:val="bottom"/>
          </w:tcPr>
          <w:p>
            <w:pPr>
              <w:jc w:val="right"/>
              <w:ind w:right="37"/>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8"/>
              <w:spacing w:after="0"/>
              <w:rPr>
                <w:sz w:val="20"/>
                <w:szCs w:val="20"/>
                <w:color w:val="auto"/>
              </w:rPr>
            </w:pPr>
            <w:r>
              <w:rPr>
                <w:rFonts w:ascii="Arial" w:cs="Arial" w:eastAsia="Arial" w:hAnsi="Arial"/>
                <w:sz w:val="18"/>
                <w:szCs w:val="18"/>
                <w:color w:val="auto"/>
              </w:rPr>
              <w:t>17.01</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0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N/A</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11.66</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18.71</w:t>
            </w:r>
          </w:p>
        </w:tc>
        <w:tc>
          <w:tcPr>
            <w:tcW w:w="0" w:type="dxa"/>
            <w:vAlign w:val="bottom"/>
          </w:tcPr>
          <w:p>
            <w:pPr>
              <w:spacing w:after="0"/>
              <w:rPr>
                <w:sz w:val="1"/>
                <w:szCs w:val="1"/>
                <w:color w:val="auto"/>
              </w:rPr>
            </w:pPr>
          </w:p>
        </w:tc>
      </w:tr>
      <w:tr>
        <w:trPr>
          <w:trHeight w:val="243"/>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Forfeited</w:t>
            </w:r>
          </w:p>
        </w:tc>
        <w:tc>
          <w:tcPr>
            <w:tcW w:w="1040" w:type="dxa"/>
            <w:vAlign w:val="bottom"/>
          </w:tcPr>
          <w:p>
            <w:pPr>
              <w:jc w:val="right"/>
              <w:ind w:right="38"/>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10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8"/>
              <w:spacing w:after="0"/>
              <w:rPr>
                <w:sz w:val="20"/>
                <w:szCs w:val="20"/>
                <w:color w:val="auto"/>
              </w:rPr>
            </w:pPr>
            <w:r>
              <w:rPr>
                <w:rFonts w:ascii="Arial" w:cs="Arial" w:eastAsia="Arial" w:hAnsi="Arial"/>
                <w:sz w:val="18"/>
                <w:szCs w:val="18"/>
                <w:color w:val="auto"/>
              </w:rPr>
              <w:t>0.27</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8"/>
              <w:spacing w:after="0"/>
              <w:rPr>
                <w:sz w:val="20"/>
                <w:szCs w:val="20"/>
                <w:color w:val="auto"/>
              </w:rPr>
            </w:pPr>
            <w:r>
              <w:rPr>
                <w:rFonts w:ascii="Arial" w:cs="Arial" w:eastAsia="Arial" w:hAnsi="Arial"/>
                <w:sz w:val="18"/>
                <w:szCs w:val="18"/>
                <w:color w:val="auto"/>
              </w:rPr>
              <w:t>17.61</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Outstanding at March 31, 2016</w:t>
            </w:r>
          </w:p>
        </w:tc>
        <w:tc>
          <w:tcPr>
            <w:tcW w:w="104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1,503</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15.41</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724</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13.85</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484</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19.45</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In February 2016, certain members of senior management were granted nonvested common shares under the Essent Group Ltd. 2013 Long-Term Incentive Plan that were subject to time-based and performance-based vesting. The time-based share awards granted in February 2016 vest in three equal installments on March 1, 2017, 2018 and 2019. The performance-based share awards granted in February 2016 vest based upon our compounded annual book value per share growth percentage during a three-year performance period that commenced on January 1, 2016 and vest on March 1, 2019. The portion of the nonvested performance-based share awards that will be earned based upon the achievement of compounded annual book value per share growth is as follows:</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Performance level</w:t>
            </w:r>
          </w:p>
        </w:tc>
        <w:tc>
          <w:tcPr>
            <w:tcW w:w="2380" w:type="dxa"/>
            <w:vAlign w:val="bottom"/>
          </w:tcPr>
          <w:p>
            <w:pPr>
              <w:jc w:val="right"/>
              <w:ind w:right="195"/>
              <w:spacing w:after="0"/>
              <w:rPr>
                <w:sz w:val="20"/>
                <w:szCs w:val="20"/>
                <w:color w:val="auto"/>
              </w:rPr>
            </w:pPr>
            <w:r>
              <w:rPr>
                <w:rFonts w:ascii="Arial" w:cs="Arial" w:eastAsia="Arial" w:hAnsi="Arial"/>
                <w:sz w:val="14"/>
                <w:szCs w:val="14"/>
                <w:b w:val="1"/>
                <w:bCs w:val="1"/>
                <w:color w:val="auto"/>
                <w:w w:val="93"/>
              </w:rPr>
              <w:t>Compounded Annual Book Value</w:t>
            </w:r>
          </w:p>
        </w:tc>
        <w:tc>
          <w:tcPr>
            <w:tcW w:w="1880" w:type="dxa"/>
            <w:vAlign w:val="bottom"/>
          </w:tcPr>
          <w:p>
            <w:pPr>
              <w:jc w:val="right"/>
              <w:ind w:right="295"/>
              <w:spacing w:after="0"/>
              <w:rPr>
                <w:sz w:val="20"/>
                <w:szCs w:val="20"/>
                <w:color w:val="auto"/>
              </w:rPr>
            </w:pPr>
            <w:r>
              <w:rPr>
                <w:rFonts w:ascii="Arial" w:cs="Arial" w:eastAsia="Arial" w:hAnsi="Arial"/>
                <w:sz w:val="14"/>
                <w:szCs w:val="14"/>
                <w:b w:val="1"/>
                <w:bCs w:val="1"/>
                <w:color w:val="auto"/>
              </w:rPr>
              <w:t>Nonvested Common</w:t>
            </w:r>
          </w:p>
        </w:tc>
        <w:tc>
          <w:tcPr>
            <w:tcW w:w="0" w:type="dxa"/>
            <w:vAlign w:val="bottom"/>
          </w:tcPr>
          <w:p>
            <w:pPr>
              <w:spacing w:after="0"/>
              <w:rPr>
                <w:sz w:val="1"/>
                <w:szCs w:val="1"/>
                <w:color w:val="auto"/>
              </w:rPr>
            </w:pPr>
          </w:p>
        </w:tc>
      </w:tr>
      <w:tr>
        <w:trPr>
          <w:trHeight w:val="192"/>
        </w:trPr>
        <w:tc>
          <w:tcPr>
            <w:tcW w:w="7160" w:type="dxa"/>
            <w:vAlign w:val="bottom"/>
            <w:gridSpan w:val="2"/>
            <w:vMerge w:val="continue"/>
          </w:tcPr>
          <w:p>
            <w:pPr>
              <w:spacing w:after="0"/>
              <w:rPr>
                <w:sz w:val="16"/>
                <w:szCs w:val="16"/>
                <w:color w:val="auto"/>
              </w:rPr>
            </w:pPr>
          </w:p>
        </w:tc>
        <w:tc>
          <w:tcPr>
            <w:tcW w:w="2380" w:type="dxa"/>
            <w:vAlign w:val="bottom"/>
          </w:tcPr>
          <w:p>
            <w:pPr>
              <w:jc w:val="right"/>
              <w:ind w:right="655"/>
              <w:spacing w:after="0"/>
              <w:rPr>
                <w:sz w:val="20"/>
                <w:szCs w:val="20"/>
                <w:color w:val="auto"/>
              </w:rPr>
            </w:pPr>
            <w:r>
              <w:rPr>
                <w:rFonts w:ascii="Arial" w:cs="Arial" w:eastAsia="Arial" w:hAnsi="Arial"/>
                <w:sz w:val="14"/>
                <w:szCs w:val="14"/>
                <w:b w:val="1"/>
                <w:bCs w:val="1"/>
                <w:color w:val="auto"/>
              </w:rPr>
              <w:t>Per Share Growth</w:t>
            </w:r>
          </w:p>
        </w:tc>
        <w:tc>
          <w:tcPr>
            <w:tcW w:w="1880" w:type="dxa"/>
            <w:vAlign w:val="bottom"/>
          </w:tcPr>
          <w:p>
            <w:pPr>
              <w:jc w:val="right"/>
              <w:ind w:right="455"/>
              <w:spacing w:after="0"/>
              <w:rPr>
                <w:sz w:val="20"/>
                <w:szCs w:val="20"/>
                <w:color w:val="auto"/>
              </w:rPr>
            </w:pPr>
            <w:r>
              <w:rPr>
                <w:rFonts w:ascii="Arial" w:cs="Arial" w:eastAsia="Arial" w:hAnsi="Arial"/>
                <w:sz w:val="14"/>
                <w:szCs w:val="14"/>
                <w:b w:val="1"/>
                <w:bCs w:val="1"/>
                <w:color w:val="auto"/>
              </w:rPr>
              <w:t>Shares Earned</w:t>
            </w:r>
          </w:p>
        </w:tc>
        <w:tc>
          <w:tcPr>
            <w:tcW w:w="0" w:type="dxa"/>
            <w:vAlign w:val="bottom"/>
          </w:tcPr>
          <w:p>
            <w:pPr>
              <w:spacing w:after="0"/>
              <w:rPr>
                <w:sz w:val="1"/>
                <w:szCs w:val="1"/>
                <w:color w:val="auto"/>
              </w:rPr>
            </w:pPr>
          </w:p>
        </w:tc>
      </w:tr>
      <w:tr>
        <w:trPr>
          <w:trHeight w:val="250"/>
        </w:trPr>
        <w:tc>
          <w:tcPr>
            <w:tcW w:w="6940" w:type="dxa"/>
            <w:vAlign w:val="bottom"/>
            <w:tcBorders>
              <w:top w:val="single" w:sz="8" w:color="auto"/>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2380" w:type="dxa"/>
            <w:vAlign w:val="bottom"/>
            <w:tcBorders>
              <w:top w:val="single" w:sz="8" w:color="auto"/>
              <w:bottom w:val="single" w:sz="8" w:color="CCEEFF"/>
            </w:tcBorders>
            <w:shd w:val="clear" w:color="auto" w:fill="CCEEFF"/>
          </w:tcPr>
          <w:p>
            <w:pPr>
              <w:jc w:val="right"/>
              <w:ind w:right="175"/>
              <w:spacing w:after="0"/>
              <w:rPr>
                <w:sz w:val="20"/>
                <w:szCs w:val="20"/>
                <w:color w:val="auto"/>
              </w:rPr>
            </w:pPr>
            <w:r>
              <w:rPr>
                <w:rFonts w:ascii="Arial" w:cs="Arial" w:eastAsia="Arial" w:hAnsi="Arial"/>
                <w:sz w:val="18"/>
                <w:szCs w:val="18"/>
                <w:color w:val="auto"/>
              </w:rPr>
              <w:t>&lt;13%</w:t>
            </w:r>
          </w:p>
        </w:tc>
        <w:tc>
          <w:tcPr>
            <w:tcW w:w="1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43"/>
        </w:trPr>
        <w:tc>
          <w:tcPr>
            <w:tcW w:w="7160" w:type="dxa"/>
            <w:vAlign w:val="bottom"/>
            <w:gridSpan w:val="2"/>
          </w:tcPr>
          <w:p>
            <w:pPr>
              <w:ind w:left="40"/>
              <w:spacing w:after="0"/>
              <w:rPr>
                <w:sz w:val="20"/>
                <w:szCs w:val="20"/>
                <w:color w:val="auto"/>
              </w:rPr>
            </w:pPr>
            <w:r>
              <w:rPr>
                <w:rFonts w:ascii="Arial" w:cs="Arial" w:eastAsia="Arial" w:hAnsi="Arial"/>
                <w:sz w:val="18"/>
                <w:szCs w:val="18"/>
                <w:b w:val="1"/>
                <w:bCs w:val="1"/>
                <w:color w:val="auto"/>
              </w:rPr>
              <w:t>Threshold</w:t>
            </w:r>
          </w:p>
        </w:tc>
        <w:tc>
          <w:tcPr>
            <w:tcW w:w="2380" w:type="dxa"/>
            <w:vAlign w:val="bottom"/>
          </w:tcPr>
          <w:p>
            <w:pPr>
              <w:jc w:val="right"/>
              <w:ind w:right="175"/>
              <w:spacing w:after="0"/>
              <w:rPr>
                <w:sz w:val="20"/>
                <w:szCs w:val="20"/>
                <w:color w:val="auto"/>
              </w:rPr>
            </w:pPr>
            <w:r>
              <w:rPr>
                <w:rFonts w:ascii="Arial" w:cs="Arial" w:eastAsia="Arial" w:hAnsi="Arial"/>
                <w:sz w:val="18"/>
                <w:szCs w:val="18"/>
                <w:color w:val="auto"/>
              </w:rPr>
              <w:t>13%</w:t>
            </w:r>
          </w:p>
        </w:tc>
        <w:tc>
          <w:tcPr>
            <w:tcW w:w="188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6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380" w:type="dxa"/>
            <w:vAlign w:val="bottom"/>
            <w:tcBorders>
              <w:bottom w:val="single" w:sz="8" w:color="CCEEFF"/>
            </w:tcBorders>
            <w:shd w:val="clear" w:color="auto" w:fill="CCEEFF"/>
          </w:tcPr>
          <w:p>
            <w:pPr>
              <w:jc w:val="right"/>
              <w:ind w:right="175"/>
              <w:spacing w:after="0"/>
              <w:rPr>
                <w:sz w:val="20"/>
                <w:szCs w:val="20"/>
                <w:color w:val="auto"/>
              </w:rPr>
            </w:pPr>
            <w:r>
              <w:rPr>
                <w:rFonts w:ascii="Arial" w:cs="Arial" w:eastAsia="Arial" w:hAnsi="Arial"/>
                <w:sz w:val="18"/>
                <w:szCs w:val="18"/>
                <w:color w:val="auto"/>
              </w:rPr>
              <w:t>14%</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43"/>
        </w:trPr>
        <w:tc>
          <w:tcPr>
            <w:tcW w:w="6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380" w:type="dxa"/>
            <w:vAlign w:val="bottom"/>
          </w:tcPr>
          <w:p>
            <w:pPr>
              <w:jc w:val="right"/>
              <w:ind w:right="175"/>
              <w:spacing w:after="0"/>
              <w:rPr>
                <w:sz w:val="20"/>
                <w:szCs w:val="20"/>
                <w:color w:val="auto"/>
              </w:rPr>
            </w:pPr>
            <w:r>
              <w:rPr>
                <w:rFonts w:ascii="Arial" w:cs="Arial" w:eastAsia="Arial" w:hAnsi="Arial"/>
                <w:sz w:val="18"/>
                <w:szCs w:val="18"/>
                <w:color w:val="auto"/>
              </w:rPr>
              <w:t>15%</w:t>
            </w:r>
          </w:p>
        </w:tc>
        <w:tc>
          <w:tcPr>
            <w:tcW w:w="188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7"/>
        </w:trPr>
        <w:tc>
          <w:tcPr>
            <w:tcW w:w="6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Maximum</w:t>
            </w:r>
          </w:p>
        </w:tc>
        <w:tc>
          <w:tcPr>
            <w:tcW w:w="2380" w:type="dxa"/>
            <w:vAlign w:val="bottom"/>
            <w:tcBorders>
              <w:bottom w:val="single" w:sz="8" w:color="CCEEFF"/>
            </w:tcBorders>
            <w:shd w:val="clear" w:color="auto" w:fill="CCEEFF"/>
          </w:tcPr>
          <w:p>
            <w:pPr>
              <w:jc w:val="right"/>
              <w:ind w:right="175"/>
              <w:spacing w:after="0"/>
              <w:rPr>
                <w:sz w:val="20"/>
                <w:szCs w:val="20"/>
                <w:color w:val="auto"/>
              </w:rPr>
            </w:pPr>
            <w:r>
              <w:rPr>
                <w:rFonts w:ascii="Arial" w:cs="Arial" w:eastAsia="Arial" w:hAnsi="Arial"/>
                <w:sz w:val="18"/>
                <w:szCs w:val="18"/>
                <w:color w:val="auto"/>
              </w:rPr>
              <w:t>≥16%</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97"/>
        </w:trPr>
        <w:tc>
          <w:tcPr>
            <w:tcW w:w="6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In the event that the compounded annual book value per share growth falls between the performance levels shown above, the nonvested common shares earned will be determined on a straight-line basis between the respective levels shown.</w:t>
      </w:r>
    </w:p>
    <w:p>
      <w:pPr>
        <w:spacing w:after="0" w:line="170"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In connection with our incentive program covering bonus awards for performance year 2015, in February 2016, time-based share awards and share units were issued to certain employees that vest in three equal installments on March 1, 2017, 2018 and 2019. In May 2016, 44,360 time-based share units were granted to non-employee directors that vest one year from the date of grant.</w:t>
      </w:r>
    </w:p>
    <w:p>
      <w:pPr>
        <w:spacing w:after="0" w:line="181"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The total fair value on the vesting date of nonvested shares or share units that vested was $11.9 million and $16.4 million for the three months ended March 31, 2016 and 2015, respectively. As of March 31, 2016, there was $26.1 million of total unrecognized compensation expense related to nonvested shares or share units outstanding at March 31, 2016 and we expect to recognize the expense over a weighted average period of 2.1 years.</w:t>
      </w:r>
    </w:p>
    <w:p>
      <w:pPr>
        <w:spacing w:after="0" w:line="166"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Employees have the option to tender shares to Essent Group to pay the minimum employee statutory withholding taxes associated with shares upon vesting. Common shares tendered by employees to pay employee withholding taxes totaled 177,112 in the three months ended March 31, 2016. The tendered shares were recorded at cost, included in treasury stock and have been cancelled as of March 31, 2016.</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Compensation expense, net of forfeitures, and related tax effects recognized in connection with nonvested shares were as follows: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456"/>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2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2015</w:t>
            </w: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Compensation expense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3,782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3,261</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Income tax benefit</w:t>
            </w:r>
          </w:p>
        </w:tc>
        <w:tc>
          <w:tcPr>
            <w:tcW w:w="340" w:type="dxa"/>
            <w:vAlign w:val="bottom"/>
          </w:tcPr>
          <w:p>
            <w:pPr>
              <w:spacing w:after="0"/>
              <w:rPr>
                <w:sz w:val="21"/>
                <w:szCs w:val="21"/>
                <w:color w:val="auto"/>
              </w:rPr>
            </w:pPr>
          </w:p>
        </w:tc>
        <w:tc>
          <w:tcPr>
            <w:tcW w:w="1140" w:type="dxa"/>
            <w:vAlign w:val="bottom"/>
          </w:tcPr>
          <w:p>
            <w:pPr>
              <w:jc w:val="right"/>
              <w:ind w:right="19"/>
              <w:spacing w:after="0"/>
              <w:rPr>
                <w:sz w:val="20"/>
                <w:szCs w:val="20"/>
                <w:color w:val="auto"/>
              </w:rPr>
            </w:pPr>
            <w:r>
              <w:rPr>
                <w:rFonts w:ascii="Arial" w:cs="Arial" w:eastAsia="Arial" w:hAnsi="Arial"/>
                <w:sz w:val="18"/>
                <w:szCs w:val="18"/>
                <w:color w:val="auto"/>
              </w:rPr>
              <w:t>1,212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1,141</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Earnings per Share (EPS)</w:t>
      </w:r>
    </w:p>
    <w:p>
      <w:pPr>
        <w:spacing w:after="0" w:line="229"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The following table reconciles the net income and the weighted average common shares outstanding used in the computations of basic and diluted earnings per common share:</w:t>
      </w:r>
    </w:p>
    <w:p>
      <w:pPr>
        <w:spacing w:after="0" w:line="324" w:lineRule="exact"/>
        <w:rPr>
          <w:sz w:val="20"/>
          <w:szCs w:val="20"/>
          <w:color w:val="auto"/>
        </w:rPr>
      </w:pPr>
    </w:p>
    <w:p>
      <w:pPr>
        <w:ind w:left="958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7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8"/>
        </w:trPr>
        <w:tc>
          <w:tcPr>
            <w:tcW w:w="89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 except per share amounts)</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9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47,951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34,838</w:t>
            </w:r>
          </w:p>
        </w:tc>
        <w:tc>
          <w:tcPr>
            <w:tcW w:w="0" w:type="dxa"/>
            <w:vAlign w:val="bottom"/>
          </w:tcPr>
          <w:p>
            <w:pPr>
              <w:spacing w:after="0"/>
              <w:rPr>
                <w:sz w:val="1"/>
                <w:szCs w:val="1"/>
                <w:color w:val="auto"/>
              </w:rPr>
            </w:pPr>
          </w:p>
        </w:tc>
      </w:tr>
      <w:tr>
        <w:trPr>
          <w:trHeight w:val="243"/>
        </w:trPr>
        <w:tc>
          <w:tcPr>
            <w:tcW w:w="9040" w:type="dxa"/>
            <w:vAlign w:val="bottom"/>
            <w:gridSpan w:val="2"/>
          </w:tcPr>
          <w:p>
            <w:pPr>
              <w:ind w:left="280"/>
              <w:spacing w:after="0"/>
              <w:rPr>
                <w:sz w:val="20"/>
                <w:szCs w:val="20"/>
                <w:color w:val="auto"/>
              </w:rPr>
            </w:pPr>
            <w:r>
              <w:rPr>
                <w:rFonts w:ascii="Arial" w:cs="Arial" w:eastAsia="Arial" w:hAnsi="Arial"/>
                <w:sz w:val="18"/>
                <w:szCs w:val="18"/>
                <w:color w:val="auto"/>
              </w:rPr>
              <w:t>Less: dividends declared</w:t>
            </w:r>
          </w:p>
        </w:tc>
        <w:tc>
          <w:tcPr>
            <w:tcW w:w="2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9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 available to common shareholders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47,951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34,838</w:t>
            </w:r>
          </w:p>
        </w:tc>
        <w:tc>
          <w:tcPr>
            <w:tcW w:w="0" w:type="dxa"/>
            <w:vAlign w:val="bottom"/>
          </w:tcPr>
          <w:p>
            <w:pPr>
              <w:spacing w:after="0"/>
              <w:rPr>
                <w:sz w:val="1"/>
                <w:szCs w:val="1"/>
                <w:color w:val="auto"/>
              </w:rPr>
            </w:pPr>
          </w:p>
        </w:tc>
      </w:tr>
      <w:tr>
        <w:trPr>
          <w:trHeight w:val="20"/>
        </w:trPr>
        <w:tc>
          <w:tcPr>
            <w:tcW w:w="904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8"/>
                <w:szCs w:val="18"/>
                <w:color w:val="auto"/>
              </w:rPr>
              <w:t>Basic earnings per share</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9040" w:type="dxa"/>
            <w:vAlign w:val="bottom"/>
            <w:gridSpan w:val="2"/>
            <w:vMerge w:val="continue"/>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0.53</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7"/>
        </w:trPr>
        <w:tc>
          <w:tcPr>
            <w:tcW w:w="8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Diluted earnings per share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0.52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43"/>
        </w:trPr>
        <w:tc>
          <w:tcPr>
            <w:tcW w:w="9040" w:type="dxa"/>
            <w:vAlign w:val="bottom"/>
            <w:gridSpan w:val="2"/>
          </w:tcPr>
          <w:p>
            <w:pPr>
              <w:ind w:left="40"/>
              <w:spacing w:after="0"/>
              <w:rPr>
                <w:sz w:val="20"/>
                <w:szCs w:val="20"/>
                <w:color w:val="auto"/>
              </w:rPr>
            </w:pPr>
            <w:r>
              <w:rPr>
                <w:rFonts w:ascii="Arial" w:cs="Arial" w:eastAsia="Arial" w:hAnsi="Arial"/>
                <w:sz w:val="18"/>
                <w:szCs w:val="18"/>
                <w:color w:val="auto"/>
              </w:rPr>
              <w:t>Basic weighted average shares outstanding</w:t>
            </w:r>
          </w:p>
        </w:tc>
        <w:tc>
          <w:tcPr>
            <w:tcW w:w="28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90,785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90,185</w:t>
            </w:r>
          </w:p>
        </w:tc>
        <w:tc>
          <w:tcPr>
            <w:tcW w:w="0" w:type="dxa"/>
            <w:vAlign w:val="bottom"/>
          </w:tcPr>
          <w:p>
            <w:pPr>
              <w:spacing w:after="0"/>
              <w:rPr>
                <w:sz w:val="1"/>
                <w:szCs w:val="1"/>
                <w:color w:val="auto"/>
              </w:rPr>
            </w:pPr>
          </w:p>
        </w:tc>
      </w:tr>
      <w:tr>
        <w:trPr>
          <w:trHeight w:val="27"/>
        </w:trPr>
        <w:tc>
          <w:tcPr>
            <w:tcW w:w="8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Dilutive effect of nonvested shares</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1,074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1,329</w:t>
            </w:r>
          </w:p>
        </w:tc>
        <w:tc>
          <w:tcPr>
            <w:tcW w:w="0" w:type="dxa"/>
            <w:vAlign w:val="bottom"/>
          </w:tcPr>
          <w:p>
            <w:pPr>
              <w:spacing w:after="0"/>
              <w:rPr>
                <w:sz w:val="1"/>
                <w:szCs w:val="1"/>
                <w:color w:val="auto"/>
              </w:rPr>
            </w:pPr>
          </w:p>
        </w:tc>
      </w:tr>
      <w:tr>
        <w:trPr>
          <w:trHeight w:val="243"/>
        </w:trPr>
        <w:tc>
          <w:tcPr>
            <w:tcW w:w="9040" w:type="dxa"/>
            <w:vAlign w:val="bottom"/>
            <w:gridSpan w:val="2"/>
          </w:tcPr>
          <w:p>
            <w:pPr>
              <w:ind w:left="40"/>
              <w:spacing w:after="0"/>
              <w:rPr>
                <w:sz w:val="20"/>
                <w:szCs w:val="20"/>
                <w:color w:val="auto"/>
              </w:rPr>
            </w:pPr>
            <w:r>
              <w:rPr>
                <w:rFonts w:ascii="Arial" w:cs="Arial" w:eastAsia="Arial" w:hAnsi="Arial"/>
                <w:sz w:val="18"/>
                <w:szCs w:val="18"/>
                <w:color w:val="auto"/>
              </w:rPr>
              <w:t>Diluted weighted average shares outstanding</w:t>
            </w:r>
          </w:p>
        </w:tc>
        <w:tc>
          <w:tcPr>
            <w:tcW w:w="28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91,859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91,514</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were 347,611 and 252,180 antidilutive shares for the three months ended March 31, 2016 and 2015, respectively.</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nonvested performance-based share awards are considered contingently issuable for purposes of the EPS calculation. Based on the compounded annual book value per share growth as of March 31, 2016, 100% of the performance-based share awards would be issuable under the terms of the arrangements if March 31, 2016 was the end of the performance period. Based on the compounded annual book value per share growth as of March 31, 2015, 100% of the performance-based share awards would have been issuable under the terms of the arrangements if March 31, 2015 was the end of the performance period.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Accumulated Other Comprehensive Income (Loss)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presents the rollforward of accumulated other comprehensive income (loss) for the three months ended March 31, 2016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2015:</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880" w:type="dxa"/>
            <w:vAlign w:val="bottom"/>
            <w:tcBorders>
              <w:bottom w:val="single" w:sz="8" w:color="auto"/>
            </w:tcBorders>
            <w:gridSpan w:val="6"/>
          </w:tcPr>
          <w:p>
            <w:pPr>
              <w:jc w:val="right"/>
              <w:ind w:right="130"/>
              <w:spacing w:after="0"/>
              <w:rPr>
                <w:sz w:val="20"/>
                <w:szCs w:val="20"/>
                <w:color w:val="auto"/>
              </w:rPr>
            </w:pPr>
            <w:r>
              <w:rPr>
                <w:rFonts w:ascii="Arial" w:cs="Arial" w:eastAsia="Arial" w:hAnsi="Arial"/>
                <w:sz w:val="14"/>
                <w:szCs w:val="14"/>
                <w:b w:val="1"/>
                <w:bCs w:val="1"/>
                <w:color w:val="auto"/>
              </w:rPr>
              <w:t>Three Months Ended March 31, 2016</w:t>
            </w:r>
          </w:p>
        </w:tc>
        <w:tc>
          <w:tcPr>
            <w:tcW w:w="1460" w:type="dxa"/>
            <w:vAlign w:val="bottom"/>
            <w:tcBorders>
              <w:bottom w:val="single" w:sz="8" w:color="auto"/>
            </w:tcBorders>
          </w:tcPr>
          <w:p>
            <w:pPr>
              <w:spacing w:after="0"/>
              <w:rPr>
                <w:sz w:val="16"/>
                <w:szCs w:val="16"/>
                <w:color w:val="auto"/>
              </w:rPr>
            </w:pPr>
          </w:p>
        </w:tc>
      </w:tr>
      <w:tr>
        <w:trPr>
          <w:trHeight w:val="264"/>
        </w:trPr>
        <w:tc>
          <w:tcPr>
            <w:tcW w:w="56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Before Tax</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Tax Effect</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Net of Tax</w:t>
            </w: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beginning of period</w:t>
            </w:r>
          </w:p>
        </w:tc>
        <w:tc>
          <w:tcPr>
            <w:tcW w:w="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661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(760)</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w:t>
            </w:r>
          </w:p>
        </w:tc>
      </w:tr>
      <w:tr>
        <w:trPr>
          <w:trHeight w:val="223"/>
        </w:trPr>
        <w:tc>
          <w:tcPr>
            <w:tcW w:w="562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1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r>
      <w:tr>
        <w:trPr>
          <w:trHeight w:val="27"/>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Unrealized holding gains arising during the period</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19,551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(5,845)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13,706</w:t>
            </w: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w w:val="96"/>
              </w:rPr>
              <w:t>Less: Reclassification adjustment for gains included in net income (1)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(478)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131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(347)</w:t>
            </w:r>
          </w:p>
        </w:tc>
      </w:tr>
      <w:tr>
        <w:trPr>
          <w:trHeight w:val="27"/>
        </w:trPr>
        <w:tc>
          <w:tcPr>
            <w:tcW w:w="5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64"/>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unrealized gains on investments</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19,073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(5,714)</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13,359</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Other comprehensive income</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19,073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(5,714)</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13,359</w:t>
            </w:r>
          </w:p>
        </w:tc>
      </w:tr>
      <w:tr>
        <w:trPr>
          <w:trHeight w:val="27"/>
        </w:trPr>
        <w:tc>
          <w:tcPr>
            <w:tcW w:w="5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69"/>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end of period</w:t>
            </w:r>
          </w:p>
        </w:tc>
        <w:tc>
          <w:tcPr>
            <w:tcW w:w="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19,734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(6,474)</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13,260</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r>
        <w:trPr>
          <w:trHeight w:val="440"/>
        </w:trPr>
        <w:tc>
          <w:tcPr>
            <w:tcW w:w="5620" w:type="dxa"/>
            <w:vAlign w:val="bottom"/>
          </w:tcPr>
          <w:p>
            <w:pPr>
              <w:spacing w:after="0"/>
              <w:rPr>
                <w:sz w:val="24"/>
                <w:szCs w:val="24"/>
                <w:color w:val="auto"/>
              </w:rPr>
            </w:pPr>
          </w:p>
        </w:tc>
        <w:tc>
          <w:tcPr>
            <w:tcW w:w="460" w:type="dxa"/>
            <w:vAlign w:val="bottom"/>
            <w:gridSpan w:val="2"/>
          </w:tcPr>
          <w:p>
            <w:pPr>
              <w:jc w:val="right"/>
              <w:ind w:right="280"/>
              <w:spacing w:after="0"/>
              <w:rPr>
                <w:sz w:val="20"/>
                <w:szCs w:val="20"/>
                <w:color w:val="auto"/>
              </w:rPr>
            </w:pPr>
            <w:r>
              <w:rPr>
                <w:rFonts w:ascii="Arial" w:cs="Arial" w:eastAsia="Arial" w:hAnsi="Arial"/>
                <w:sz w:val="18"/>
                <w:szCs w:val="18"/>
                <w:color w:val="auto"/>
                <w:w w:val="79"/>
              </w:rPr>
              <w:t>12</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6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880" w:type="dxa"/>
            <w:vAlign w:val="bottom"/>
            <w:tcBorders>
              <w:bottom w:val="single" w:sz="8" w:color="auto"/>
            </w:tcBorders>
            <w:gridSpan w:val="6"/>
          </w:tcPr>
          <w:p>
            <w:pPr>
              <w:jc w:val="right"/>
              <w:ind w:right="130"/>
              <w:spacing w:after="0"/>
              <w:rPr>
                <w:sz w:val="20"/>
                <w:szCs w:val="20"/>
                <w:color w:val="auto"/>
              </w:rPr>
            </w:pPr>
            <w:r>
              <w:rPr>
                <w:rFonts w:ascii="Arial" w:cs="Arial" w:eastAsia="Arial" w:hAnsi="Arial"/>
                <w:sz w:val="14"/>
                <w:szCs w:val="14"/>
                <w:b w:val="1"/>
                <w:bCs w:val="1"/>
                <w:color w:val="auto"/>
              </w:rPr>
              <w:t>Three Months Ended March 31, 2015</w:t>
            </w:r>
          </w:p>
        </w:tc>
        <w:tc>
          <w:tcPr>
            <w:tcW w:w="1460" w:type="dxa"/>
            <w:vAlign w:val="bottom"/>
            <w:tcBorders>
              <w:bottom w:val="single" w:sz="8" w:color="auto"/>
            </w:tcBorders>
          </w:tcPr>
          <w:p>
            <w:pPr>
              <w:spacing w:after="0"/>
              <w:rPr>
                <w:sz w:val="16"/>
                <w:szCs w:val="16"/>
                <w:color w:val="auto"/>
              </w:rPr>
            </w:pPr>
          </w:p>
        </w:tc>
      </w:tr>
      <w:tr>
        <w:trPr>
          <w:trHeight w:val="264"/>
        </w:trPr>
        <w:tc>
          <w:tcPr>
            <w:tcW w:w="56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Before Tax</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Tax Effect</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Net of Tax</w:t>
            </w:r>
          </w:p>
        </w:tc>
      </w:tr>
      <w:tr>
        <w:trPr>
          <w:trHeight w:val="270"/>
        </w:trPr>
        <w:tc>
          <w:tcPr>
            <w:tcW w:w="5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at beginning of period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6,712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(2,045)</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4,667</w:t>
            </w:r>
          </w:p>
        </w:tc>
      </w:tr>
      <w:tr>
        <w:trPr>
          <w:trHeight w:val="223"/>
        </w:trPr>
        <w:tc>
          <w:tcPr>
            <w:tcW w:w="5740" w:type="dxa"/>
            <w:vAlign w:val="bottom"/>
            <w:gridSpan w:val="2"/>
          </w:tcPr>
          <w:p>
            <w:pPr>
              <w:ind w:left="40"/>
              <w:spacing w:after="0"/>
              <w:rPr>
                <w:sz w:val="20"/>
                <w:szCs w:val="20"/>
                <w:color w:val="auto"/>
              </w:rPr>
            </w:pPr>
            <w:r>
              <w:rPr>
                <w:rFonts w:ascii="Arial" w:cs="Arial" w:eastAsia="Arial" w:hAnsi="Arial"/>
                <w:sz w:val="18"/>
                <w:szCs w:val="18"/>
                <w:color w:val="auto"/>
              </w:rPr>
              <w:t>Other comprehensive income (loss):</w:t>
            </w:r>
          </w:p>
        </w:tc>
        <w:tc>
          <w:tcPr>
            <w:tcW w:w="34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r>
      <w:tr>
        <w:trPr>
          <w:trHeight w:val="27"/>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7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Unrealized holding gains arising during the period</w:t>
            </w: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7,648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5,311</w:t>
            </w:r>
          </w:p>
        </w:tc>
      </w:tr>
      <w:tr>
        <w:trPr>
          <w:trHeight w:val="243"/>
        </w:trPr>
        <w:tc>
          <w:tcPr>
            <w:tcW w:w="5740" w:type="dxa"/>
            <w:vAlign w:val="bottom"/>
            <w:gridSpan w:val="2"/>
          </w:tcPr>
          <w:p>
            <w:pPr>
              <w:ind w:left="280"/>
              <w:spacing w:after="0"/>
              <w:rPr>
                <w:sz w:val="20"/>
                <w:szCs w:val="20"/>
                <w:color w:val="auto"/>
              </w:rPr>
            </w:pPr>
            <w:r>
              <w:rPr>
                <w:rFonts w:ascii="Arial" w:cs="Arial" w:eastAsia="Arial" w:hAnsi="Arial"/>
                <w:sz w:val="18"/>
                <w:szCs w:val="18"/>
                <w:color w:val="auto"/>
                <w:w w:val="98"/>
              </w:rPr>
              <w:t>Less: Reclassification adjustment for gains included in net income (1)</w:t>
            </w:r>
          </w:p>
        </w:tc>
        <w:tc>
          <w:tcPr>
            <w:tcW w:w="3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(649)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227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(422)</w:t>
            </w:r>
          </w:p>
        </w:tc>
      </w:tr>
      <w:tr>
        <w:trPr>
          <w:trHeight w:val="27"/>
        </w:trPr>
        <w:tc>
          <w:tcPr>
            <w:tcW w:w="5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64"/>
        </w:trPr>
        <w:tc>
          <w:tcPr>
            <w:tcW w:w="57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Net unrealized gains on investments</w:t>
            </w:r>
          </w:p>
        </w:tc>
        <w:tc>
          <w:tcPr>
            <w:tcW w:w="34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6,999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(2,110)</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4,889</w:t>
            </w:r>
          </w:p>
        </w:tc>
      </w:tr>
      <w:tr>
        <w:trPr>
          <w:trHeight w:val="237"/>
        </w:trPr>
        <w:tc>
          <w:tcPr>
            <w:tcW w:w="5740" w:type="dxa"/>
            <w:vAlign w:val="bottom"/>
            <w:gridSpan w:val="2"/>
          </w:tcPr>
          <w:p>
            <w:pPr>
              <w:ind w:left="40"/>
              <w:spacing w:after="0"/>
              <w:rPr>
                <w:sz w:val="20"/>
                <w:szCs w:val="20"/>
                <w:color w:val="auto"/>
              </w:rPr>
            </w:pPr>
            <w:r>
              <w:rPr>
                <w:rFonts w:ascii="Arial" w:cs="Arial" w:eastAsia="Arial" w:hAnsi="Arial"/>
                <w:sz w:val="18"/>
                <w:szCs w:val="18"/>
                <w:color w:val="auto"/>
              </w:rPr>
              <w:t>Other comprehensive income</w:t>
            </w:r>
          </w:p>
        </w:tc>
        <w:tc>
          <w:tcPr>
            <w:tcW w:w="3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6,999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(2,110)</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4,889</w:t>
            </w:r>
          </w:p>
        </w:tc>
      </w:tr>
      <w:tr>
        <w:trPr>
          <w:trHeight w:val="27"/>
        </w:trPr>
        <w:tc>
          <w:tcPr>
            <w:tcW w:w="5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69"/>
        </w:trPr>
        <w:tc>
          <w:tcPr>
            <w:tcW w:w="5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at end of period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13,711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(4,155)</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9,556</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 Included in net realized investment gains on our condensed consolidated statements of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14065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06525" cy="889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Fair Value of Financial Instruments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estimated fair values and related carrying amounts of our financial instruments were as follows: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March 31, 2016 (In thousands)</w:t>
            </w:r>
          </w:p>
        </w:tc>
        <w:tc>
          <w:tcPr>
            <w:tcW w:w="120" w:type="dxa"/>
            <w:vAlign w:val="bottom"/>
            <w:vMerge w:val="restart"/>
          </w:tcPr>
          <w:p>
            <w:pPr>
              <w:spacing w:after="0"/>
              <w:rPr>
                <w:sz w:val="14"/>
                <w:szCs w:val="14"/>
                <w:color w:val="auto"/>
              </w:rPr>
            </w:pPr>
          </w:p>
        </w:tc>
        <w:tc>
          <w:tcPr>
            <w:tcW w:w="320" w:type="dxa"/>
            <w:vAlign w:val="bottom"/>
          </w:tcPr>
          <w:p>
            <w:pPr>
              <w:spacing w:after="0"/>
              <w:rPr>
                <w:sz w:val="14"/>
                <w:szCs w:val="14"/>
                <w:color w:val="auto"/>
              </w:rPr>
            </w:pPr>
          </w:p>
        </w:tc>
        <w:tc>
          <w:tcPr>
            <w:tcW w:w="13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7"/>
              </w:rPr>
              <w:t>Carrying</w:t>
            </w:r>
          </w:p>
        </w:tc>
        <w:tc>
          <w:tcPr>
            <w:tcW w:w="380" w:type="dxa"/>
            <w:vAlign w:val="bottom"/>
          </w:tcPr>
          <w:p>
            <w:pPr>
              <w:spacing w:after="0"/>
              <w:rPr>
                <w:sz w:val="14"/>
                <w:szCs w:val="14"/>
                <w:color w:val="auto"/>
              </w:rPr>
            </w:pPr>
          </w:p>
        </w:tc>
        <w:tc>
          <w:tcPr>
            <w:tcW w:w="1220" w:type="dxa"/>
            <w:vAlign w:val="bottom"/>
          </w:tcPr>
          <w:p>
            <w:pPr>
              <w:jc w:val="center"/>
              <w:ind w:right="313"/>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92"/>
        </w:trPr>
        <w:tc>
          <w:tcPr>
            <w:tcW w:w="8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233"/>
              <w:spacing w:after="0"/>
              <w:rPr>
                <w:sz w:val="20"/>
                <w:szCs w:val="20"/>
                <w:color w:val="auto"/>
              </w:rPr>
            </w:pPr>
            <w:r>
              <w:rPr>
                <w:rFonts w:ascii="Arial" w:cs="Arial" w:eastAsia="Arial" w:hAnsi="Arial"/>
                <w:sz w:val="14"/>
                <w:szCs w:val="14"/>
                <w:b w:val="1"/>
                <w:bCs w:val="1"/>
                <w:color w:val="auto"/>
                <w:w w:val="98"/>
              </w:rPr>
              <w:t>Amount</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273"/>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Financial Assets:</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gridSpan w:val="2"/>
          </w:tcPr>
          <w:p>
            <w:pPr>
              <w:ind w:left="280"/>
              <w:spacing w:after="0"/>
              <w:rPr>
                <w:sz w:val="20"/>
                <w:szCs w:val="20"/>
                <w:color w:val="auto"/>
              </w:rPr>
            </w:pPr>
            <w:r>
              <w:rPr>
                <w:rFonts w:ascii="Arial" w:cs="Arial" w:eastAsia="Arial" w:hAnsi="Arial"/>
                <w:sz w:val="18"/>
                <w:szCs w:val="18"/>
                <w:color w:val="auto"/>
              </w:rPr>
              <w:t>U.S. Treasury securities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211,780</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211,780</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U.S. agency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14,657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14,657</w:t>
            </w:r>
          </w:p>
        </w:tc>
        <w:tc>
          <w:tcPr>
            <w:tcW w:w="0" w:type="dxa"/>
            <w:vAlign w:val="bottom"/>
          </w:tcPr>
          <w:p>
            <w:pPr>
              <w:spacing w:after="0"/>
              <w:rPr>
                <w:sz w:val="1"/>
                <w:szCs w:val="1"/>
                <w:color w:val="auto"/>
              </w:rPr>
            </w:pPr>
          </w:p>
        </w:tc>
      </w:tr>
      <w:tr>
        <w:trPr>
          <w:trHeight w:val="243"/>
        </w:trPr>
        <w:tc>
          <w:tcPr>
            <w:tcW w:w="8120" w:type="dxa"/>
            <w:vAlign w:val="bottom"/>
            <w:gridSpan w:val="2"/>
          </w:tcPr>
          <w:p>
            <w:pPr>
              <w:ind w:left="280"/>
              <w:spacing w:after="0"/>
              <w:rPr>
                <w:sz w:val="20"/>
                <w:szCs w:val="20"/>
                <w:color w:val="auto"/>
              </w:rPr>
            </w:pPr>
            <w:r>
              <w:rPr>
                <w:rFonts w:ascii="Arial" w:cs="Arial" w:eastAsia="Arial" w:hAnsi="Arial"/>
                <w:sz w:val="18"/>
                <w:szCs w:val="18"/>
                <w:color w:val="auto"/>
              </w:rPr>
              <w:t>U.S. agency mortgage-backed securities</w:t>
            </w:r>
          </w:p>
        </w:tc>
        <w:tc>
          <w:tcPr>
            <w:tcW w:w="32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178,003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178,003</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Municipal debt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304,111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304,111</w:t>
            </w:r>
          </w:p>
        </w:tc>
        <w:tc>
          <w:tcPr>
            <w:tcW w:w="0" w:type="dxa"/>
            <w:vAlign w:val="bottom"/>
          </w:tcPr>
          <w:p>
            <w:pPr>
              <w:spacing w:after="0"/>
              <w:rPr>
                <w:sz w:val="1"/>
                <w:szCs w:val="1"/>
                <w:color w:val="auto"/>
              </w:rPr>
            </w:pPr>
          </w:p>
        </w:tc>
      </w:tr>
      <w:tr>
        <w:trPr>
          <w:trHeight w:val="243"/>
        </w:trPr>
        <w:tc>
          <w:tcPr>
            <w:tcW w:w="8120" w:type="dxa"/>
            <w:vAlign w:val="bottom"/>
            <w:gridSpan w:val="2"/>
          </w:tcPr>
          <w:p>
            <w:pPr>
              <w:ind w:left="280"/>
              <w:spacing w:after="0"/>
              <w:rPr>
                <w:sz w:val="20"/>
                <w:szCs w:val="20"/>
                <w:color w:val="auto"/>
              </w:rPr>
            </w:pPr>
            <w:r>
              <w:rPr>
                <w:rFonts w:ascii="Arial" w:cs="Arial" w:eastAsia="Arial" w:hAnsi="Arial"/>
                <w:sz w:val="18"/>
                <w:szCs w:val="18"/>
                <w:color w:val="auto"/>
              </w:rPr>
              <w:t>Corporate debt securities</w:t>
            </w:r>
          </w:p>
        </w:tc>
        <w:tc>
          <w:tcPr>
            <w:tcW w:w="32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416,688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416,688</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Mortgage-backed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53,046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53,046</w:t>
            </w:r>
          </w:p>
        </w:tc>
        <w:tc>
          <w:tcPr>
            <w:tcW w:w="0" w:type="dxa"/>
            <w:vAlign w:val="bottom"/>
          </w:tcPr>
          <w:p>
            <w:pPr>
              <w:spacing w:after="0"/>
              <w:rPr>
                <w:sz w:val="1"/>
                <w:szCs w:val="1"/>
                <w:color w:val="auto"/>
              </w:rPr>
            </w:pPr>
          </w:p>
        </w:tc>
      </w:tr>
      <w:tr>
        <w:trPr>
          <w:trHeight w:val="243"/>
        </w:trPr>
        <w:tc>
          <w:tcPr>
            <w:tcW w:w="8120" w:type="dxa"/>
            <w:vAlign w:val="bottom"/>
            <w:gridSpan w:val="2"/>
          </w:tcPr>
          <w:p>
            <w:pPr>
              <w:ind w:left="280"/>
              <w:spacing w:after="0"/>
              <w:rPr>
                <w:sz w:val="20"/>
                <w:szCs w:val="20"/>
                <w:color w:val="auto"/>
              </w:rPr>
            </w:pPr>
            <w:r>
              <w:rPr>
                <w:rFonts w:ascii="Arial" w:cs="Arial" w:eastAsia="Arial" w:hAnsi="Arial"/>
                <w:sz w:val="18"/>
                <w:szCs w:val="18"/>
                <w:color w:val="auto"/>
              </w:rPr>
              <w:t>Asset-backed securities</w:t>
            </w:r>
          </w:p>
        </w:tc>
        <w:tc>
          <w:tcPr>
            <w:tcW w:w="32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121,729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121,729</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Money market funds</w:t>
            </w: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68,488</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68,488</w:t>
            </w:r>
          </w:p>
        </w:tc>
        <w:tc>
          <w:tcPr>
            <w:tcW w:w="0" w:type="dxa"/>
            <w:vAlign w:val="bottom"/>
          </w:tcPr>
          <w:p>
            <w:pPr>
              <w:spacing w:after="0"/>
              <w:rPr>
                <w:sz w:val="1"/>
                <w:szCs w:val="1"/>
                <w:color w:val="auto"/>
              </w:rPr>
            </w:pPr>
          </w:p>
        </w:tc>
      </w:tr>
      <w:tr>
        <w:trPr>
          <w:trHeight w:val="237"/>
        </w:trPr>
        <w:tc>
          <w:tcPr>
            <w:tcW w:w="8120" w:type="dxa"/>
            <w:vAlign w:val="bottom"/>
            <w:gridSpan w:val="2"/>
          </w:tcPr>
          <w:p>
            <w:pPr>
              <w:ind w:left="280"/>
              <w:spacing w:after="0"/>
              <w:rPr>
                <w:sz w:val="20"/>
                <w:szCs w:val="20"/>
                <w:color w:val="auto"/>
              </w:rPr>
            </w:pPr>
            <w:r>
              <w:rPr>
                <w:rFonts w:ascii="Arial" w:cs="Arial" w:eastAsia="Arial" w:hAnsi="Arial"/>
                <w:sz w:val="18"/>
                <w:szCs w:val="18"/>
                <w:color w:val="auto"/>
              </w:rPr>
              <w:t>Total investments</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1,368,502</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1,368,502</w:t>
            </w:r>
          </w:p>
        </w:tc>
        <w:tc>
          <w:tcPr>
            <w:tcW w:w="0" w:type="dxa"/>
            <w:vAlign w:val="bottom"/>
          </w:tcPr>
          <w:p>
            <w:pPr>
              <w:spacing w:after="0"/>
              <w:rPr>
                <w:sz w:val="1"/>
                <w:szCs w:val="1"/>
                <w:color w:val="auto"/>
              </w:rPr>
            </w:pPr>
          </w:p>
        </w:tc>
      </w:tr>
      <w:tr>
        <w:trPr>
          <w:trHeight w:val="67"/>
        </w:trPr>
        <w:tc>
          <w:tcPr>
            <w:tcW w:w="800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8120" w:type="dxa"/>
            <w:vAlign w:val="bottom"/>
            <w:tcBorders>
              <w:bottom w:val="single" w:sz="8" w:color="CCEEFF"/>
            </w:tcBorders>
            <w:gridSpan w:val="2"/>
            <w:shd w:val="clear" w:color="auto" w:fill="CCEEFF"/>
          </w:tcPr>
          <w:p>
            <w:pPr>
              <w:ind w:left="40"/>
              <w:spacing w:after="0" w:line="196" w:lineRule="exact"/>
              <w:rPr>
                <w:sz w:val="20"/>
                <w:szCs w:val="20"/>
                <w:color w:val="auto"/>
              </w:rPr>
            </w:pPr>
            <w:r>
              <w:rPr>
                <w:rFonts w:ascii="Arial" w:cs="Arial" w:eastAsia="Arial" w:hAnsi="Arial"/>
                <w:sz w:val="18"/>
                <w:szCs w:val="18"/>
                <w:color w:val="auto"/>
              </w:rPr>
              <w:t>Financial Liabilities:</w:t>
            </w:r>
          </w:p>
        </w:tc>
        <w:tc>
          <w:tcPr>
            <w:tcW w:w="32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8120" w:type="dxa"/>
            <w:vAlign w:val="bottom"/>
            <w:gridSpan w:val="2"/>
          </w:tcPr>
          <w:p>
            <w:pPr>
              <w:ind w:left="280"/>
              <w:spacing w:after="0"/>
              <w:rPr>
                <w:sz w:val="20"/>
                <w:szCs w:val="20"/>
                <w:color w:val="auto"/>
              </w:rPr>
            </w:pPr>
            <w:r>
              <w:rPr>
                <w:rFonts w:ascii="Arial" w:cs="Arial" w:eastAsia="Arial" w:hAnsi="Arial"/>
                <w:sz w:val="18"/>
                <w:szCs w:val="18"/>
                <w:color w:val="auto"/>
              </w:rPr>
              <w:t>Derivative liabilities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898</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898</w:t>
            </w:r>
          </w:p>
        </w:tc>
        <w:tc>
          <w:tcPr>
            <w:tcW w:w="0" w:type="dxa"/>
            <w:vAlign w:val="bottom"/>
          </w:tcPr>
          <w:p>
            <w:pPr>
              <w:spacing w:after="0"/>
              <w:rPr>
                <w:sz w:val="1"/>
                <w:szCs w:val="1"/>
                <w:color w:val="auto"/>
              </w:rPr>
            </w:pPr>
          </w:p>
        </w:tc>
      </w:tr>
      <w:tr>
        <w:trPr>
          <w:trHeight w:val="531"/>
        </w:trPr>
        <w:tc>
          <w:tcPr>
            <w:tcW w:w="80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December 31, 2015 (In thousands)</w:t>
            </w:r>
          </w:p>
        </w:tc>
        <w:tc>
          <w:tcPr>
            <w:tcW w:w="120" w:type="dxa"/>
            <w:vAlign w:val="bottom"/>
            <w:vMerge w:val="restart"/>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7"/>
              </w:rPr>
              <w:t>Carrying</w:t>
            </w:r>
          </w:p>
        </w:tc>
        <w:tc>
          <w:tcPr>
            <w:tcW w:w="380" w:type="dxa"/>
            <w:vAlign w:val="bottom"/>
          </w:tcPr>
          <w:p>
            <w:pPr>
              <w:spacing w:after="0"/>
              <w:rPr>
                <w:sz w:val="24"/>
                <w:szCs w:val="24"/>
                <w:color w:val="auto"/>
              </w:rPr>
            </w:pPr>
          </w:p>
        </w:tc>
        <w:tc>
          <w:tcPr>
            <w:tcW w:w="1220" w:type="dxa"/>
            <w:vAlign w:val="bottom"/>
          </w:tcPr>
          <w:p>
            <w:pPr>
              <w:jc w:val="center"/>
              <w:ind w:right="313"/>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92"/>
        </w:trPr>
        <w:tc>
          <w:tcPr>
            <w:tcW w:w="8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233"/>
              <w:spacing w:after="0"/>
              <w:rPr>
                <w:sz w:val="20"/>
                <w:szCs w:val="20"/>
                <w:color w:val="auto"/>
              </w:rPr>
            </w:pPr>
            <w:r>
              <w:rPr>
                <w:rFonts w:ascii="Arial" w:cs="Arial" w:eastAsia="Arial" w:hAnsi="Arial"/>
                <w:sz w:val="14"/>
                <w:szCs w:val="14"/>
                <w:b w:val="1"/>
                <w:bCs w:val="1"/>
                <w:color w:val="auto"/>
                <w:w w:val="98"/>
              </w:rPr>
              <w:t>Amount</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273"/>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Financial Assets:</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gridSpan w:val="2"/>
          </w:tcPr>
          <w:p>
            <w:pPr>
              <w:ind w:left="280"/>
              <w:spacing w:after="0"/>
              <w:rPr>
                <w:sz w:val="20"/>
                <w:szCs w:val="20"/>
                <w:color w:val="auto"/>
              </w:rPr>
            </w:pPr>
            <w:r>
              <w:rPr>
                <w:rFonts w:ascii="Arial" w:cs="Arial" w:eastAsia="Arial" w:hAnsi="Arial"/>
                <w:sz w:val="18"/>
                <w:szCs w:val="18"/>
                <w:color w:val="auto"/>
              </w:rPr>
              <w:t>U.S. Treasury securities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177,607</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177,607</w:t>
            </w:r>
          </w:p>
        </w:tc>
        <w:tc>
          <w:tcPr>
            <w:tcW w:w="0" w:type="dxa"/>
            <w:vAlign w:val="bottom"/>
          </w:tcPr>
          <w:p>
            <w:pPr>
              <w:spacing w:after="0"/>
              <w:rPr>
                <w:sz w:val="1"/>
                <w:szCs w:val="1"/>
                <w:color w:val="auto"/>
              </w:rPr>
            </w:pPr>
          </w:p>
        </w:tc>
      </w:tr>
      <w:tr>
        <w:trPr>
          <w:trHeight w:val="27"/>
        </w:trPr>
        <w:tc>
          <w:tcPr>
            <w:tcW w:w="812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U.S. agency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13,782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13,782</w:t>
            </w:r>
          </w:p>
        </w:tc>
        <w:tc>
          <w:tcPr>
            <w:tcW w:w="0" w:type="dxa"/>
            <w:vAlign w:val="bottom"/>
          </w:tcPr>
          <w:p>
            <w:pPr>
              <w:spacing w:after="0"/>
              <w:rPr>
                <w:sz w:val="1"/>
                <w:szCs w:val="1"/>
                <w:color w:val="auto"/>
              </w:rPr>
            </w:pPr>
          </w:p>
        </w:tc>
      </w:tr>
      <w:tr>
        <w:trPr>
          <w:trHeight w:val="243"/>
        </w:trPr>
        <w:tc>
          <w:tcPr>
            <w:tcW w:w="8120" w:type="dxa"/>
            <w:vAlign w:val="bottom"/>
            <w:gridSpan w:val="2"/>
          </w:tcPr>
          <w:p>
            <w:pPr>
              <w:ind w:left="280"/>
              <w:spacing w:after="0"/>
              <w:rPr>
                <w:sz w:val="20"/>
                <w:szCs w:val="20"/>
                <w:color w:val="auto"/>
              </w:rPr>
            </w:pPr>
            <w:r>
              <w:rPr>
                <w:rFonts w:ascii="Arial" w:cs="Arial" w:eastAsia="Arial" w:hAnsi="Arial"/>
                <w:sz w:val="18"/>
                <w:szCs w:val="18"/>
                <w:color w:val="auto"/>
              </w:rPr>
              <w:t>U.S. agency mortgage-backed securities</w:t>
            </w:r>
          </w:p>
        </w:tc>
        <w:tc>
          <w:tcPr>
            <w:tcW w:w="32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159,602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159,602</w:t>
            </w:r>
          </w:p>
        </w:tc>
        <w:tc>
          <w:tcPr>
            <w:tcW w:w="0" w:type="dxa"/>
            <w:vAlign w:val="bottom"/>
          </w:tcPr>
          <w:p>
            <w:pPr>
              <w:spacing w:after="0"/>
              <w:rPr>
                <w:sz w:val="1"/>
                <w:szCs w:val="1"/>
                <w:color w:val="auto"/>
              </w:rPr>
            </w:pPr>
          </w:p>
        </w:tc>
      </w:tr>
      <w:tr>
        <w:trPr>
          <w:trHeight w:val="27"/>
        </w:trPr>
        <w:tc>
          <w:tcPr>
            <w:tcW w:w="812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Municipal debt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279,828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279,828</w:t>
            </w:r>
          </w:p>
        </w:tc>
        <w:tc>
          <w:tcPr>
            <w:tcW w:w="0" w:type="dxa"/>
            <w:vAlign w:val="bottom"/>
          </w:tcPr>
          <w:p>
            <w:pPr>
              <w:spacing w:after="0"/>
              <w:rPr>
                <w:sz w:val="1"/>
                <w:szCs w:val="1"/>
                <w:color w:val="auto"/>
              </w:rPr>
            </w:pPr>
          </w:p>
        </w:tc>
      </w:tr>
      <w:tr>
        <w:trPr>
          <w:trHeight w:val="243"/>
        </w:trPr>
        <w:tc>
          <w:tcPr>
            <w:tcW w:w="8120" w:type="dxa"/>
            <w:vAlign w:val="bottom"/>
            <w:gridSpan w:val="2"/>
          </w:tcPr>
          <w:p>
            <w:pPr>
              <w:ind w:left="280"/>
              <w:spacing w:after="0"/>
              <w:rPr>
                <w:sz w:val="20"/>
                <w:szCs w:val="20"/>
                <w:color w:val="auto"/>
              </w:rPr>
            </w:pPr>
            <w:r>
              <w:rPr>
                <w:rFonts w:ascii="Arial" w:cs="Arial" w:eastAsia="Arial" w:hAnsi="Arial"/>
                <w:sz w:val="18"/>
                <w:szCs w:val="18"/>
                <w:color w:val="auto"/>
              </w:rPr>
              <w:t>Corporate debt securities</w:t>
            </w:r>
          </w:p>
        </w:tc>
        <w:tc>
          <w:tcPr>
            <w:tcW w:w="32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396,732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396,732</w:t>
            </w:r>
          </w:p>
        </w:tc>
        <w:tc>
          <w:tcPr>
            <w:tcW w:w="0" w:type="dxa"/>
            <w:vAlign w:val="bottom"/>
          </w:tcPr>
          <w:p>
            <w:pPr>
              <w:spacing w:after="0"/>
              <w:rPr>
                <w:sz w:val="1"/>
                <w:szCs w:val="1"/>
                <w:color w:val="auto"/>
              </w:rPr>
            </w:pPr>
          </w:p>
        </w:tc>
      </w:tr>
      <w:tr>
        <w:trPr>
          <w:trHeight w:val="27"/>
        </w:trPr>
        <w:tc>
          <w:tcPr>
            <w:tcW w:w="812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Mortgage-backed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55,356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55,356</w:t>
            </w:r>
          </w:p>
        </w:tc>
        <w:tc>
          <w:tcPr>
            <w:tcW w:w="0" w:type="dxa"/>
            <w:vAlign w:val="bottom"/>
          </w:tcPr>
          <w:p>
            <w:pPr>
              <w:spacing w:after="0"/>
              <w:rPr>
                <w:sz w:val="1"/>
                <w:szCs w:val="1"/>
                <w:color w:val="auto"/>
              </w:rPr>
            </w:pPr>
          </w:p>
        </w:tc>
      </w:tr>
      <w:tr>
        <w:trPr>
          <w:trHeight w:val="243"/>
        </w:trPr>
        <w:tc>
          <w:tcPr>
            <w:tcW w:w="8120" w:type="dxa"/>
            <w:vAlign w:val="bottom"/>
            <w:gridSpan w:val="2"/>
          </w:tcPr>
          <w:p>
            <w:pPr>
              <w:ind w:left="280"/>
              <w:spacing w:after="0"/>
              <w:rPr>
                <w:sz w:val="20"/>
                <w:szCs w:val="20"/>
                <w:color w:val="auto"/>
              </w:rPr>
            </w:pPr>
            <w:r>
              <w:rPr>
                <w:rFonts w:ascii="Arial" w:cs="Arial" w:eastAsia="Arial" w:hAnsi="Arial"/>
                <w:sz w:val="18"/>
                <w:szCs w:val="18"/>
                <w:color w:val="auto"/>
              </w:rPr>
              <w:t>Asset-backed securities</w:t>
            </w:r>
          </w:p>
        </w:tc>
        <w:tc>
          <w:tcPr>
            <w:tcW w:w="32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126,629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126,629</w:t>
            </w:r>
          </w:p>
        </w:tc>
        <w:tc>
          <w:tcPr>
            <w:tcW w:w="0" w:type="dxa"/>
            <w:vAlign w:val="bottom"/>
          </w:tcPr>
          <w:p>
            <w:pPr>
              <w:spacing w:after="0"/>
              <w:rPr>
                <w:sz w:val="1"/>
                <w:szCs w:val="1"/>
                <w:color w:val="auto"/>
              </w:rPr>
            </w:pPr>
          </w:p>
        </w:tc>
      </w:tr>
      <w:tr>
        <w:trPr>
          <w:trHeight w:val="27"/>
        </w:trPr>
        <w:tc>
          <w:tcPr>
            <w:tcW w:w="812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Money market funds</w:t>
            </w: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67,098</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67,098</w:t>
            </w:r>
          </w:p>
        </w:tc>
        <w:tc>
          <w:tcPr>
            <w:tcW w:w="0" w:type="dxa"/>
            <w:vAlign w:val="bottom"/>
          </w:tcPr>
          <w:p>
            <w:pPr>
              <w:spacing w:after="0"/>
              <w:rPr>
                <w:sz w:val="1"/>
                <w:szCs w:val="1"/>
                <w:color w:val="auto"/>
              </w:rPr>
            </w:pPr>
          </w:p>
        </w:tc>
      </w:tr>
      <w:tr>
        <w:trPr>
          <w:trHeight w:val="237"/>
        </w:trPr>
        <w:tc>
          <w:tcPr>
            <w:tcW w:w="8120" w:type="dxa"/>
            <w:vAlign w:val="bottom"/>
            <w:gridSpan w:val="2"/>
          </w:tcPr>
          <w:p>
            <w:pPr>
              <w:ind w:left="280"/>
              <w:spacing w:after="0"/>
              <w:rPr>
                <w:sz w:val="20"/>
                <w:szCs w:val="20"/>
                <w:color w:val="auto"/>
              </w:rPr>
            </w:pPr>
            <w:r>
              <w:rPr>
                <w:rFonts w:ascii="Arial" w:cs="Arial" w:eastAsia="Arial" w:hAnsi="Arial"/>
                <w:sz w:val="18"/>
                <w:szCs w:val="18"/>
                <w:color w:val="auto"/>
              </w:rPr>
              <w:t>Total investments</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1,276,634</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1,276,634</w:t>
            </w:r>
          </w:p>
        </w:tc>
        <w:tc>
          <w:tcPr>
            <w:tcW w:w="0" w:type="dxa"/>
            <w:vAlign w:val="bottom"/>
          </w:tcPr>
          <w:p>
            <w:pPr>
              <w:spacing w:after="0"/>
              <w:rPr>
                <w:sz w:val="1"/>
                <w:szCs w:val="1"/>
                <w:color w:val="auto"/>
              </w:rPr>
            </w:pPr>
          </w:p>
        </w:tc>
      </w:tr>
      <w:tr>
        <w:trPr>
          <w:trHeight w:val="67"/>
        </w:trPr>
        <w:tc>
          <w:tcPr>
            <w:tcW w:w="8120" w:type="dxa"/>
            <w:vAlign w:val="bottom"/>
            <w:tcBorders>
              <w:bottom w:val="single" w:sz="8" w:color="CCEEFF"/>
            </w:tcBorders>
            <w:gridSpan w:val="2"/>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8120" w:type="dxa"/>
            <w:vAlign w:val="bottom"/>
            <w:tcBorders>
              <w:bottom w:val="single" w:sz="8" w:color="CCEEFF"/>
            </w:tcBorders>
            <w:gridSpan w:val="2"/>
            <w:shd w:val="clear" w:color="auto" w:fill="CCEEFF"/>
          </w:tcPr>
          <w:p>
            <w:pPr>
              <w:ind w:left="40"/>
              <w:spacing w:after="0" w:line="196" w:lineRule="exact"/>
              <w:rPr>
                <w:sz w:val="20"/>
                <w:szCs w:val="20"/>
                <w:color w:val="auto"/>
              </w:rPr>
            </w:pPr>
            <w:r>
              <w:rPr>
                <w:rFonts w:ascii="Arial" w:cs="Arial" w:eastAsia="Arial" w:hAnsi="Arial"/>
                <w:sz w:val="18"/>
                <w:szCs w:val="18"/>
                <w:color w:val="auto"/>
              </w:rPr>
              <w:t>Financial Liabilities:</w:t>
            </w:r>
          </w:p>
        </w:tc>
        <w:tc>
          <w:tcPr>
            <w:tcW w:w="32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8120" w:type="dxa"/>
            <w:vAlign w:val="bottom"/>
            <w:gridSpan w:val="2"/>
          </w:tcPr>
          <w:p>
            <w:pPr>
              <w:ind w:left="280"/>
              <w:spacing w:after="0"/>
              <w:rPr>
                <w:sz w:val="20"/>
                <w:szCs w:val="20"/>
                <w:color w:val="auto"/>
              </w:rPr>
            </w:pPr>
            <w:r>
              <w:rPr>
                <w:rFonts w:ascii="Arial" w:cs="Arial" w:eastAsia="Arial" w:hAnsi="Arial"/>
                <w:sz w:val="18"/>
                <w:szCs w:val="18"/>
                <w:color w:val="auto"/>
              </w:rPr>
              <w:t>Derivative liabilities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1,232</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1,232</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125" w:right="239" w:bottom="1440" w:gutter="0" w:footer="0" w:header="0"/>
          <w:type w:val="continuous"/>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Hierarchy</w:t>
      </w:r>
    </w:p>
    <w:p>
      <w:pPr>
        <w:spacing w:after="0" w:line="22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ASC No. 820 specifies a hierarchy of valuation techniques based on whether the inputs to those valuation techniques are observable or unobservable. Observable inputs reflect market data obtained from independent sources, while unobservable inputs reflect our market assumptions. The level within the fair value hierarchy to measure the financial instrument shall be determined based on the lowest level input that is significant to the fair value measurement. The three levels of the fair value hierarchy are as follows:</w:t>
      </w:r>
    </w:p>
    <w:p>
      <w:pPr>
        <w:spacing w:after="0" w:line="187"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1 — Quoted prices for identical instruments in active markets accessible at the measurement date.</w:t>
      </w:r>
    </w:p>
    <w:p>
      <w:pPr>
        <w:spacing w:after="0" w:line="225" w:lineRule="exact"/>
        <w:rPr>
          <w:rFonts w:ascii="Arial" w:cs="Arial" w:eastAsia="Arial" w:hAnsi="Arial"/>
          <w:sz w:val="18"/>
          <w:szCs w:val="18"/>
          <w:color w:val="auto"/>
        </w:rPr>
      </w:pPr>
    </w:p>
    <w:p>
      <w:pPr>
        <w:jc w:val="both"/>
        <w:ind w:left="660" w:right="200" w:hanging="328"/>
        <w:spacing w:after="0" w:line="26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2 — Quoted prices for similar instruments in active markets; quoted prices for identical or similar instruments in markets that are not active; and valuations in which all significant inputs are observable in active markets. Inputs are observable for substantially the full term of the financial instrument.</w:t>
      </w:r>
    </w:p>
    <w:p>
      <w:pPr>
        <w:spacing w:after="0" w:line="18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3 — Valuations derived from one or more significant inputs that are unobservable.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Determination of Fair Value</w:t>
      </w:r>
    </w:p>
    <w:p>
      <w:pPr>
        <w:spacing w:after="0" w:line="229"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color w:val="auto"/>
        </w:rPr>
        <w:t>When available, we generally use quoted market prices to determine fair value and classify the financial instrument in Level 1. In cases where quoted market prices for similar financial instruments are available, we utilize these inputs for valuation techniques and classify the financial instrument in Level 2. In cases where quoted market prices are not available, fair values are based on estimates using discounted cash flows, present value or other valuation techniques. Those techniques are significantly affected by the assumptions used, including the discount rates and estimates of future cash flows and we classify the financial instrument in Level 3. Accordingly, the fair value estimates may not be realized in an immediate settlement of the instrument.</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used the following methods and assumptions in estimating fair values of financial instruments:</w:t>
      </w:r>
    </w:p>
    <w:p>
      <w:pPr>
        <w:spacing w:after="0" w:line="225" w:lineRule="exact"/>
        <w:rPr>
          <w:sz w:val="20"/>
          <w:szCs w:val="20"/>
          <w:color w:val="auto"/>
        </w:rPr>
      </w:pPr>
    </w:p>
    <w:p>
      <w:pPr>
        <w:ind w:left="660" w:right="20" w:hanging="328"/>
        <w:spacing w:after="0" w:line="255"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Investments available for sale — Investments available for sale are valued using quoted market prices in active markets, when available, and those investments are classified as Level 1 of the fair value hierarchy. Level 1 investments available for sale include investments such as U.S. Treasury securities and money market funds. Investments available for sale are classified as Level 2 of the fair value hierarchy if quoted market prices are not available and fair values are estimated using quoted prices of similar securities or recently executed transactions for the securities. U.S. agency securities, U.S. agency mortgage-backed securities, municipal debt securities, corporate debt securities, mortgage-backed securities and asset-backed securities are classified as Level 2 investments.</w:t>
      </w:r>
    </w:p>
    <w:p>
      <w:pPr>
        <w:spacing w:after="0" w:line="193" w:lineRule="exact"/>
        <w:rPr>
          <w:rFonts w:ascii="Arial" w:cs="Arial" w:eastAsia="Arial" w:hAnsi="Arial"/>
          <w:sz w:val="18"/>
          <w:szCs w:val="18"/>
          <w:color w:val="auto"/>
        </w:rPr>
      </w:pPr>
    </w:p>
    <w:p>
      <w:pPr>
        <w:ind w:left="660" w:right="80"/>
        <w:spacing w:after="0" w:line="269" w:lineRule="auto"/>
        <w:rPr>
          <w:rFonts w:ascii="Arial" w:cs="Arial" w:eastAsia="Arial" w:hAnsi="Arial"/>
          <w:sz w:val="18"/>
          <w:szCs w:val="18"/>
          <w:color w:val="auto"/>
        </w:rPr>
      </w:pPr>
      <w:r>
        <w:rPr>
          <w:rFonts w:ascii="Arial" w:cs="Arial" w:eastAsia="Arial" w:hAnsi="Arial"/>
          <w:sz w:val="17"/>
          <w:szCs w:val="17"/>
          <w:color w:val="auto"/>
        </w:rPr>
        <w:t>We use independent pricing sources to determine the fair value of securities available for sale in Level 1 and Level 2 of the fair value hierarchy. We use one primary pricing service to provide individual security pricing based on observable market data and receive one quote per security. To ensure securities are appropriately classified in the fair value hierarchy, we review the pricing techniques and methodologies of the independent pricing service and believe that their policies adequately consider market activity, either based on specific transactions for the issue valued or based on modeling of securities with similar credit quality, duration, yield and structure that were recently traded. U.S. agency securities, U.S. agency mortgage-backed securities, municipal and corporate debt securities are valued by our primary vendor using recently executed transactions and proprietary models based on observable inputs, such as interest rate spreads, yield curves and credit risk. Mortgage-backed and asset-backed securities are valued by our primary vendor using proprietary models based on observable inputs, such as interest rate spreads, prepayment speeds and credit risk. As part of our evaluation of investment prices provided by our primary pricing service, we obtained and reviewed their pricing methodologies which include a description of how each security type is evaluated and priced. We review the reasonableness of prices received from our primary pricing service by comparison to prices obtained from additional pricing sources. We have not made any adjustments to the prices obtained from our primary pricing service.</w:t>
      </w:r>
    </w:p>
    <w:p>
      <w:pPr>
        <w:spacing w:after="0" w:line="179" w:lineRule="exact"/>
        <w:rPr>
          <w:rFonts w:ascii="Arial" w:cs="Arial" w:eastAsia="Arial" w:hAnsi="Arial"/>
          <w:sz w:val="18"/>
          <w:szCs w:val="18"/>
          <w:color w:val="auto"/>
        </w:rPr>
      </w:pPr>
    </w:p>
    <w:p>
      <w:pPr>
        <w:ind w:left="660" w:hanging="328"/>
        <w:spacing w:after="0" w:line="259"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Derivative liabilities — We define fair value as the current amount that would be exchanged to sell an asset or transfer a liability, other than in a forced liquidation. Certain of our Freddie Mac Agency Credit Insurance Structure ("ACIS") contracts are accounted for as derivatives. In determining an exit market, we consider the fact that there is not a principal market for these contracts. In the absence of a principal market, we value these ACIS contracts in a</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99" w:lineRule="exact"/>
        <w:rPr>
          <w:sz w:val="20"/>
          <w:szCs w:val="20"/>
          <w:color w:val="auto"/>
        </w:rPr>
      </w:pPr>
    </w:p>
    <w:p>
      <w:pPr>
        <w:ind w:left="660"/>
        <w:spacing w:after="0" w:line="311" w:lineRule="auto"/>
        <w:rPr>
          <w:sz w:val="20"/>
          <w:szCs w:val="20"/>
          <w:color w:val="auto"/>
        </w:rPr>
      </w:pPr>
      <w:r>
        <w:rPr>
          <w:rFonts w:ascii="Arial" w:cs="Arial" w:eastAsia="Arial" w:hAnsi="Arial"/>
          <w:sz w:val="18"/>
          <w:szCs w:val="18"/>
          <w:color w:val="auto"/>
        </w:rPr>
        <w:t>hypothetical market where market participants, and potential counterparties, include other mortgage guaranty insurers or reinsurers with similar credit quality to us. We believe that in the absence of a principal market, this hypothetical market provides the most relevant information with respect to fair value estimates. These ACIS contracts are classified as Level 3 of the fair value hierarchy.</w:t>
      </w:r>
    </w:p>
    <w:p>
      <w:pPr>
        <w:spacing w:after="0" w:line="154" w:lineRule="exact"/>
        <w:rPr>
          <w:sz w:val="20"/>
          <w:szCs w:val="20"/>
          <w:color w:val="auto"/>
        </w:rPr>
      </w:pPr>
    </w:p>
    <w:p>
      <w:pPr>
        <w:ind w:left="660" w:right="100"/>
        <w:spacing w:after="0" w:line="255" w:lineRule="auto"/>
        <w:rPr>
          <w:sz w:val="20"/>
          <w:szCs w:val="20"/>
          <w:color w:val="auto"/>
        </w:rPr>
      </w:pPr>
      <w:r>
        <w:rPr>
          <w:rFonts w:ascii="Arial" w:cs="Arial" w:eastAsia="Arial" w:hAnsi="Arial"/>
          <w:sz w:val="18"/>
          <w:szCs w:val="18"/>
          <w:color w:val="auto"/>
        </w:rPr>
        <w:t>We determine the fair value of our derivative instruments primarily using internally-generated models. We utilize market observable inputs, such as the performance of the underlying pool of mortgages, mortgage prepayment speeds and pricing spreads on the reference STACR notes issued by Freddie Mac, whenever they are available. There is a high degree of uncertainty about our fair value estimates since our contracts are not traded or exchanged, which makes external validation and corroboration of our estimates difficult. Considerable judgment is required to interpret market data to develop the estimates of fair value. Accordingly, the estimates may not be indicative of amounts we could realize in a current market exchange or negotiated termination. The use of different market assumptions or estimation methodologies may have a material effect on the estimated fair value amounts.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 and Liabilities Measured at Fair Value</w:t>
      </w:r>
    </w:p>
    <w:p>
      <w:pPr>
        <w:spacing w:after="0" w:line="229"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All assets measured at fair value are categorized in the table below based upon the lowest level of significant input to the valuations. All fair value measurements at the reporting date were on a recurring basis.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Quoted Prices</w:t>
            </w:r>
          </w:p>
        </w:tc>
        <w:tc>
          <w:tcPr>
            <w:tcW w:w="300" w:type="dxa"/>
            <w:vAlign w:val="bottom"/>
          </w:tcPr>
          <w:p>
            <w:pPr>
              <w:spacing w:after="0"/>
              <w:rPr>
                <w:sz w:val="14"/>
                <w:szCs w:val="14"/>
                <w:color w:val="auto"/>
              </w:rPr>
            </w:pPr>
          </w:p>
        </w:tc>
        <w:tc>
          <w:tcPr>
            <w:tcW w:w="150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2"/>
              </w:rPr>
              <w:t>Significant</w:t>
            </w:r>
          </w:p>
        </w:tc>
        <w:tc>
          <w:tcPr>
            <w:tcW w:w="2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5"/>
              </w:rPr>
              <w:t>in Active</w:t>
            </w:r>
          </w:p>
        </w:tc>
        <w:tc>
          <w:tcPr>
            <w:tcW w:w="30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54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4"/>
              </w:rPr>
              <w:t>Significant</w:t>
            </w:r>
          </w:p>
        </w:tc>
        <w:tc>
          <w:tcPr>
            <w:tcW w:w="4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Markets for</w:t>
            </w:r>
          </w:p>
        </w:tc>
        <w:tc>
          <w:tcPr>
            <w:tcW w:w="300" w:type="dxa"/>
            <w:vAlign w:val="bottom"/>
          </w:tcPr>
          <w:p>
            <w:pPr>
              <w:spacing w:after="0"/>
              <w:rPr>
                <w:sz w:val="12"/>
                <w:szCs w:val="12"/>
                <w:color w:val="auto"/>
              </w:rPr>
            </w:pPr>
          </w:p>
        </w:tc>
        <w:tc>
          <w:tcPr>
            <w:tcW w:w="15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rPr>
              <w:t>Other</w:t>
            </w:r>
          </w:p>
        </w:tc>
        <w:tc>
          <w:tcPr>
            <w:tcW w:w="28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4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8"/>
              </w:rPr>
              <w:t>Identical</w:t>
            </w:r>
          </w:p>
        </w:tc>
        <w:tc>
          <w:tcPr>
            <w:tcW w:w="300" w:type="dxa"/>
            <w:vAlign w:val="bottom"/>
          </w:tcPr>
          <w:p>
            <w:pPr>
              <w:spacing w:after="0"/>
              <w:rPr>
                <w:sz w:val="12"/>
                <w:szCs w:val="12"/>
                <w:color w:val="auto"/>
              </w:rPr>
            </w:pPr>
          </w:p>
        </w:tc>
        <w:tc>
          <w:tcPr>
            <w:tcW w:w="15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1"/>
              </w:rPr>
              <w:t>Observable</w:t>
            </w:r>
          </w:p>
        </w:tc>
        <w:tc>
          <w:tcPr>
            <w:tcW w:w="280" w:type="dxa"/>
            <w:vAlign w:val="bottom"/>
          </w:tcPr>
          <w:p>
            <w:pPr>
              <w:spacing w:after="0"/>
              <w:rPr>
                <w:sz w:val="12"/>
                <w:szCs w:val="12"/>
                <w:color w:val="auto"/>
              </w:rPr>
            </w:pPr>
          </w:p>
        </w:tc>
        <w:tc>
          <w:tcPr>
            <w:tcW w:w="15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4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March 31, 2016 (In thousands)</w:t>
            </w:r>
          </w:p>
        </w:tc>
        <w:tc>
          <w:tcPr>
            <w:tcW w:w="120" w:type="dxa"/>
            <w:vAlign w:val="bottom"/>
            <w:vMerge w:val="restart"/>
          </w:tcPr>
          <w:p>
            <w:pPr>
              <w:spacing w:after="0"/>
              <w:rPr>
                <w:sz w:val="12"/>
                <w:szCs w:val="12"/>
                <w:color w:val="auto"/>
              </w:rPr>
            </w:pPr>
          </w:p>
        </w:tc>
        <w:tc>
          <w:tcPr>
            <w:tcW w:w="280" w:type="dxa"/>
            <w:vAlign w:val="bottom"/>
          </w:tcPr>
          <w:p>
            <w:pPr>
              <w:spacing w:after="0"/>
              <w:rPr>
                <w:sz w:val="12"/>
                <w:szCs w:val="12"/>
                <w:color w:val="auto"/>
              </w:rPr>
            </w:pPr>
          </w:p>
        </w:tc>
        <w:tc>
          <w:tcPr>
            <w:tcW w:w="15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4"/>
              </w:rPr>
              <w:t>Instruments</w:t>
            </w:r>
          </w:p>
        </w:tc>
        <w:tc>
          <w:tcPr>
            <w:tcW w:w="300" w:type="dxa"/>
            <w:vAlign w:val="bottom"/>
          </w:tcPr>
          <w:p>
            <w:pPr>
              <w:spacing w:after="0"/>
              <w:rPr>
                <w:sz w:val="12"/>
                <w:szCs w:val="12"/>
                <w:color w:val="auto"/>
              </w:rPr>
            </w:pPr>
          </w:p>
        </w:tc>
        <w:tc>
          <w:tcPr>
            <w:tcW w:w="15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5"/>
              </w:rPr>
              <w:t>Inputs</w:t>
            </w:r>
          </w:p>
        </w:tc>
        <w:tc>
          <w:tcPr>
            <w:tcW w:w="280" w:type="dxa"/>
            <w:vAlign w:val="bottom"/>
          </w:tcPr>
          <w:p>
            <w:pPr>
              <w:spacing w:after="0"/>
              <w:rPr>
                <w:sz w:val="12"/>
                <w:szCs w:val="12"/>
                <w:color w:val="auto"/>
              </w:rPr>
            </w:pPr>
          </w:p>
        </w:tc>
        <w:tc>
          <w:tcPr>
            <w:tcW w:w="15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Inputs</w:t>
            </w:r>
          </w:p>
        </w:tc>
        <w:tc>
          <w:tcPr>
            <w:tcW w:w="400" w:type="dxa"/>
            <w:vAlign w:val="bottom"/>
          </w:tcPr>
          <w:p>
            <w:pPr>
              <w:spacing w:after="0"/>
              <w:rPr>
                <w:sz w:val="12"/>
                <w:szCs w:val="12"/>
                <w:color w:val="auto"/>
              </w:rPr>
            </w:pPr>
          </w:p>
        </w:tc>
        <w:tc>
          <w:tcPr>
            <w:tcW w:w="1300" w:type="dxa"/>
            <w:vAlign w:val="bottom"/>
            <w:vMerge w:val="restart"/>
          </w:tcPr>
          <w:p>
            <w:pPr>
              <w:jc w:val="right"/>
              <w:ind w:right="6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196"/>
              <w:spacing w:after="0"/>
              <w:rPr>
                <w:sz w:val="20"/>
                <w:szCs w:val="20"/>
                <w:color w:val="auto"/>
              </w:rPr>
            </w:pPr>
            <w:r>
              <w:rPr>
                <w:rFonts w:ascii="Arial" w:cs="Arial" w:eastAsia="Arial" w:hAnsi="Arial"/>
                <w:sz w:val="14"/>
                <w:szCs w:val="14"/>
                <w:b w:val="1"/>
                <w:bCs w:val="1"/>
                <w:color w:val="auto"/>
                <w:w w:val="91"/>
              </w:rPr>
              <w:t>(Level 1)</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216"/>
              <w:spacing w:after="0"/>
              <w:rPr>
                <w:sz w:val="20"/>
                <w:szCs w:val="20"/>
                <w:color w:val="auto"/>
              </w:rPr>
            </w:pPr>
            <w:r>
              <w:rPr>
                <w:rFonts w:ascii="Arial" w:cs="Arial" w:eastAsia="Arial" w:hAnsi="Arial"/>
                <w:sz w:val="14"/>
                <w:szCs w:val="14"/>
                <w:b w:val="1"/>
                <w:bCs w:val="1"/>
                <w:color w:val="auto"/>
                <w:w w:val="94"/>
              </w:rPr>
              <w:t>(Level 2)</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215"/>
              <w:spacing w:after="0"/>
              <w:rPr>
                <w:sz w:val="20"/>
                <w:szCs w:val="20"/>
                <w:color w:val="auto"/>
              </w:rPr>
            </w:pPr>
            <w:r>
              <w:rPr>
                <w:rFonts w:ascii="Arial" w:cs="Arial" w:eastAsia="Arial" w:hAnsi="Arial"/>
                <w:sz w:val="14"/>
                <w:szCs w:val="14"/>
                <w:b w:val="1"/>
                <w:bCs w:val="1"/>
                <w:color w:val="auto"/>
                <w:w w:val="94"/>
              </w:rPr>
              <w:t>(Level 3)</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Recurring fair value measurements</w:t>
            </w:r>
          </w:p>
        </w:tc>
        <w:tc>
          <w:tcPr>
            <w:tcW w:w="2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Financial Assets:</w:t>
            </w:r>
          </w:p>
        </w:tc>
        <w:tc>
          <w:tcPr>
            <w:tcW w:w="2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U.S. Treasury securities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211,780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211,780</w:t>
            </w:r>
          </w:p>
        </w:tc>
        <w:tc>
          <w:tcPr>
            <w:tcW w:w="0" w:type="dxa"/>
            <w:vAlign w:val="bottom"/>
          </w:tcPr>
          <w:p>
            <w:pPr>
              <w:spacing w:after="0"/>
              <w:rPr>
                <w:sz w:val="1"/>
                <w:szCs w:val="1"/>
                <w:color w:val="auto"/>
              </w:rPr>
            </w:pPr>
          </w:p>
        </w:tc>
      </w:tr>
      <w:tr>
        <w:trPr>
          <w:trHeight w:val="243"/>
        </w:trPr>
        <w:tc>
          <w:tcPr>
            <w:tcW w:w="4240" w:type="dxa"/>
            <w:vAlign w:val="bottom"/>
            <w:gridSpan w:val="2"/>
          </w:tcPr>
          <w:p>
            <w:pPr>
              <w:ind w:left="280"/>
              <w:spacing w:after="0"/>
              <w:rPr>
                <w:sz w:val="20"/>
                <w:szCs w:val="20"/>
                <w:color w:val="auto"/>
              </w:rPr>
            </w:pPr>
            <w:r>
              <w:rPr>
                <w:rFonts w:ascii="Arial" w:cs="Arial" w:eastAsia="Arial" w:hAnsi="Arial"/>
                <w:sz w:val="18"/>
                <w:szCs w:val="18"/>
                <w:color w:val="auto"/>
              </w:rPr>
              <w:t>U.S. agency securities</w:t>
            </w:r>
          </w:p>
        </w:tc>
        <w:tc>
          <w:tcPr>
            <w:tcW w:w="280" w:type="dxa"/>
            <w:vAlign w:val="bottom"/>
          </w:tcPr>
          <w:p>
            <w:pPr>
              <w:spacing w:after="0"/>
              <w:rPr>
                <w:sz w:val="21"/>
                <w:szCs w:val="21"/>
                <w:color w:val="auto"/>
              </w:rPr>
            </w:pPr>
          </w:p>
        </w:tc>
        <w:tc>
          <w:tcPr>
            <w:tcW w:w="1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400" w:type="dxa"/>
            <w:vAlign w:val="bottom"/>
          </w:tcPr>
          <w:p>
            <w:pPr>
              <w:jc w:val="right"/>
              <w:ind w:right="16"/>
              <w:spacing w:after="0"/>
              <w:rPr>
                <w:sz w:val="20"/>
                <w:szCs w:val="20"/>
                <w:color w:val="auto"/>
              </w:rPr>
            </w:pPr>
            <w:r>
              <w:rPr>
                <w:rFonts w:ascii="Arial" w:cs="Arial" w:eastAsia="Arial" w:hAnsi="Arial"/>
                <w:sz w:val="18"/>
                <w:szCs w:val="18"/>
                <w:color w:val="auto"/>
              </w:rPr>
              <w:t>14,657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14,657</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U.S. agency mortgage-backed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178,003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178,003</w:t>
            </w:r>
          </w:p>
        </w:tc>
        <w:tc>
          <w:tcPr>
            <w:tcW w:w="0" w:type="dxa"/>
            <w:vAlign w:val="bottom"/>
          </w:tcPr>
          <w:p>
            <w:pPr>
              <w:spacing w:after="0"/>
              <w:rPr>
                <w:sz w:val="1"/>
                <w:szCs w:val="1"/>
                <w:color w:val="auto"/>
              </w:rPr>
            </w:pPr>
          </w:p>
        </w:tc>
      </w:tr>
      <w:tr>
        <w:trPr>
          <w:trHeight w:val="243"/>
        </w:trPr>
        <w:tc>
          <w:tcPr>
            <w:tcW w:w="4240" w:type="dxa"/>
            <w:vAlign w:val="bottom"/>
            <w:gridSpan w:val="2"/>
          </w:tcPr>
          <w:p>
            <w:pPr>
              <w:ind w:left="280"/>
              <w:spacing w:after="0"/>
              <w:rPr>
                <w:sz w:val="20"/>
                <w:szCs w:val="20"/>
                <w:color w:val="auto"/>
              </w:rPr>
            </w:pPr>
            <w:r>
              <w:rPr>
                <w:rFonts w:ascii="Arial" w:cs="Arial" w:eastAsia="Arial" w:hAnsi="Arial"/>
                <w:sz w:val="18"/>
                <w:szCs w:val="18"/>
                <w:color w:val="auto"/>
              </w:rPr>
              <w:t>Municipal debt securities</w:t>
            </w:r>
          </w:p>
        </w:tc>
        <w:tc>
          <w:tcPr>
            <w:tcW w:w="280" w:type="dxa"/>
            <w:vAlign w:val="bottom"/>
          </w:tcPr>
          <w:p>
            <w:pPr>
              <w:spacing w:after="0"/>
              <w:rPr>
                <w:sz w:val="21"/>
                <w:szCs w:val="21"/>
                <w:color w:val="auto"/>
              </w:rPr>
            </w:pPr>
          </w:p>
        </w:tc>
        <w:tc>
          <w:tcPr>
            <w:tcW w:w="1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400" w:type="dxa"/>
            <w:vAlign w:val="bottom"/>
          </w:tcPr>
          <w:p>
            <w:pPr>
              <w:jc w:val="right"/>
              <w:ind w:right="16"/>
              <w:spacing w:after="0"/>
              <w:rPr>
                <w:sz w:val="20"/>
                <w:szCs w:val="20"/>
                <w:color w:val="auto"/>
              </w:rPr>
            </w:pPr>
            <w:r>
              <w:rPr>
                <w:rFonts w:ascii="Arial" w:cs="Arial" w:eastAsia="Arial" w:hAnsi="Arial"/>
                <w:sz w:val="18"/>
                <w:szCs w:val="18"/>
                <w:color w:val="auto"/>
              </w:rPr>
              <w:t>304,111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304,111</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Corporate debt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416,688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416,688</w:t>
            </w:r>
          </w:p>
        </w:tc>
        <w:tc>
          <w:tcPr>
            <w:tcW w:w="0" w:type="dxa"/>
            <w:vAlign w:val="bottom"/>
          </w:tcPr>
          <w:p>
            <w:pPr>
              <w:spacing w:after="0"/>
              <w:rPr>
                <w:sz w:val="1"/>
                <w:szCs w:val="1"/>
                <w:color w:val="auto"/>
              </w:rPr>
            </w:pPr>
          </w:p>
        </w:tc>
      </w:tr>
      <w:tr>
        <w:trPr>
          <w:trHeight w:val="243"/>
        </w:trPr>
        <w:tc>
          <w:tcPr>
            <w:tcW w:w="4240" w:type="dxa"/>
            <w:vAlign w:val="bottom"/>
            <w:gridSpan w:val="2"/>
          </w:tcPr>
          <w:p>
            <w:pPr>
              <w:ind w:left="280"/>
              <w:spacing w:after="0"/>
              <w:rPr>
                <w:sz w:val="20"/>
                <w:szCs w:val="20"/>
                <w:color w:val="auto"/>
              </w:rPr>
            </w:pPr>
            <w:r>
              <w:rPr>
                <w:rFonts w:ascii="Arial" w:cs="Arial" w:eastAsia="Arial" w:hAnsi="Arial"/>
                <w:sz w:val="18"/>
                <w:szCs w:val="18"/>
                <w:color w:val="auto"/>
              </w:rPr>
              <w:t>Mortgage-backed securities</w:t>
            </w:r>
          </w:p>
        </w:tc>
        <w:tc>
          <w:tcPr>
            <w:tcW w:w="280" w:type="dxa"/>
            <w:vAlign w:val="bottom"/>
          </w:tcPr>
          <w:p>
            <w:pPr>
              <w:spacing w:after="0"/>
              <w:rPr>
                <w:sz w:val="21"/>
                <w:szCs w:val="21"/>
                <w:color w:val="auto"/>
              </w:rPr>
            </w:pPr>
          </w:p>
        </w:tc>
        <w:tc>
          <w:tcPr>
            <w:tcW w:w="1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400" w:type="dxa"/>
            <w:vAlign w:val="bottom"/>
          </w:tcPr>
          <w:p>
            <w:pPr>
              <w:jc w:val="right"/>
              <w:ind w:right="16"/>
              <w:spacing w:after="0"/>
              <w:rPr>
                <w:sz w:val="20"/>
                <w:szCs w:val="20"/>
                <w:color w:val="auto"/>
              </w:rPr>
            </w:pPr>
            <w:r>
              <w:rPr>
                <w:rFonts w:ascii="Arial" w:cs="Arial" w:eastAsia="Arial" w:hAnsi="Arial"/>
                <w:sz w:val="18"/>
                <w:szCs w:val="18"/>
                <w:color w:val="auto"/>
              </w:rPr>
              <w:t>53,046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53,046</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Asset-backed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121,729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121,729</w:t>
            </w:r>
          </w:p>
        </w:tc>
        <w:tc>
          <w:tcPr>
            <w:tcW w:w="0" w:type="dxa"/>
            <w:vAlign w:val="bottom"/>
          </w:tcPr>
          <w:p>
            <w:pPr>
              <w:spacing w:after="0"/>
              <w:rPr>
                <w:sz w:val="1"/>
                <w:szCs w:val="1"/>
                <w:color w:val="auto"/>
              </w:rPr>
            </w:pPr>
          </w:p>
        </w:tc>
      </w:tr>
      <w:tr>
        <w:trPr>
          <w:trHeight w:val="243"/>
        </w:trPr>
        <w:tc>
          <w:tcPr>
            <w:tcW w:w="4240" w:type="dxa"/>
            <w:vAlign w:val="bottom"/>
            <w:gridSpan w:val="2"/>
          </w:tcPr>
          <w:p>
            <w:pPr>
              <w:ind w:left="280"/>
              <w:spacing w:after="0"/>
              <w:rPr>
                <w:sz w:val="20"/>
                <w:szCs w:val="20"/>
                <w:color w:val="auto"/>
              </w:rPr>
            </w:pPr>
            <w:r>
              <w:rPr>
                <w:rFonts w:ascii="Arial" w:cs="Arial" w:eastAsia="Arial" w:hAnsi="Arial"/>
                <w:sz w:val="18"/>
                <w:szCs w:val="18"/>
                <w:color w:val="auto"/>
              </w:rPr>
              <w:t>Money market funds</w:t>
            </w:r>
          </w:p>
        </w:tc>
        <w:tc>
          <w:tcPr>
            <w:tcW w:w="280" w:type="dxa"/>
            <w:vAlign w:val="bottom"/>
          </w:tcPr>
          <w:p>
            <w:pPr>
              <w:spacing w:after="0"/>
              <w:rPr>
                <w:sz w:val="21"/>
                <w:szCs w:val="21"/>
                <w:color w:val="auto"/>
              </w:rPr>
            </w:pPr>
          </w:p>
        </w:tc>
        <w:tc>
          <w:tcPr>
            <w:tcW w:w="1480" w:type="dxa"/>
            <w:vAlign w:val="bottom"/>
          </w:tcPr>
          <w:p>
            <w:pPr>
              <w:jc w:val="right"/>
              <w:ind w:right="56"/>
              <w:spacing w:after="0"/>
              <w:rPr>
                <w:sz w:val="20"/>
                <w:szCs w:val="20"/>
                <w:color w:val="auto"/>
              </w:rPr>
            </w:pPr>
            <w:r>
              <w:rPr>
                <w:rFonts w:ascii="Arial" w:cs="Arial" w:eastAsia="Arial" w:hAnsi="Arial"/>
                <w:sz w:val="18"/>
                <w:szCs w:val="18"/>
                <w:color w:val="auto"/>
              </w:rPr>
              <w:t>68,488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68,488</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assets at fair value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280,268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1,088,234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1,368,502</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8"/>
                <w:szCs w:val="18"/>
                <w:color w:val="auto"/>
              </w:rPr>
              <w:t>Financial Liabilities:</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24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4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42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Derivative liabilities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898</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898</w:t>
            </w:r>
          </w:p>
        </w:tc>
        <w:tc>
          <w:tcPr>
            <w:tcW w:w="0" w:type="dxa"/>
            <w:vAlign w:val="bottom"/>
          </w:tcPr>
          <w:p>
            <w:pPr>
              <w:spacing w:after="0"/>
              <w:rPr>
                <w:sz w:val="1"/>
                <w:szCs w:val="1"/>
                <w:color w:val="auto"/>
              </w:rPr>
            </w:pPr>
          </w:p>
        </w:tc>
      </w:tr>
      <w:tr>
        <w:trPr>
          <w:trHeight w:val="237"/>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Total liabilities at fair value</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tcPr>
          <w:p>
            <w:pPr>
              <w:jc w:val="right"/>
              <w:ind w:right="5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898</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898</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tcPr>
          <w:p>
            <w:pPr>
              <w:jc w:val="right"/>
              <w:ind w:right="116"/>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Quoted Prices</w:t>
            </w:r>
          </w:p>
        </w:tc>
        <w:tc>
          <w:tcPr>
            <w:tcW w:w="300" w:type="dxa"/>
            <w:vAlign w:val="bottom"/>
          </w:tcPr>
          <w:p>
            <w:pPr>
              <w:spacing w:after="0"/>
              <w:rPr>
                <w:sz w:val="14"/>
                <w:szCs w:val="14"/>
                <w:color w:val="auto"/>
              </w:rPr>
            </w:pPr>
          </w:p>
        </w:tc>
        <w:tc>
          <w:tcPr>
            <w:tcW w:w="150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2"/>
              </w:rPr>
              <w:t>Significant</w:t>
            </w:r>
          </w:p>
        </w:tc>
        <w:tc>
          <w:tcPr>
            <w:tcW w:w="2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5"/>
              </w:rPr>
              <w:t>in Active</w:t>
            </w:r>
          </w:p>
        </w:tc>
        <w:tc>
          <w:tcPr>
            <w:tcW w:w="30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54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4"/>
              </w:rPr>
              <w:t>Significant</w:t>
            </w:r>
          </w:p>
        </w:tc>
        <w:tc>
          <w:tcPr>
            <w:tcW w:w="4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Markets for</w:t>
            </w:r>
          </w:p>
        </w:tc>
        <w:tc>
          <w:tcPr>
            <w:tcW w:w="300" w:type="dxa"/>
            <w:vAlign w:val="bottom"/>
          </w:tcPr>
          <w:p>
            <w:pPr>
              <w:spacing w:after="0"/>
              <w:rPr>
                <w:sz w:val="12"/>
                <w:szCs w:val="12"/>
                <w:color w:val="auto"/>
              </w:rPr>
            </w:pPr>
          </w:p>
        </w:tc>
        <w:tc>
          <w:tcPr>
            <w:tcW w:w="15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rPr>
              <w:t>Other</w:t>
            </w:r>
          </w:p>
        </w:tc>
        <w:tc>
          <w:tcPr>
            <w:tcW w:w="28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4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8"/>
              </w:rPr>
              <w:t>Identical</w:t>
            </w:r>
          </w:p>
        </w:tc>
        <w:tc>
          <w:tcPr>
            <w:tcW w:w="300" w:type="dxa"/>
            <w:vAlign w:val="bottom"/>
          </w:tcPr>
          <w:p>
            <w:pPr>
              <w:spacing w:after="0"/>
              <w:rPr>
                <w:sz w:val="12"/>
                <w:szCs w:val="12"/>
                <w:color w:val="auto"/>
              </w:rPr>
            </w:pPr>
          </w:p>
        </w:tc>
        <w:tc>
          <w:tcPr>
            <w:tcW w:w="15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1"/>
              </w:rPr>
              <w:t>Observable</w:t>
            </w:r>
          </w:p>
        </w:tc>
        <w:tc>
          <w:tcPr>
            <w:tcW w:w="280" w:type="dxa"/>
            <w:vAlign w:val="bottom"/>
          </w:tcPr>
          <w:p>
            <w:pPr>
              <w:spacing w:after="0"/>
              <w:rPr>
                <w:sz w:val="12"/>
                <w:szCs w:val="12"/>
                <w:color w:val="auto"/>
              </w:rPr>
            </w:pPr>
          </w:p>
        </w:tc>
        <w:tc>
          <w:tcPr>
            <w:tcW w:w="15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4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December 31, 2015 (In thousands)</w:t>
            </w:r>
          </w:p>
        </w:tc>
        <w:tc>
          <w:tcPr>
            <w:tcW w:w="120" w:type="dxa"/>
            <w:vAlign w:val="bottom"/>
            <w:vMerge w:val="restart"/>
          </w:tcPr>
          <w:p>
            <w:pPr>
              <w:spacing w:after="0"/>
              <w:rPr>
                <w:sz w:val="12"/>
                <w:szCs w:val="12"/>
                <w:color w:val="auto"/>
              </w:rPr>
            </w:pPr>
          </w:p>
        </w:tc>
        <w:tc>
          <w:tcPr>
            <w:tcW w:w="280" w:type="dxa"/>
            <w:vAlign w:val="bottom"/>
          </w:tcPr>
          <w:p>
            <w:pPr>
              <w:spacing w:after="0"/>
              <w:rPr>
                <w:sz w:val="12"/>
                <w:szCs w:val="12"/>
                <w:color w:val="auto"/>
              </w:rPr>
            </w:pPr>
          </w:p>
        </w:tc>
        <w:tc>
          <w:tcPr>
            <w:tcW w:w="15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4"/>
              </w:rPr>
              <w:t>Instruments</w:t>
            </w:r>
          </w:p>
        </w:tc>
        <w:tc>
          <w:tcPr>
            <w:tcW w:w="300" w:type="dxa"/>
            <w:vAlign w:val="bottom"/>
          </w:tcPr>
          <w:p>
            <w:pPr>
              <w:spacing w:after="0"/>
              <w:rPr>
                <w:sz w:val="12"/>
                <w:szCs w:val="12"/>
                <w:color w:val="auto"/>
              </w:rPr>
            </w:pPr>
          </w:p>
        </w:tc>
        <w:tc>
          <w:tcPr>
            <w:tcW w:w="15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5"/>
              </w:rPr>
              <w:t>Inputs</w:t>
            </w:r>
          </w:p>
        </w:tc>
        <w:tc>
          <w:tcPr>
            <w:tcW w:w="280" w:type="dxa"/>
            <w:vAlign w:val="bottom"/>
          </w:tcPr>
          <w:p>
            <w:pPr>
              <w:spacing w:after="0"/>
              <w:rPr>
                <w:sz w:val="12"/>
                <w:szCs w:val="12"/>
                <w:color w:val="auto"/>
              </w:rPr>
            </w:pPr>
          </w:p>
        </w:tc>
        <w:tc>
          <w:tcPr>
            <w:tcW w:w="15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Inputs</w:t>
            </w:r>
          </w:p>
        </w:tc>
        <w:tc>
          <w:tcPr>
            <w:tcW w:w="400" w:type="dxa"/>
            <w:vAlign w:val="bottom"/>
          </w:tcPr>
          <w:p>
            <w:pPr>
              <w:spacing w:after="0"/>
              <w:rPr>
                <w:sz w:val="12"/>
                <w:szCs w:val="12"/>
                <w:color w:val="auto"/>
              </w:rPr>
            </w:pPr>
          </w:p>
        </w:tc>
        <w:tc>
          <w:tcPr>
            <w:tcW w:w="1300" w:type="dxa"/>
            <w:vAlign w:val="bottom"/>
            <w:vMerge w:val="restart"/>
          </w:tcPr>
          <w:p>
            <w:pPr>
              <w:jc w:val="right"/>
              <w:ind w:right="6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196"/>
              <w:spacing w:after="0"/>
              <w:rPr>
                <w:sz w:val="20"/>
                <w:szCs w:val="20"/>
                <w:color w:val="auto"/>
              </w:rPr>
            </w:pPr>
            <w:r>
              <w:rPr>
                <w:rFonts w:ascii="Arial" w:cs="Arial" w:eastAsia="Arial" w:hAnsi="Arial"/>
                <w:sz w:val="14"/>
                <w:szCs w:val="14"/>
                <w:b w:val="1"/>
                <w:bCs w:val="1"/>
                <w:color w:val="auto"/>
                <w:w w:val="91"/>
              </w:rPr>
              <w:t>(Level 1)</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216"/>
              <w:spacing w:after="0"/>
              <w:rPr>
                <w:sz w:val="20"/>
                <w:szCs w:val="20"/>
                <w:color w:val="auto"/>
              </w:rPr>
            </w:pPr>
            <w:r>
              <w:rPr>
                <w:rFonts w:ascii="Arial" w:cs="Arial" w:eastAsia="Arial" w:hAnsi="Arial"/>
                <w:sz w:val="14"/>
                <w:szCs w:val="14"/>
                <w:b w:val="1"/>
                <w:bCs w:val="1"/>
                <w:color w:val="auto"/>
                <w:w w:val="94"/>
              </w:rPr>
              <w:t>(Level 2)</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215"/>
              <w:spacing w:after="0"/>
              <w:rPr>
                <w:sz w:val="20"/>
                <w:szCs w:val="20"/>
                <w:color w:val="auto"/>
              </w:rPr>
            </w:pPr>
            <w:r>
              <w:rPr>
                <w:rFonts w:ascii="Arial" w:cs="Arial" w:eastAsia="Arial" w:hAnsi="Arial"/>
                <w:sz w:val="14"/>
                <w:szCs w:val="14"/>
                <w:b w:val="1"/>
                <w:bCs w:val="1"/>
                <w:color w:val="auto"/>
                <w:w w:val="94"/>
              </w:rPr>
              <w:t>(Level 3)</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Recurring fair value measurements</w:t>
            </w:r>
          </w:p>
        </w:tc>
        <w:tc>
          <w:tcPr>
            <w:tcW w:w="2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Financial Assets:</w:t>
            </w:r>
          </w:p>
        </w:tc>
        <w:tc>
          <w:tcPr>
            <w:tcW w:w="2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U.S. Treasury securities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177,607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177,607</w:t>
            </w:r>
          </w:p>
        </w:tc>
        <w:tc>
          <w:tcPr>
            <w:tcW w:w="0" w:type="dxa"/>
            <w:vAlign w:val="bottom"/>
          </w:tcPr>
          <w:p>
            <w:pPr>
              <w:spacing w:after="0"/>
              <w:rPr>
                <w:sz w:val="1"/>
                <w:szCs w:val="1"/>
                <w:color w:val="auto"/>
              </w:rPr>
            </w:pPr>
          </w:p>
        </w:tc>
      </w:tr>
      <w:tr>
        <w:trPr>
          <w:trHeight w:val="243"/>
        </w:trPr>
        <w:tc>
          <w:tcPr>
            <w:tcW w:w="4240" w:type="dxa"/>
            <w:vAlign w:val="bottom"/>
            <w:gridSpan w:val="2"/>
          </w:tcPr>
          <w:p>
            <w:pPr>
              <w:ind w:left="280"/>
              <w:spacing w:after="0"/>
              <w:rPr>
                <w:sz w:val="20"/>
                <w:szCs w:val="20"/>
                <w:color w:val="auto"/>
              </w:rPr>
            </w:pPr>
            <w:r>
              <w:rPr>
                <w:rFonts w:ascii="Arial" w:cs="Arial" w:eastAsia="Arial" w:hAnsi="Arial"/>
                <w:sz w:val="18"/>
                <w:szCs w:val="18"/>
                <w:color w:val="auto"/>
              </w:rPr>
              <w:t>U.S. agency securities</w:t>
            </w:r>
          </w:p>
        </w:tc>
        <w:tc>
          <w:tcPr>
            <w:tcW w:w="280" w:type="dxa"/>
            <w:vAlign w:val="bottom"/>
          </w:tcPr>
          <w:p>
            <w:pPr>
              <w:spacing w:after="0"/>
              <w:rPr>
                <w:sz w:val="21"/>
                <w:szCs w:val="21"/>
                <w:color w:val="auto"/>
              </w:rPr>
            </w:pPr>
          </w:p>
        </w:tc>
        <w:tc>
          <w:tcPr>
            <w:tcW w:w="1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400" w:type="dxa"/>
            <w:vAlign w:val="bottom"/>
          </w:tcPr>
          <w:p>
            <w:pPr>
              <w:jc w:val="right"/>
              <w:ind w:right="16"/>
              <w:spacing w:after="0"/>
              <w:rPr>
                <w:sz w:val="20"/>
                <w:szCs w:val="20"/>
                <w:color w:val="auto"/>
              </w:rPr>
            </w:pPr>
            <w:r>
              <w:rPr>
                <w:rFonts w:ascii="Arial" w:cs="Arial" w:eastAsia="Arial" w:hAnsi="Arial"/>
                <w:sz w:val="18"/>
                <w:szCs w:val="18"/>
                <w:color w:val="auto"/>
              </w:rPr>
              <w:t>13,782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13,782</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U.S. agency mortgage-backed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159,602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159,602</w:t>
            </w:r>
          </w:p>
        </w:tc>
        <w:tc>
          <w:tcPr>
            <w:tcW w:w="0" w:type="dxa"/>
            <w:vAlign w:val="bottom"/>
          </w:tcPr>
          <w:p>
            <w:pPr>
              <w:spacing w:after="0"/>
              <w:rPr>
                <w:sz w:val="1"/>
                <w:szCs w:val="1"/>
                <w:color w:val="auto"/>
              </w:rPr>
            </w:pPr>
          </w:p>
        </w:tc>
      </w:tr>
      <w:tr>
        <w:trPr>
          <w:trHeight w:val="243"/>
        </w:trPr>
        <w:tc>
          <w:tcPr>
            <w:tcW w:w="4240" w:type="dxa"/>
            <w:vAlign w:val="bottom"/>
            <w:gridSpan w:val="2"/>
          </w:tcPr>
          <w:p>
            <w:pPr>
              <w:ind w:left="280"/>
              <w:spacing w:after="0"/>
              <w:rPr>
                <w:sz w:val="20"/>
                <w:szCs w:val="20"/>
                <w:color w:val="auto"/>
              </w:rPr>
            </w:pPr>
            <w:r>
              <w:rPr>
                <w:rFonts w:ascii="Arial" w:cs="Arial" w:eastAsia="Arial" w:hAnsi="Arial"/>
                <w:sz w:val="18"/>
                <w:szCs w:val="18"/>
                <w:color w:val="auto"/>
              </w:rPr>
              <w:t>Municipal debt securities</w:t>
            </w:r>
          </w:p>
        </w:tc>
        <w:tc>
          <w:tcPr>
            <w:tcW w:w="280" w:type="dxa"/>
            <w:vAlign w:val="bottom"/>
          </w:tcPr>
          <w:p>
            <w:pPr>
              <w:spacing w:after="0"/>
              <w:rPr>
                <w:sz w:val="21"/>
                <w:szCs w:val="21"/>
                <w:color w:val="auto"/>
              </w:rPr>
            </w:pPr>
          </w:p>
        </w:tc>
        <w:tc>
          <w:tcPr>
            <w:tcW w:w="1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400" w:type="dxa"/>
            <w:vAlign w:val="bottom"/>
          </w:tcPr>
          <w:p>
            <w:pPr>
              <w:jc w:val="right"/>
              <w:ind w:right="16"/>
              <w:spacing w:after="0"/>
              <w:rPr>
                <w:sz w:val="20"/>
                <w:szCs w:val="20"/>
                <w:color w:val="auto"/>
              </w:rPr>
            </w:pPr>
            <w:r>
              <w:rPr>
                <w:rFonts w:ascii="Arial" w:cs="Arial" w:eastAsia="Arial" w:hAnsi="Arial"/>
                <w:sz w:val="18"/>
                <w:szCs w:val="18"/>
                <w:color w:val="auto"/>
              </w:rPr>
              <w:t>279,828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279,828</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Corporate debt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396,732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396,732</w:t>
            </w:r>
          </w:p>
        </w:tc>
        <w:tc>
          <w:tcPr>
            <w:tcW w:w="0" w:type="dxa"/>
            <w:vAlign w:val="bottom"/>
          </w:tcPr>
          <w:p>
            <w:pPr>
              <w:spacing w:after="0"/>
              <w:rPr>
                <w:sz w:val="1"/>
                <w:szCs w:val="1"/>
                <w:color w:val="auto"/>
              </w:rPr>
            </w:pPr>
          </w:p>
        </w:tc>
      </w:tr>
      <w:tr>
        <w:trPr>
          <w:trHeight w:val="243"/>
        </w:trPr>
        <w:tc>
          <w:tcPr>
            <w:tcW w:w="4240" w:type="dxa"/>
            <w:vAlign w:val="bottom"/>
            <w:gridSpan w:val="2"/>
          </w:tcPr>
          <w:p>
            <w:pPr>
              <w:ind w:left="280"/>
              <w:spacing w:after="0"/>
              <w:rPr>
                <w:sz w:val="20"/>
                <w:szCs w:val="20"/>
                <w:color w:val="auto"/>
              </w:rPr>
            </w:pPr>
            <w:r>
              <w:rPr>
                <w:rFonts w:ascii="Arial" w:cs="Arial" w:eastAsia="Arial" w:hAnsi="Arial"/>
                <w:sz w:val="18"/>
                <w:szCs w:val="18"/>
                <w:color w:val="auto"/>
              </w:rPr>
              <w:t>Mortgage-backed securities</w:t>
            </w:r>
          </w:p>
        </w:tc>
        <w:tc>
          <w:tcPr>
            <w:tcW w:w="280" w:type="dxa"/>
            <w:vAlign w:val="bottom"/>
          </w:tcPr>
          <w:p>
            <w:pPr>
              <w:spacing w:after="0"/>
              <w:rPr>
                <w:sz w:val="21"/>
                <w:szCs w:val="21"/>
                <w:color w:val="auto"/>
              </w:rPr>
            </w:pPr>
          </w:p>
        </w:tc>
        <w:tc>
          <w:tcPr>
            <w:tcW w:w="1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400" w:type="dxa"/>
            <w:vAlign w:val="bottom"/>
          </w:tcPr>
          <w:p>
            <w:pPr>
              <w:jc w:val="right"/>
              <w:ind w:right="16"/>
              <w:spacing w:after="0"/>
              <w:rPr>
                <w:sz w:val="20"/>
                <w:szCs w:val="20"/>
                <w:color w:val="auto"/>
              </w:rPr>
            </w:pPr>
            <w:r>
              <w:rPr>
                <w:rFonts w:ascii="Arial" w:cs="Arial" w:eastAsia="Arial" w:hAnsi="Arial"/>
                <w:sz w:val="18"/>
                <w:szCs w:val="18"/>
                <w:color w:val="auto"/>
              </w:rPr>
              <w:t>55,356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55,356</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Asset-backed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126,629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126,629</w:t>
            </w:r>
          </w:p>
        </w:tc>
        <w:tc>
          <w:tcPr>
            <w:tcW w:w="0" w:type="dxa"/>
            <w:vAlign w:val="bottom"/>
          </w:tcPr>
          <w:p>
            <w:pPr>
              <w:spacing w:after="0"/>
              <w:rPr>
                <w:sz w:val="1"/>
                <w:szCs w:val="1"/>
                <w:color w:val="auto"/>
              </w:rPr>
            </w:pPr>
          </w:p>
        </w:tc>
      </w:tr>
      <w:tr>
        <w:trPr>
          <w:trHeight w:val="243"/>
        </w:trPr>
        <w:tc>
          <w:tcPr>
            <w:tcW w:w="4240" w:type="dxa"/>
            <w:vAlign w:val="bottom"/>
            <w:gridSpan w:val="2"/>
          </w:tcPr>
          <w:p>
            <w:pPr>
              <w:ind w:left="280"/>
              <w:spacing w:after="0"/>
              <w:rPr>
                <w:sz w:val="20"/>
                <w:szCs w:val="20"/>
                <w:color w:val="auto"/>
              </w:rPr>
            </w:pPr>
            <w:r>
              <w:rPr>
                <w:rFonts w:ascii="Arial" w:cs="Arial" w:eastAsia="Arial" w:hAnsi="Arial"/>
                <w:sz w:val="18"/>
                <w:szCs w:val="18"/>
                <w:color w:val="auto"/>
              </w:rPr>
              <w:t>Money market funds</w:t>
            </w:r>
          </w:p>
        </w:tc>
        <w:tc>
          <w:tcPr>
            <w:tcW w:w="280" w:type="dxa"/>
            <w:vAlign w:val="bottom"/>
          </w:tcPr>
          <w:p>
            <w:pPr>
              <w:spacing w:after="0"/>
              <w:rPr>
                <w:sz w:val="21"/>
                <w:szCs w:val="21"/>
                <w:color w:val="auto"/>
              </w:rPr>
            </w:pPr>
          </w:p>
        </w:tc>
        <w:tc>
          <w:tcPr>
            <w:tcW w:w="1480" w:type="dxa"/>
            <w:vAlign w:val="bottom"/>
          </w:tcPr>
          <w:p>
            <w:pPr>
              <w:jc w:val="right"/>
              <w:ind w:right="56"/>
              <w:spacing w:after="0"/>
              <w:rPr>
                <w:sz w:val="20"/>
                <w:szCs w:val="20"/>
                <w:color w:val="auto"/>
              </w:rPr>
            </w:pPr>
            <w:r>
              <w:rPr>
                <w:rFonts w:ascii="Arial" w:cs="Arial" w:eastAsia="Arial" w:hAnsi="Arial"/>
                <w:sz w:val="18"/>
                <w:szCs w:val="18"/>
                <w:color w:val="auto"/>
              </w:rPr>
              <w:t>67,098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67,098</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assets at fair value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244,705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1,031,929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1,276,634</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8"/>
                <w:szCs w:val="18"/>
                <w:color w:val="auto"/>
              </w:rPr>
              <w:t>Financial Liabilities:</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24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Derivative liabilities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1,232</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1,232</w:t>
            </w:r>
          </w:p>
        </w:tc>
        <w:tc>
          <w:tcPr>
            <w:tcW w:w="0" w:type="dxa"/>
            <w:vAlign w:val="bottom"/>
          </w:tcPr>
          <w:p>
            <w:pPr>
              <w:spacing w:after="0"/>
              <w:rPr>
                <w:sz w:val="1"/>
                <w:szCs w:val="1"/>
                <w:color w:val="auto"/>
              </w:rPr>
            </w:pPr>
          </w:p>
        </w:tc>
      </w:tr>
      <w:tr>
        <w:trPr>
          <w:trHeight w:val="237"/>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Total liabilities at fair value</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tcPr>
          <w:p>
            <w:pPr>
              <w:jc w:val="right"/>
              <w:ind w:right="5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1,232</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1,232</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Level 3 Recurring Fair Value Measurements</w:t>
      </w:r>
    </w:p>
    <w:p>
      <w:pPr>
        <w:spacing w:after="0" w:line="229"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The following tables presents changes during the three months ended March 31, 2016 and 2015 in Level 3 liabilities measured at fair value on a recurring basis, and the realized and unrealized gains (losses) related to the Level 3 liabilities in the condensed consolidated balance sheets at March 31, 2016 and 2015. During the three months ended March 31, 2016, and in the year ended December 31, 2015, we had no Level 3 assets.</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500" w:type="dxa"/>
            <w:vAlign w:val="bottom"/>
          </w:tcPr>
          <w:p>
            <w:pPr>
              <w:ind w:left="40"/>
              <w:spacing w:after="0"/>
              <w:rPr>
                <w:sz w:val="20"/>
                <w:szCs w:val="20"/>
                <w:color w:val="auto"/>
              </w:rPr>
            </w:pPr>
            <w:r>
              <w:rPr>
                <w:rFonts w:ascii="Arial" w:cs="Arial" w:eastAsia="Arial" w:hAnsi="Arial"/>
                <w:sz w:val="12"/>
                <w:szCs w:val="12"/>
                <w:b w:val="1"/>
                <w:bCs w:val="1"/>
                <w:color w:val="auto"/>
              </w:rPr>
              <w:t>Three Months Ended</w:t>
            </w:r>
          </w:p>
        </w:tc>
        <w:tc>
          <w:tcPr>
            <w:tcW w:w="400" w:type="dxa"/>
            <w:vAlign w:val="bottom"/>
          </w:tcPr>
          <w:p>
            <w:pPr>
              <w:spacing w:after="0"/>
              <w:rPr>
                <w:sz w:val="12"/>
                <w:szCs w:val="12"/>
                <w:color w:val="auto"/>
              </w:rPr>
            </w:pPr>
          </w:p>
        </w:tc>
        <w:tc>
          <w:tcPr>
            <w:tcW w:w="820" w:type="dxa"/>
            <w:vAlign w:val="bottom"/>
          </w:tcPr>
          <w:p>
            <w:pPr>
              <w:jc w:val="center"/>
              <w:ind w:right="60"/>
              <w:spacing w:after="0"/>
              <w:rPr>
                <w:sz w:val="20"/>
                <w:szCs w:val="20"/>
                <w:color w:val="auto"/>
              </w:rPr>
            </w:pPr>
            <w:r>
              <w:rPr>
                <w:rFonts w:ascii="Arial" w:cs="Arial" w:eastAsia="Arial" w:hAnsi="Arial"/>
                <w:sz w:val="12"/>
                <w:szCs w:val="12"/>
                <w:b w:val="1"/>
                <w:bCs w:val="1"/>
                <w:color w:val="auto"/>
                <w:w w:val="99"/>
              </w:rPr>
              <w:t>Fair</w:t>
            </w:r>
          </w:p>
        </w:tc>
        <w:tc>
          <w:tcPr>
            <w:tcW w:w="200" w:type="dxa"/>
            <w:vAlign w:val="bottom"/>
          </w:tcPr>
          <w:p>
            <w:pPr>
              <w:spacing w:after="0"/>
              <w:rPr>
                <w:sz w:val="12"/>
                <w:szCs w:val="12"/>
                <w:color w:val="auto"/>
              </w:rPr>
            </w:pPr>
          </w:p>
        </w:tc>
        <w:tc>
          <w:tcPr>
            <w:tcW w:w="1120" w:type="dxa"/>
            <w:vAlign w:val="bottom"/>
          </w:tcPr>
          <w:p>
            <w:pPr>
              <w:jc w:val="center"/>
              <w:ind w:right="60"/>
              <w:spacing w:after="0"/>
              <w:rPr>
                <w:sz w:val="20"/>
                <w:szCs w:val="20"/>
                <w:color w:val="auto"/>
              </w:rPr>
            </w:pPr>
            <w:r>
              <w:rPr>
                <w:rFonts w:ascii="Arial" w:cs="Arial" w:eastAsia="Arial" w:hAnsi="Arial"/>
                <w:sz w:val="12"/>
                <w:szCs w:val="12"/>
                <w:b w:val="1"/>
                <w:bCs w:val="1"/>
                <w:color w:val="auto"/>
                <w:w w:val="87"/>
              </w:rPr>
              <w:t>Net Realized and</w:t>
            </w: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20" w:type="dxa"/>
            <w:vAlign w:val="bottom"/>
          </w:tcPr>
          <w:p>
            <w:pPr>
              <w:jc w:val="center"/>
              <w:ind w:right="140"/>
              <w:spacing w:after="0"/>
              <w:rPr>
                <w:sz w:val="20"/>
                <w:szCs w:val="20"/>
                <w:color w:val="auto"/>
              </w:rPr>
            </w:pPr>
            <w:r>
              <w:rPr>
                <w:rFonts w:ascii="Arial" w:cs="Arial" w:eastAsia="Arial" w:hAnsi="Arial"/>
                <w:sz w:val="12"/>
                <w:szCs w:val="12"/>
                <w:b w:val="1"/>
                <w:bCs w:val="1"/>
                <w:color w:val="auto"/>
                <w:w w:val="86"/>
              </w:rPr>
              <w:t>Changes in Unrealized</w:t>
            </w:r>
          </w:p>
        </w:tc>
      </w:tr>
      <w:tr>
        <w:trPr>
          <w:trHeight w:val="135"/>
        </w:trPr>
        <w:tc>
          <w:tcPr>
            <w:tcW w:w="1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March 31, 2016</w:t>
            </w:r>
          </w:p>
        </w:tc>
        <w:tc>
          <w:tcPr>
            <w:tcW w:w="400" w:type="dxa"/>
            <w:vAlign w:val="bottom"/>
          </w:tcPr>
          <w:p>
            <w:pPr>
              <w:spacing w:after="0"/>
              <w:rPr>
                <w:sz w:val="11"/>
                <w:szCs w:val="11"/>
                <w:color w:val="auto"/>
              </w:rPr>
            </w:pPr>
          </w:p>
        </w:tc>
        <w:tc>
          <w:tcPr>
            <w:tcW w:w="820" w:type="dxa"/>
            <w:vAlign w:val="bottom"/>
          </w:tcPr>
          <w:p>
            <w:pPr>
              <w:jc w:val="center"/>
              <w:ind w:right="60"/>
              <w:spacing w:after="0" w:line="135" w:lineRule="exact"/>
              <w:rPr>
                <w:sz w:val="20"/>
                <w:szCs w:val="20"/>
                <w:color w:val="auto"/>
              </w:rPr>
            </w:pPr>
            <w:r>
              <w:rPr>
                <w:rFonts w:ascii="Arial" w:cs="Arial" w:eastAsia="Arial" w:hAnsi="Arial"/>
                <w:sz w:val="12"/>
                <w:szCs w:val="12"/>
                <w:b w:val="1"/>
                <w:bCs w:val="1"/>
                <w:color w:val="auto"/>
                <w:w w:val="93"/>
              </w:rPr>
              <w:t>Value</w:t>
            </w:r>
          </w:p>
        </w:tc>
        <w:tc>
          <w:tcPr>
            <w:tcW w:w="200" w:type="dxa"/>
            <w:vAlign w:val="bottom"/>
          </w:tcPr>
          <w:p>
            <w:pPr>
              <w:spacing w:after="0"/>
              <w:rPr>
                <w:sz w:val="11"/>
                <w:szCs w:val="11"/>
                <w:color w:val="auto"/>
              </w:rPr>
            </w:pPr>
          </w:p>
        </w:tc>
        <w:tc>
          <w:tcPr>
            <w:tcW w:w="1120" w:type="dxa"/>
            <w:vAlign w:val="bottom"/>
          </w:tcPr>
          <w:p>
            <w:pPr>
              <w:jc w:val="center"/>
              <w:ind w:right="60"/>
              <w:spacing w:after="0" w:line="135" w:lineRule="exact"/>
              <w:rPr>
                <w:sz w:val="20"/>
                <w:szCs w:val="20"/>
                <w:color w:val="auto"/>
              </w:rPr>
            </w:pPr>
            <w:r>
              <w:rPr>
                <w:rFonts w:ascii="Arial" w:cs="Arial" w:eastAsia="Arial" w:hAnsi="Arial"/>
                <w:sz w:val="12"/>
                <w:szCs w:val="12"/>
                <w:b w:val="1"/>
                <w:bCs w:val="1"/>
                <w:color w:val="auto"/>
                <w:w w:val="90"/>
              </w:rPr>
              <w:t>Unrealized Gains</w:t>
            </w:r>
          </w:p>
        </w:tc>
        <w:tc>
          <w:tcPr>
            <w:tcW w:w="160" w:type="dxa"/>
            <w:vAlign w:val="bottom"/>
          </w:tcPr>
          <w:p>
            <w:pPr>
              <w:spacing w:after="0"/>
              <w:rPr>
                <w:sz w:val="11"/>
                <w:szCs w:val="11"/>
                <w:color w:val="auto"/>
              </w:rPr>
            </w:pPr>
          </w:p>
        </w:tc>
        <w:tc>
          <w:tcPr>
            <w:tcW w:w="980" w:type="dxa"/>
            <w:vAlign w:val="bottom"/>
          </w:tcPr>
          <w:p>
            <w:pPr>
              <w:jc w:val="center"/>
              <w:ind w:right="60"/>
              <w:spacing w:after="0" w:line="135" w:lineRule="exact"/>
              <w:rPr>
                <w:sz w:val="20"/>
                <w:szCs w:val="20"/>
                <w:color w:val="auto"/>
              </w:rPr>
            </w:pPr>
            <w:r>
              <w:rPr>
                <w:rFonts w:ascii="Arial" w:cs="Arial" w:eastAsia="Arial" w:hAnsi="Arial"/>
                <w:sz w:val="12"/>
                <w:szCs w:val="12"/>
                <w:b w:val="1"/>
                <w:bCs w:val="1"/>
                <w:color w:val="auto"/>
                <w:w w:val="93"/>
              </w:rPr>
              <w:t>Other</w:t>
            </w:r>
          </w:p>
        </w:tc>
        <w:tc>
          <w:tcPr>
            <w:tcW w:w="180" w:type="dxa"/>
            <w:vAlign w:val="bottom"/>
          </w:tcPr>
          <w:p>
            <w:pPr>
              <w:spacing w:after="0"/>
              <w:rPr>
                <w:sz w:val="11"/>
                <w:szCs w:val="11"/>
                <w:color w:val="auto"/>
              </w:rPr>
            </w:pPr>
          </w:p>
        </w:tc>
        <w:tc>
          <w:tcPr>
            <w:tcW w:w="1080" w:type="dxa"/>
            <w:vAlign w:val="bottom"/>
          </w:tcPr>
          <w:p>
            <w:pPr>
              <w:jc w:val="center"/>
              <w:ind w:right="40"/>
              <w:spacing w:after="0" w:line="135" w:lineRule="exact"/>
              <w:rPr>
                <w:sz w:val="20"/>
                <w:szCs w:val="20"/>
                <w:color w:val="auto"/>
              </w:rPr>
            </w:pPr>
            <w:r>
              <w:rPr>
                <w:rFonts w:ascii="Arial" w:cs="Arial" w:eastAsia="Arial" w:hAnsi="Arial"/>
                <w:sz w:val="12"/>
                <w:szCs w:val="12"/>
                <w:b w:val="1"/>
                <w:bCs w:val="1"/>
                <w:color w:val="auto"/>
                <w:w w:val="84"/>
              </w:rPr>
              <w:t>Purchases, Sales,</w:t>
            </w: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720" w:type="dxa"/>
            <w:vAlign w:val="bottom"/>
          </w:tcPr>
          <w:p>
            <w:pPr>
              <w:jc w:val="center"/>
              <w:ind w:right="140"/>
              <w:spacing w:after="0" w:line="135" w:lineRule="exact"/>
              <w:rPr>
                <w:sz w:val="20"/>
                <w:szCs w:val="20"/>
                <w:color w:val="auto"/>
              </w:rPr>
            </w:pPr>
            <w:r>
              <w:rPr>
                <w:rFonts w:ascii="Arial" w:cs="Arial" w:eastAsia="Arial" w:hAnsi="Arial"/>
                <w:sz w:val="12"/>
                <w:szCs w:val="12"/>
                <w:b w:val="1"/>
                <w:bCs w:val="1"/>
                <w:color w:val="auto"/>
                <w:w w:val="86"/>
              </w:rPr>
              <w:t>Gains (Losses) Included in</w:t>
            </w:r>
          </w:p>
        </w:tc>
      </w:tr>
      <w:tr>
        <w:trPr>
          <w:trHeight w:val="135"/>
        </w:trPr>
        <w:tc>
          <w:tcPr>
            <w:tcW w:w="1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20" w:type="dxa"/>
            <w:vAlign w:val="bottom"/>
          </w:tcPr>
          <w:p>
            <w:pPr>
              <w:jc w:val="center"/>
              <w:ind w:right="60"/>
              <w:spacing w:after="0" w:line="135" w:lineRule="exact"/>
              <w:rPr>
                <w:sz w:val="20"/>
                <w:szCs w:val="20"/>
                <w:color w:val="auto"/>
              </w:rPr>
            </w:pPr>
            <w:r>
              <w:rPr>
                <w:rFonts w:ascii="Arial" w:cs="Arial" w:eastAsia="Arial" w:hAnsi="Arial"/>
                <w:sz w:val="12"/>
                <w:szCs w:val="12"/>
                <w:b w:val="1"/>
                <w:bCs w:val="1"/>
                <w:color w:val="auto"/>
                <w:w w:val="85"/>
              </w:rPr>
              <w:t>Beginning</w:t>
            </w:r>
          </w:p>
        </w:tc>
        <w:tc>
          <w:tcPr>
            <w:tcW w:w="200" w:type="dxa"/>
            <w:vAlign w:val="bottom"/>
          </w:tcPr>
          <w:p>
            <w:pPr>
              <w:spacing w:after="0"/>
              <w:rPr>
                <w:sz w:val="11"/>
                <w:szCs w:val="11"/>
                <w:color w:val="auto"/>
              </w:rPr>
            </w:pPr>
          </w:p>
        </w:tc>
        <w:tc>
          <w:tcPr>
            <w:tcW w:w="1120" w:type="dxa"/>
            <w:vAlign w:val="bottom"/>
          </w:tcPr>
          <w:p>
            <w:pPr>
              <w:jc w:val="center"/>
              <w:ind w:right="60"/>
              <w:spacing w:after="0" w:line="135" w:lineRule="exact"/>
              <w:rPr>
                <w:sz w:val="20"/>
                <w:szCs w:val="20"/>
                <w:color w:val="auto"/>
              </w:rPr>
            </w:pPr>
            <w:r>
              <w:rPr>
                <w:rFonts w:ascii="Arial" w:cs="Arial" w:eastAsia="Arial" w:hAnsi="Arial"/>
                <w:sz w:val="12"/>
                <w:szCs w:val="12"/>
                <w:b w:val="1"/>
                <w:bCs w:val="1"/>
                <w:color w:val="auto"/>
                <w:w w:val="86"/>
              </w:rPr>
              <w:t>(Losses) Included</w:t>
            </w:r>
          </w:p>
        </w:tc>
        <w:tc>
          <w:tcPr>
            <w:tcW w:w="160" w:type="dxa"/>
            <w:vAlign w:val="bottom"/>
          </w:tcPr>
          <w:p>
            <w:pPr>
              <w:spacing w:after="0"/>
              <w:rPr>
                <w:sz w:val="11"/>
                <w:szCs w:val="11"/>
                <w:color w:val="auto"/>
              </w:rPr>
            </w:pPr>
          </w:p>
        </w:tc>
        <w:tc>
          <w:tcPr>
            <w:tcW w:w="980" w:type="dxa"/>
            <w:vAlign w:val="bottom"/>
          </w:tcPr>
          <w:p>
            <w:pPr>
              <w:jc w:val="center"/>
              <w:ind w:right="40"/>
              <w:spacing w:after="0" w:line="135" w:lineRule="exact"/>
              <w:rPr>
                <w:sz w:val="20"/>
                <w:szCs w:val="20"/>
                <w:color w:val="auto"/>
              </w:rPr>
            </w:pPr>
            <w:r>
              <w:rPr>
                <w:rFonts w:ascii="Arial" w:cs="Arial" w:eastAsia="Arial" w:hAnsi="Arial"/>
                <w:sz w:val="12"/>
                <w:szCs w:val="12"/>
                <w:b w:val="1"/>
                <w:bCs w:val="1"/>
                <w:color w:val="auto"/>
                <w:w w:val="84"/>
              </w:rPr>
              <w:t>Comprehensive</w:t>
            </w:r>
          </w:p>
        </w:tc>
        <w:tc>
          <w:tcPr>
            <w:tcW w:w="180" w:type="dxa"/>
            <w:vAlign w:val="bottom"/>
          </w:tcPr>
          <w:p>
            <w:pPr>
              <w:spacing w:after="0"/>
              <w:rPr>
                <w:sz w:val="11"/>
                <w:szCs w:val="11"/>
                <w:color w:val="auto"/>
              </w:rPr>
            </w:pPr>
          </w:p>
        </w:tc>
        <w:tc>
          <w:tcPr>
            <w:tcW w:w="1080" w:type="dxa"/>
            <w:vAlign w:val="bottom"/>
          </w:tcPr>
          <w:p>
            <w:pPr>
              <w:jc w:val="center"/>
              <w:ind w:right="40"/>
              <w:spacing w:after="0" w:line="135" w:lineRule="exact"/>
              <w:rPr>
                <w:sz w:val="20"/>
                <w:szCs w:val="20"/>
                <w:color w:val="auto"/>
              </w:rPr>
            </w:pPr>
            <w:r>
              <w:rPr>
                <w:rFonts w:ascii="Arial" w:cs="Arial" w:eastAsia="Arial" w:hAnsi="Arial"/>
                <w:sz w:val="12"/>
                <w:szCs w:val="12"/>
                <w:b w:val="1"/>
                <w:bCs w:val="1"/>
                <w:color w:val="auto"/>
                <w:w w:val="80"/>
              </w:rPr>
              <w:t>Issues and</w:t>
            </w:r>
          </w:p>
        </w:tc>
        <w:tc>
          <w:tcPr>
            <w:tcW w:w="160" w:type="dxa"/>
            <w:vAlign w:val="bottom"/>
          </w:tcPr>
          <w:p>
            <w:pPr>
              <w:spacing w:after="0"/>
              <w:rPr>
                <w:sz w:val="11"/>
                <w:szCs w:val="11"/>
                <w:color w:val="auto"/>
              </w:rPr>
            </w:pPr>
          </w:p>
        </w:tc>
        <w:tc>
          <w:tcPr>
            <w:tcW w:w="720" w:type="dxa"/>
            <w:vAlign w:val="bottom"/>
          </w:tcPr>
          <w:p>
            <w:pPr>
              <w:jc w:val="center"/>
              <w:ind w:right="19"/>
              <w:spacing w:after="0" w:line="135" w:lineRule="exact"/>
              <w:rPr>
                <w:sz w:val="20"/>
                <w:szCs w:val="20"/>
                <w:color w:val="auto"/>
              </w:rPr>
            </w:pPr>
            <w:r>
              <w:rPr>
                <w:rFonts w:ascii="Arial" w:cs="Arial" w:eastAsia="Arial" w:hAnsi="Arial"/>
                <w:sz w:val="12"/>
                <w:szCs w:val="12"/>
                <w:b w:val="1"/>
                <w:bCs w:val="1"/>
                <w:color w:val="auto"/>
                <w:w w:val="80"/>
              </w:rPr>
              <w:t>Gross</w:t>
            </w:r>
          </w:p>
        </w:tc>
        <w:tc>
          <w:tcPr>
            <w:tcW w:w="180" w:type="dxa"/>
            <w:vAlign w:val="bottom"/>
          </w:tcPr>
          <w:p>
            <w:pPr>
              <w:spacing w:after="0"/>
              <w:rPr>
                <w:sz w:val="11"/>
                <w:szCs w:val="11"/>
                <w:color w:val="auto"/>
              </w:rPr>
            </w:pPr>
          </w:p>
        </w:tc>
        <w:tc>
          <w:tcPr>
            <w:tcW w:w="840" w:type="dxa"/>
            <w:vAlign w:val="bottom"/>
          </w:tcPr>
          <w:p>
            <w:pPr>
              <w:jc w:val="center"/>
              <w:ind w:right="39"/>
              <w:spacing w:after="0" w:line="135" w:lineRule="exact"/>
              <w:rPr>
                <w:sz w:val="20"/>
                <w:szCs w:val="20"/>
                <w:color w:val="auto"/>
              </w:rPr>
            </w:pPr>
            <w:r>
              <w:rPr>
                <w:rFonts w:ascii="Arial" w:cs="Arial" w:eastAsia="Arial" w:hAnsi="Arial"/>
                <w:sz w:val="12"/>
                <w:szCs w:val="12"/>
                <w:b w:val="1"/>
                <w:bCs w:val="1"/>
                <w:color w:val="auto"/>
                <w:w w:val="86"/>
              </w:rPr>
              <w:t>Gross</w:t>
            </w:r>
          </w:p>
        </w:tc>
        <w:tc>
          <w:tcPr>
            <w:tcW w:w="180" w:type="dxa"/>
            <w:vAlign w:val="bottom"/>
          </w:tcPr>
          <w:p>
            <w:pPr>
              <w:spacing w:after="0"/>
              <w:rPr>
                <w:sz w:val="11"/>
                <w:szCs w:val="11"/>
                <w:color w:val="auto"/>
              </w:rPr>
            </w:pPr>
          </w:p>
        </w:tc>
        <w:tc>
          <w:tcPr>
            <w:tcW w:w="940" w:type="dxa"/>
            <w:vAlign w:val="bottom"/>
          </w:tcPr>
          <w:p>
            <w:pPr>
              <w:jc w:val="center"/>
              <w:ind w:right="39"/>
              <w:spacing w:after="0" w:line="135" w:lineRule="exact"/>
              <w:rPr>
                <w:sz w:val="20"/>
                <w:szCs w:val="20"/>
                <w:color w:val="auto"/>
              </w:rPr>
            </w:pPr>
            <w:r>
              <w:rPr>
                <w:rFonts w:ascii="Arial" w:cs="Arial" w:eastAsia="Arial" w:hAnsi="Arial"/>
                <w:sz w:val="12"/>
                <w:szCs w:val="12"/>
                <w:b w:val="1"/>
                <w:bCs w:val="1"/>
                <w:color w:val="auto"/>
                <w:w w:val="91"/>
              </w:rPr>
              <w:t>Fair Value End</w:t>
            </w:r>
          </w:p>
        </w:tc>
        <w:tc>
          <w:tcPr>
            <w:tcW w:w="240" w:type="dxa"/>
            <w:vAlign w:val="bottom"/>
          </w:tcPr>
          <w:p>
            <w:pPr>
              <w:spacing w:after="0"/>
              <w:rPr>
                <w:sz w:val="11"/>
                <w:szCs w:val="11"/>
                <w:color w:val="auto"/>
              </w:rPr>
            </w:pPr>
          </w:p>
        </w:tc>
        <w:tc>
          <w:tcPr>
            <w:tcW w:w="1720" w:type="dxa"/>
            <w:vAlign w:val="bottom"/>
          </w:tcPr>
          <w:p>
            <w:pPr>
              <w:jc w:val="center"/>
              <w:ind w:right="140"/>
              <w:spacing w:after="0" w:line="135" w:lineRule="exact"/>
              <w:rPr>
                <w:sz w:val="20"/>
                <w:szCs w:val="20"/>
                <w:color w:val="auto"/>
              </w:rPr>
            </w:pPr>
            <w:r>
              <w:rPr>
                <w:rFonts w:ascii="Arial" w:cs="Arial" w:eastAsia="Arial" w:hAnsi="Arial"/>
                <w:sz w:val="12"/>
                <w:szCs w:val="12"/>
                <w:b w:val="1"/>
                <w:bCs w:val="1"/>
                <w:color w:val="auto"/>
                <w:w w:val="87"/>
              </w:rPr>
              <w:t>Income on Instruments</w:t>
            </w:r>
          </w:p>
        </w:tc>
      </w:tr>
      <w:tr>
        <w:trPr>
          <w:trHeight w:val="150"/>
        </w:trPr>
        <w:tc>
          <w:tcPr>
            <w:tcW w:w="1500" w:type="dxa"/>
            <w:vAlign w:val="bottom"/>
          </w:tcPr>
          <w:p>
            <w:pPr>
              <w:ind w:left="60"/>
              <w:spacing w:after="0"/>
              <w:rPr>
                <w:sz w:val="20"/>
                <w:szCs w:val="20"/>
                <w:color w:val="auto"/>
              </w:rPr>
            </w:pPr>
            <w:r>
              <w:rPr>
                <w:rFonts w:ascii="Arial" w:cs="Arial" w:eastAsia="Arial" w:hAnsi="Arial"/>
                <w:sz w:val="12"/>
                <w:szCs w:val="12"/>
                <w:b w:val="1"/>
                <w:bCs w:val="1"/>
                <w:color w:val="auto"/>
              </w:rPr>
              <w:t>(In thousands)</w:t>
            </w:r>
          </w:p>
        </w:tc>
        <w:tc>
          <w:tcPr>
            <w:tcW w:w="400" w:type="dxa"/>
            <w:vAlign w:val="bottom"/>
          </w:tcPr>
          <w:p>
            <w:pPr>
              <w:spacing w:after="0"/>
              <w:rPr>
                <w:sz w:val="13"/>
                <w:szCs w:val="13"/>
                <w:color w:val="auto"/>
              </w:rPr>
            </w:pPr>
          </w:p>
        </w:tc>
        <w:tc>
          <w:tcPr>
            <w:tcW w:w="820" w:type="dxa"/>
            <w:vAlign w:val="bottom"/>
          </w:tcPr>
          <w:p>
            <w:pPr>
              <w:jc w:val="center"/>
              <w:ind w:right="60"/>
              <w:spacing w:after="0"/>
              <w:rPr>
                <w:sz w:val="20"/>
                <w:szCs w:val="20"/>
                <w:color w:val="auto"/>
              </w:rPr>
            </w:pPr>
            <w:r>
              <w:rPr>
                <w:rFonts w:ascii="Arial" w:cs="Arial" w:eastAsia="Arial" w:hAnsi="Arial"/>
                <w:sz w:val="12"/>
                <w:szCs w:val="12"/>
                <w:b w:val="1"/>
                <w:bCs w:val="1"/>
                <w:color w:val="auto"/>
                <w:w w:val="88"/>
              </w:rPr>
              <w:t>of Period</w:t>
            </w:r>
          </w:p>
        </w:tc>
        <w:tc>
          <w:tcPr>
            <w:tcW w:w="200" w:type="dxa"/>
            <w:vAlign w:val="bottom"/>
          </w:tcPr>
          <w:p>
            <w:pPr>
              <w:spacing w:after="0"/>
              <w:rPr>
                <w:sz w:val="13"/>
                <w:szCs w:val="13"/>
                <w:color w:val="auto"/>
              </w:rPr>
            </w:pPr>
          </w:p>
        </w:tc>
        <w:tc>
          <w:tcPr>
            <w:tcW w:w="1120" w:type="dxa"/>
            <w:vAlign w:val="bottom"/>
          </w:tcPr>
          <w:p>
            <w:pPr>
              <w:jc w:val="center"/>
              <w:ind w:right="80"/>
              <w:spacing w:after="0"/>
              <w:rPr>
                <w:sz w:val="20"/>
                <w:szCs w:val="20"/>
                <w:color w:val="auto"/>
              </w:rPr>
            </w:pPr>
            <w:r>
              <w:rPr>
                <w:rFonts w:ascii="Arial" w:cs="Arial" w:eastAsia="Arial" w:hAnsi="Arial"/>
                <w:sz w:val="12"/>
                <w:szCs w:val="12"/>
                <w:b w:val="1"/>
                <w:bCs w:val="1"/>
                <w:color w:val="auto"/>
                <w:w w:val="89"/>
              </w:rPr>
              <w:t>in Income</w:t>
            </w:r>
          </w:p>
        </w:tc>
        <w:tc>
          <w:tcPr>
            <w:tcW w:w="160" w:type="dxa"/>
            <w:vAlign w:val="bottom"/>
          </w:tcPr>
          <w:p>
            <w:pPr>
              <w:spacing w:after="0"/>
              <w:rPr>
                <w:sz w:val="13"/>
                <w:szCs w:val="13"/>
                <w:color w:val="auto"/>
              </w:rPr>
            </w:pPr>
          </w:p>
        </w:tc>
        <w:tc>
          <w:tcPr>
            <w:tcW w:w="980" w:type="dxa"/>
            <w:vAlign w:val="bottom"/>
          </w:tcPr>
          <w:p>
            <w:pPr>
              <w:jc w:val="center"/>
              <w:ind w:right="40"/>
              <w:spacing w:after="0"/>
              <w:rPr>
                <w:sz w:val="20"/>
                <w:szCs w:val="20"/>
                <w:color w:val="auto"/>
              </w:rPr>
            </w:pPr>
            <w:r>
              <w:rPr>
                <w:rFonts w:ascii="Arial" w:cs="Arial" w:eastAsia="Arial" w:hAnsi="Arial"/>
                <w:sz w:val="12"/>
                <w:szCs w:val="12"/>
                <w:b w:val="1"/>
                <w:bCs w:val="1"/>
                <w:color w:val="auto"/>
                <w:w w:val="88"/>
              </w:rPr>
              <w:t>Income (Loss)</w:t>
            </w:r>
          </w:p>
        </w:tc>
        <w:tc>
          <w:tcPr>
            <w:tcW w:w="180" w:type="dxa"/>
            <w:vAlign w:val="bottom"/>
          </w:tcPr>
          <w:p>
            <w:pPr>
              <w:spacing w:after="0"/>
              <w:rPr>
                <w:sz w:val="13"/>
                <w:szCs w:val="13"/>
                <w:color w:val="auto"/>
              </w:rPr>
            </w:pPr>
          </w:p>
        </w:tc>
        <w:tc>
          <w:tcPr>
            <w:tcW w:w="1080" w:type="dxa"/>
            <w:vAlign w:val="bottom"/>
          </w:tcPr>
          <w:p>
            <w:pPr>
              <w:jc w:val="center"/>
              <w:ind w:right="40"/>
              <w:spacing w:after="0"/>
              <w:rPr>
                <w:sz w:val="20"/>
                <w:szCs w:val="20"/>
                <w:color w:val="auto"/>
              </w:rPr>
            </w:pPr>
            <w:r>
              <w:rPr>
                <w:rFonts w:ascii="Arial" w:cs="Arial" w:eastAsia="Arial" w:hAnsi="Arial"/>
                <w:sz w:val="12"/>
                <w:szCs w:val="12"/>
                <w:b w:val="1"/>
                <w:bCs w:val="1"/>
                <w:color w:val="auto"/>
                <w:w w:val="87"/>
              </w:rPr>
              <w:t>Settlements, Net</w:t>
            </w:r>
          </w:p>
        </w:tc>
        <w:tc>
          <w:tcPr>
            <w:tcW w:w="160" w:type="dxa"/>
            <w:vAlign w:val="bottom"/>
          </w:tcPr>
          <w:p>
            <w:pPr>
              <w:spacing w:after="0"/>
              <w:rPr>
                <w:sz w:val="13"/>
                <w:szCs w:val="13"/>
                <w:color w:val="auto"/>
              </w:rPr>
            </w:pPr>
          </w:p>
        </w:tc>
        <w:tc>
          <w:tcPr>
            <w:tcW w:w="720" w:type="dxa"/>
            <w:vAlign w:val="bottom"/>
          </w:tcPr>
          <w:p>
            <w:pPr>
              <w:jc w:val="center"/>
              <w:spacing w:after="0"/>
              <w:rPr>
                <w:sz w:val="20"/>
                <w:szCs w:val="20"/>
                <w:color w:val="auto"/>
              </w:rPr>
            </w:pPr>
            <w:r>
              <w:rPr>
                <w:rFonts w:ascii="Arial" w:cs="Arial" w:eastAsia="Arial" w:hAnsi="Arial"/>
                <w:sz w:val="12"/>
                <w:szCs w:val="12"/>
                <w:b w:val="1"/>
                <w:bCs w:val="1"/>
                <w:color w:val="auto"/>
                <w:w w:val="90"/>
              </w:rPr>
              <w:t>Transfers In</w:t>
            </w:r>
          </w:p>
        </w:tc>
        <w:tc>
          <w:tcPr>
            <w:tcW w:w="180" w:type="dxa"/>
            <w:vAlign w:val="bottom"/>
          </w:tcPr>
          <w:p>
            <w:pPr>
              <w:spacing w:after="0"/>
              <w:rPr>
                <w:sz w:val="13"/>
                <w:szCs w:val="13"/>
                <w:color w:val="auto"/>
              </w:rPr>
            </w:pPr>
          </w:p>
        </w:tc>
        <w:tc>
          <w:tcPr>
            <w:tcW w:w="840" w:type="dxa"/>
            <w:vAlign w:val="bottom"/>
          </w:tcPr>
          <w:p>
            <w:pPr>
              <w:jc w:val="center"/>
              <w:ind w:right="39"/>
              <w:spacing w:after="0"/>
              <w:rPr>
                <w:sz w:val="20"/>
                <w:szCs w:val="20"/>
                <w:color w:val="auto"/>
              </w:rPr>
            </w:pPr>
            <w:r>
              <w:rPr>
                <w:rFonts w:ascii="Arial" w:cs="Arial" w:eastAsia="Arial" w:hAnsi="Arial"/>
                <w:sz w:val="12"/>
                <w:szCs w:val="12"/>
                <w:b w:val="1"/>
                <w:bCs w:val="1"/>
                <w:color w:val="auto"/>
                <w:w w:val="88"/>
              </w:rPr>
              <w:t>Transfers Out</w:t>
            </w:r>
          </w:p>
        </w:tc>
        <w:tc>
          <w:tcPr>
            <w:tcW w:w="180" w:type="dxa"/>
            <w:vAlign w:val="bottom"/>
          </w:tcPr>
          <w:p>
            <w:pPr>
              <w:spacing w:after="0"/>
              <w:rPr>
                <w:sz w:val="13"/>
                <w:szCs w:val="13"/>
                <w:color w:val="auto"/>
              </w:rPr>
            </w:pPr>
          </w:p>
        </w:tc>
        <w:tc>
          <w:tcPr>
            <w:tcW w:w="940" w:type="dxa"/>
            <w:vAlign w:val="bottom"/>
          </w:tcPr>
          <w:p>
            <w:pPr>
              <w:jc w:val="center"/>
              <w:ind w:right="19"/>
              <w:spacing w:after="0"/>
              <w:rPr>
                <w:sz w:val="20"/>
                <w:szCs w:val="20"/>
                <w:color w:val="auto"/>
              </w:rPr>
            </w:pPr>
            <w:r>
              <w:rPr>
                <w:rFonts w:ascii="Arial" w:cs="Arial" w:eastAsia="Arial" w:hAnsi="Arial"/>
                <w:sz w:val="12"/>
                <w:szCs w:val="12"/>
                <w:b w:val="1"/>
                <w:bCs w:val="1"/>
                <w:color w:val="auto"/>
                <w:w w:val="88"/>
              </w:rPr>
              <w:t>of Period</w:t>
            </w:r>
          </w:p>
        </w:tc>
        <w:tc>
          <w:tcPr>
            <w:tcW w:w="240" w:type="dxa"/>
            <w:vAlign w:val="bottom"/>
          </w:tcPr>
          <w:p>
            <w:pPr>
              <w:spacing w:after="0"/>
              <w:rPr>
                <w:sz w:val="13"/>
                <w:szCs w:val="13"/>
                <w:color w:val="auto"/>
              </w:rPr>
            </w:pPr>
          </w:p>
        </w:tc>
        <w:tc>
          <w:tcPr>
            <w:tcW w:w="1720" w:type="dxa"/>
            <w:vAlign w:val="bottom"/>
          </w:tcPr>
          <w:p>
            <w:pPr>
              <w:jc w:val="center"/>
              <w:ind w:right="140"/>
              <w:spacing w:after="0"/>
              <w:rPr>
                <w:sz w:val="20"/>
                <w:szCs w:val="20"/>
                <w:color w:val="auto"/>
              </w:rPr>
            </w:pPr>
            <w:r>
              <w:rPr>
                <w:rFonts w:ascii="Arial" w:cs="Arial" w:eastAsia="Arial" w:hAnsi="Arial"/>
                <w:sz w:val="12"/>
                <w:szCs w:val="12"/>
                <w:b w:val="1"/>
                <w:bCs w:val="1"/>
                <w:color w:val="auto"/>
                <w:w w:val="88"/>
              </w:rPr>
              <w:t>Held at End of Period</w:t>
            </w:r>
          </w:p>
        </w:tc>
      </w:tr>
      <w:tr>
        <w:trPr>
          <w:trHeight w:val="20"/>
        </w:trPr>
        <w:tc>
          <w:tcPr>
            <w:tcW w:w="15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r>
        <w:trPr>
          <w:trHeight w:val="210"/>
        </w:trPr>
        <w:tc>
          <w:tcPr>
            <w:tcW w:w="1500" w:type="dxa"/>
            <w:vAlign w:val="bottom"/>
            <w:shd w:val="clear" w:color="auto" w:fill="CCEEFF"/>
          </w:tcPr>
          <w:p>
            <w:pPr>
              <w:ind w:left="40"/>
              <w:spacing w:after="0"/>
              <w:rPr>
                <w:sz w:val="20"/>
                <w:szCs w:val="20"/>
                <w:color w:val="auto"/>
              </w:rPr>
            </w:pPr>
            <w:r>
              <w:rPr>
                <w:rFonts w:ascii="Arial" w:cs="Arial" w:eastAsia="Arial" w:hAnsi="Arial"/>
                <w:sz w:val="13"/>
                <w:szCs w:val="13"/>
                <w:color w:val="auto"/>
              </w:rPr>
              <w:t>Derivative Liabilities</w:t>
            </w:r>
          </w:p>
        </w:tc>
        <w:tc>
          <w:tcPr>
            <w:tcW w:w="4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1,232</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ind w:right="40"/>
              <w:spacing w:after="0"/>
              <w:rPr>
                <w:sz w:val="20"/>
                <w:szCs w:val="20"/>
                <w:color w:val="auto"/>
              </w:rPr>
            </w:pPr>
            <w:r>
              <w:rPr>
                <w:rFonts w:ascii="Arial" w:cs="Arial" w:eastAsia="Arial" w:hAnsi="Arial"/>
                <w:sz w:val="13"/>
                <w:szCs w:val="13"/>
                <w:color w:val="auto"/>
              </w:rPr>
              <w:t>677</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ind w:left="7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ind w:right="20"/>
              <w:spacing w:after="0"/>
              <w:rPr>
                <w:sz w:val="20"/>
                <w:szCs w:val="20"/>
                <w:color w:val="auto"/>
              </w:rPr>
            </w:pPr>
            <w:r>
              <w:rPr>
                <w:rFonts w:ascii="Arial" w:cs="Arial" w:eastAsia="Arial" w:hAnsi="Arial"/>
                <w:sz w:val="13"/>
                <w:szCs w:val="13"/>
                <w:color w:val="auto"/>
              </w:rPr>
              <w:t>343</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ind w:left="5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ind w:left="6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898</w:t>
            </w:r>
          </w:p>
        </w:tc>
        <w:tc>
          <w:tcPr>
            <w:tcW w:w="2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720" w:type="dxa"/>
            <w:vAlign w:val="bottom"/>
            <w:shd w:val="clear" w:color="auto" w:fill="CCEEFF"/>
          </w:tcPr>
          <w:p>
            <w:pPr>
              <w:jc w:val="right"/>
              <w:ind w:right="40"/>
              <w:spacing w:after="0"/>
              <w:rPr>
                <w:sz w:val="20"/>
                <w:szCs w:val="20"/>
                <w:color w:val="auto"/>
              </w:rPr>
            </w:pPr>
            <w:r>
              <w:rPr>
                <w:rFonts w:ascii="Arial" w:cs="Arial" w:eastAsia="Arial" w:hAnsi="Arial"/>
                <w:sz w:val="13"/>
                <w:szCs w:val="13"/>
                <w:color w:val="auto"/>
              </w:rPr>
              <w:t>677</w:t>
            </w:r>
          </w:p>
        </w:tc>
      </w:tr>
      <w:tr>
        <w:trPr>
          <w:trHeight w:val="176"/>
        </w:trPr>
        <w:tc>
          <w:tcPr>
            <w:tcW w:w="15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216"/>
        </w:trPr>
        <w:tc>
          <w:tcPr>
            <w:tcW w:w="1500" w:type="dxa"/>
            <w:vAlign w:val="bottom"/>
            <w:shd w:val="clear" w:color="auto" w:fill="CCEEFF"/>
          </w:tcPr>
          <w:p>
            <w:pPr>
              <w:ind w:left="40"/>
              <w:spacing w:after="0"/>
              <w:rPr>
                <w:sz w:val="20"/>
                <w:szCs w:val="20"/>
                <w:color w:val="auto"/>
              </w:rPr>
            </w:pPr>
            <w:r>
              <w:rPr>
                <w:rFonts w:ascii="Arial" w:cs="Arial" w:eastAsia="Arial" w:hAnsi="Arial"/>
                <w:sz w:val="13"/>
                <w:szCs w:val="13"/>
                <w:color w:val="auto"/>
              </w:rPr>
              <w:t>Total Level 3 Liabilities</w:t>
            </w:r>
          </w:p>
        </w:tc>
        <w:tc>
          <w:tcPr>
            <w:tcW w:w="4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1,232</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ind w:right="40"/>
              <w:spacing w:after="0"/>
              <w:rPr>
                <w:sz w:val="20"/>
                <w:szCs w:val="20"/>
                <w:color w:val="auto"/>
              </w:rPr>
            </w:pPr>
            <w:r>
              <w:rPr>
                <w:rFonts w:ascii="Arial" w:cs="Arial" w:eastAsia="Arial" w:hAnsi="Arial"/>
                <w:sz w:val="13"/>
                <w:szCs w:val="13"/>
                <w:color w:val="auto"/>
              </w:rPr>
              <w:t>677</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ind w:left="7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ind w:right="20"/>
              <w:spacing w:after="0"/>
              <w:rPr>
                <w:sz w:val="20"/>
                <w:szCs w:val="20"/>
                <w:color w:val="auto"/>
              </w:rPr>
            </w:pPr>
            <w:r>
              <w:rPr>
                <w:rFonts w:ascii="Arial" w:cs="Arial" w:eastAsia="Arial" w:hAnsi="Arial"/>
                <w:sz w:val="13"/>
                <w:szCs w:val="13"/>
                <w:color w:val="auto"/>
              </w:rPr>
              <w:t>343</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ind w:left="5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ind w:left="6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898</w:t>
            </w:r>
          </w:p>
        </w:tc>
        <w:tc>
          <w:tcPr>
            <w:tcW w:w="2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720" w:type="dxa"/>
            <w:vAlign w:val="bottom"/>
            <w:shd w:val="clear" w:color="auto" w:fill="CCEEFF"/>
          </w:tcPr>
          <w:p>
            <w:pPr>
              <w:jc w:val="right"/>
              <w:ind w:right="40"/>
              <w:spacing w:after="0"/>
              <w:rPr>
                <w:sz w:val="20"/>
                <w:szCs w:val="20"/>
                <w:color w:val="auto"/>
              </w:rPr>
            </w:pPr>
            <w:r>
              <w:rPr>
                <w:rFonts w:ascii="Arial" w:cs="Arial" w:eastAsia="Arial" w:hAnsi="Arial"/>
                <w:sz w:val="13"/>
                <w:szCs w:val="13"/>
                <w:color w:val="auto"/>
              </w:rPr>
              <w:t>677</w:t>
            </w:r>
          </w:p>
        </w:tc>
      </w:tr>
      <w:tr>
        <w:trPr>
          <w:trHeight w:val="505"/>
        </w:trPr>
        <w:tc>
          <w:tcPr>
            <w:tcW w:w="1500" w:type="dxa"/>
            <w:vAlign w:val="bottom"/>
          </w:tcPr>
          <w:p>
            <w:pPr>
              <w:ind w:left="40"/>
              <w:spacing w:after="0"/>
              <w:rPr>
                <w:sz w:val="20"/>
                <w:szCs w:val="20"/>
                <w:color w:val="auto"/>
              </w:rPr>
            </w:pPr>
            <w:r>
              <w:rPr>
                <w:rFonts w:ascii="Arial" w:cs="Arial" w:eastAsia="Arial" w:hAnsi="Arial"/>
                <w:sz w:val="12"/>
                <w:szCs w:val="12"/>
                <w:b w:val="1"/>
                <w:bCs w:val="1"/>
                <w:color w:val="auto"/>
              </w:rPr>
              <w:t>Three Months Ended</w:t>
            </w:r>
          </w:p>
        </w:tc>
        <w:tc>
          <w:tcPr>
            <w:tcW w:w="400" w:type="dxa"/>
            <w:vAlign w:val="bottom"/>
          </w:tcPr>
          <w:p>
            <w:pPr>
              <w:spacing w:after="0"/>
              <w:rPr>
                <w:sz w:val="24"/>
                <w:szCs w:val="24"/>
                <w:color w:val="auto"/>
              </w:rPr>
            </w:pPr>
          </w:p>
        </w:tc>
        <w:tc>
          <w:tcPr>
            <w:tcW w:w="820" w:type="dxa"/>
            <w:vAlign w:val="bottom"/>
          </w:tcPr>
          <w:p>
            <w:pPr>
              <w:jc w:val="center"/>
              <w:ind w:right="60"/>
              <w:spacing w:after="0"/>
              <w:rPr>
                <w:sz w:val="20"/>
                <w:szCs w:val="20"/>
                <w:color w:val="auto"/>
              </w:rPr>
            </w:pPr>
            <w:r>
              <w:rPr>
                <w:rFonts w:ascii="Arial" w:cs="Arial" w:eastAsia="Arial" w:hAnsi="Arial"/>
                <w:sz w:val="12"/>
                <w:szCs w:val="12"/>
                <w:b w:val="1"/>
                <w:bCs w:val="1"/>
                <w:color w:val="auto"/>
                <w:w w:val="99"/>
              </w:rPr>
              <w:t>Fair</w:t>
            </w:r>
          </w:p>
        </w:tc>
        <w:tc>
          <w:tcPr>
            <w:tcW w:w="200" w:type="dxa"/>
            <w:vAlign w:val="bottom"/>
          </w:tcPr>
          <w:p>
            <w:pPr>
              <w:spacing w:after="0"/>
              <w:rPr>
                <w:sz w:val="24"/>
                <w:szCs w:val="24"/>
                <w:color w:val="auto"/>
              </w:rPr>
            </w:pPr>
          </w:p>
        </w:tc>
        <w:tc>
          <w:tcPr>
            <w:tcW w:w="1120" w:type="dxa"/>
            <w:vAlign w:val="bottom"/>
          </w:tcPr>
          <w:p>
            <w:pPr>
              <w:jc w:val="center"/>
              <w:ind w:right="60"/>
              <w:spacing w:after="0"/>
              <w:rPr>
                <w:sz w:val="20"/>
                <w:szCs w:val="20"/>
                <w:color w:val="auto"/>
              </w:rPr>
            </w:pPr>
            <w:r>
              <w:rPr>
                <w:rFonts w:ascii="Arial" w:cs="Arial" w:eastAsia="Arial" w:hAnsi="Arial"/>
                <w:sz w:val="12"/>
                <w:szCs w:val="12"/>
                <w:b w:val="1"/>
                <w:bCs w:val="1"/>
                <w:color w:val="auto"/>
                <w:w w:val="87"/>
              </w:rPr>
              <w:t>Net Realized and</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20" w:type="dxa"/>
            <w:vAlign w:val="bottom"/>
          </w:tcPr>
          <w:p>
            <w:pPr>
              <w:jc w:val="center"/>
              <w:ind w:right="140"/>
              <w:spacing w:after="0"/>
              <w:rPr>
                <w:sz w:val="20"/>
                <w:szCs w:val="20"/>
                <w:color w:val="auto"/>
              </w:rPr>
            </w:pPr>
            <w:r>
              <w:rPr>
                <w:rFonts w:ascii="Arial" w:cs="Arial" w:eastAsia="Arial" w:hAnsi="Arial"/>
                <w:sz w:val="12"/>
                <w:szCs w:val="12"/>
                <w:b w:val="1"/>
                <w:bCs w:val="1"/>
                <w:color w:val="auto"/>
                <w:w w:val="86"/>
              </w:rPr>
              <w:t>Changes in Unrealized</w:t>
            </w:r>
          </w:p>
        </w:tc>
      </w:tr>
      <w:tr>
        <w:trPr>
          <w:trHeight w:val="135"/>
        </w:trPr>
        <w:tc>
          <w:tcPr>
            <w:tcW w:w="1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March 31, 2015</w:t>
            </w:r>
          </w:p>
        </w:tc>
        <w:tc>
          <w:tcPr>
            <w:tcW w:w="400" w:type="dxa"/>
            <w:vAlign w:val="bottom"/>
          </w:tcPr>
          <w:p>
            <w:pPr>
              <w:spacing w:after="0"/>
              <w:rPr>
                <w:sz w:val="11"/>
                <w:szCs w:val="11"/>
                <w:color w:val="auto"/>
              </w:rPr>
            </w:pPr>
          </w:p>
        </w:tc>
        <w:tc>
          <w:tcPr>
            <w:tcW w:w="820" w:type="dxa"/>
            <w:vAlign w:val="bottom"/>
          </w:tcPr>
          <w:p>
            <w:pPr>
              <w:jc w:val="center"/>
              <w:ind w:right="60"/>
              <w:spacing w:after="0" w:line="135" w:lineRule="exact"/>
              <w:rPr>
                <w:sz w:val="20"/>
                <w:szCs w:val="20"/>
                <w:color w:val="auto"/>
              </w:rPr>
            </w:pPr>
            <w:r>
              <w:rPr>
                <w:rFonts w:ascii="Arial" w:cs="Arial" w:eastAsia="Arial" w:hAnsi="Arial"/>
                <w:sz w:val="12"/>
                <w:szCs w:val="12"/>
                <w:b w:val="1"/>
                <w:bCs w:val="1"/>
                <w:color w:val="auto"/>
                <w:w w:val="93"/>
              </w:rPr>
              <w:t>Value</w:t>
            </w:r>
          </w:p>
        </w:tc>
        <w:tc>
          <w:tcPr>
            <w:tcW w:w="200" w:type="dxa"/>
            <w:vAlign w:val="bottom"/>
          </w:tcPr>
          <w:p>
            <w:pPr>
              <w:spacing w:after="0"/>
              <w:rPr>
                <w:sz w:val="11"/>
                <w:szCs w:val="11"/>
                <w:color w:val="auto"/>
              </w:rPr>
            </w:pPr>
          </w:p>
        </w:tc>
        <w:tc>
          <w:tcPr>
            <w:tcW w:w="1120" w:type="dxa"/>
            <w:vAlign w:val="bottom"/>
          </w:tcPr>
          <w:p>
            <w:pPr>
              <w:jc w:val="center"/>
              <w:ind w:right="60"/>
              <w:spacing w:after="0" w:line="135" w:lineRule="exact"/>
              <w:rPr>
                <w:sz w:val="20"/>
                <w:szCs w:val="20"/>
                <w:color w:val="auto"/>
              </w:rPr>
            </w:pPr>
            <w:r>
              <w:rPr>
                <w:rFonts w:ascii="Arial" w:cs="Arial" w:eastAsia="Arial" w:hAnsi="Arial"/>
                <w:sz w:val="12"/>
                <w:szCs w:val="12"/>
                <w:b w:val="1"/>
                <w:bCs w:val="1"/>
                <w:color w:val="auto"/>
                <w:w w:val="90"/>
              </w:rPr>
              <w:t>Unrealized Gains</w:t>
            </w:r>
          </w:p>
        </w:tc>
        <w:tc>
          <w:tcPr>
            <w:tcW w:w="160" w:type="dxa"/>
            <w:vAlign w:val="bottom"/>
          </w:tcPr>
          <w:p>
            <w:pPr>
              <w:spacing w:after="0"/>
              <w:rPr>
                <w:sz w:val="11"/>
                <w:szCs w:val="11"/>
                <w:color w:val="auto"/>
              </w:rPr>
            </w:pPr>
          </w:p>
        </w:tc>
        <w:tc>
          <w:tcPr>
            <w:tcW w:w="980" w:type="dxa"/>
            <w:vAlign w:val="bottom"/>
          </w:tcPr>
          <w:p>
            <w:pPr>
              <w:jc w:val="center"/>
              <w:ind w:right="60"/>
              <w:spacing w:after="0" w:line="135" w:lineRule="exact"/>
              <w:rPr>
                <w:sz w:val="20"/>
                <w:szCs w:val="20"/>
                <w:color w:val="auto"/>
              </w:rPr>
            </w:pPr>
            <w:r>
              <w:rPr>
                <w:rFonts w:ascii="Arial" w:cs="Arial" w:eastAsia="Arial" w:hAnsi="Arial"/>
                <w:sz w:val="12"/>
                <w:szCs w:val="12"/>
                <w:b w:val="1"/>
                <w:bCs w:val="1"/>
                <w:color w:val="auto"/>
                <w:w w:val="93"/>
              </w:rPr>
              <w:t>Other</w:t>
            </w:r>
          </w:p>
        </w:tc>
        <w:tc>
          <w:tcPr>
            <w:tcW w:w="180" w:type="dxa"/>
            <w:vAlign w:val="bottom"/>
          </w:tcPr>
          <w:p>
            <w:pPr>
              <w:spacing w:after="0"/>
              <w:rPr>
                <w:sz w:val="11"/>
                <w:szCs w:val="11"/>
                <w:color w:val="auto"/>
              </w:rPr>
            </w:pPr>
          </w:p>
        </w:tc>
        <w:tc>
          <w:tcPr>
            <w:tcW w:w="1080" w:type="dxa"/>
            <w:vAlign w:val="bottom"/>
          </w:tcPr>
          <w:p>
            <w:pPr>
              <w:jc w:val="center"/>
              <w:ind w:right="40"/>
              <w:spacing w:after="0" w:line="135" w:lineRule="exact"/>
              <w:rPr>
                <w:sz w:val="20"/>
                <w:szCs w:val="20"/>
                <w:color w:val="auto"/>
              </w:rPr>
            </w:pPr>
            <w:r>
              <w:rPr>
                <w:rFonts w:ascii="Arial" w:cs="Arial" w:eastAsia="Arial" w:hAnsi="Arial"/>
                <w:sz w:val="12"/>
                <w:szCs w:val="12"/>
                <w:b w:val="1"/>
                <w:bCs w:val="1"/>
                <w:color w:val="auto"/>
                <w:w w:val="84"/>
              </w:rPr>
              <w:t>Purchases, Sales,</w:t>
            </w: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720" w:type="dxa"/>
            <w:vAlign w:val="bottom"/>
          </w:tcPr>
          <w:p>
            <w:pPr>
              <w:jc w:val="center"/>
              <w:ind w:right="140"/>
              <w:spacing w:after="0" w:line="135" w:lineRule="exact"/>
              <w:rPr>
                <w:sz w:val="20"/>
                <w:szCs w:val="20"/>
                <w:color w:val="auto"/>
              </w:rPr>
            </w:pPr>
            <w:r>
              <w:rPr>
                <w:rFonts w:ascii="Arial" w:cs="Arial" w:eastAsia="Arial" w:hAnsi="Arial"/>
                <w:sz w:val="12"/>
                <w:szCs w:val="12"/>
                <w:b w:val="1"/>
                <w:bCs w:val="1"/>
                <w:color w:val="auto"/>
                <w:w w:val="86"/>
              </w:rPr>
              <w:t>Gains (Losses) Included in</w:t>
            </w:r>
          </w:p>
        </w:tc>
      </w:tr>
      <w:tr>
        <w:trPr>
          <w:trHeight w:val="135"/>
        </w:trPr>
        <w:tc>
          <w:tcPr>
            <w:tcW w:w="1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20" w:type="dxa"/>
            <w:vAlign w:val="bottom"/>
          </w:tcPr>
          <w:p>
            <w:pPr>
              <w:jc w:val="center"/>
              <w:ind w:right="60"/>
              <w:spacing w:after="0" w:line="135" w:lineRule="exact"/>
              <w:rPr>
                <w:sz w:val="20"/>
                <w:szCs w:val="20"/>
                <w:color w:val="auto"/>
              </w:rPr>
            </w:pPr>
            <w:r>
              <w:rPr>
                <w:rFonts w:ascii="Arial" w:cs="Arial" w:eastAsia="Arial" w:hAnsi="Arial"/>
                <w:sz w:val="12"/>
                <w:szCs w:val="12"/>
                <w:b w:val="1"/>
                <w:bCs w:val="1"/>
                <w:color w:val="auto"/>
                <w:w w:val="85"/>
              </w:rPr>
              <w:t>Beginning</w:t>
            </w:r>
          </w:p>
        </w:tc>
        <w:tc>
          <w:tcPr>
            <w:tcW w:w="200" w:type="dxa"/>
            <w:vAlign w:val="bottom"/>
          </w:tcPr>
          <w:p>
            <w:pPr>
              <w:spacing w:after="0"/>
              <w:rPr>
                <w:sz w:val="11"/>
                <w:szCs w:val="11"/>
                <w:color w:val="auto"/>
              </w:rPr>
            </w:pPr>
          </w:p>
        </w:tc>
        <w:tc>
          <w:tcPr>
            <w:tcW w:w="1120" w:type="dxa"/>
            <w:vAlign w:val="bottom"/>
          </w:tcPr>
          <w:p>
            <w:pPr>
              <w:jc w:val="center"/>
              <w:ind w:right="60"/>
              <w:spacing w:after="0" w:line="135" w:lineRule="exact"/>
              <w:rPr>
                <w:sz w:val="20"/>
                <w:szCs w:val="20"/>
                <w:color w:val="auto"/>
              </w:rPr>
            </w:pPr>
            <w:r>
              <w:rPr>
                <w:rFonts w:ascii="Arial" w:cs="Arial" w:eastAsia="Arial" w:hAnsi="Arial"/>
                <w:sz w:val="12"/>
                <w:szCs w:val="12"/>
                <w:b w:val="1"/>
                <w:bCs w:val="1"/>
                <w:color w:val="auto"/>
                <w:w w:val="86"/>
              </w:rPr>
              <w:t>(Losses) Included</w:t>
            </w:r>
          </w:p>
        </w:tc>
        <w:tc>
          <w:tcPr>
            <w:tcW w:w="160" w:type="dxa"/>
            <w:vAlign w:val="bottom"/>
          </w:tcPr>
          <w:p>
            <w:pPr>
              <w:spacing w:after="0"/>
              <w:rPr>
                <w:sz w:val="11"/>
                <w:szCs w:val="11"/>
                <w:color w:val="auto"/>
              </w:rPr>
            </w:pPr>
          </w:p>
        </w:tc>
        <w:tc>
          <w:tcPr>
            <w:tcW w:w="980" w:type="dxa"/>
            <w:vAlign w:val="bottom"/>
          </w:tcPr>
          <w:p>
            <w:pPr>
              <w:jc w:val="center"/>
              <w:ind w:right="40"/>
              <w:spacing w:after="0" w:line="135" w:lineRule="exact"/>
              <w:rPr>
                <w:sz w:val="20"/>
                <w:szCs w:val="20"/>
                <w:color w:val="auto"/>
              </w:rPr>
            </w:pPr>
            <w:r>
              <w:rPr>
                <w:rFonts w:ascii="Arial" w:cs="Arial" w:eastAsia="Arial" w:hAnsi="Arial"/>
                <w:sz w:val="12"/>
                <w:szCs w:val="12"/>
                <w:b w:val="1"/>
                <w:bCs w:val="1"/>
                <w:color w:val="auto"/>
                <w:w w:val="84"/>
              </w:rPr>
              <w:t>Comprehensive</w:t>
            </w:r>
          </w:p>
        </w:tc>
        <w:tc>
          <w:tcPr>
            <w:tcW w:w="180" w:type="dxa"/>
            <w:vAlign w:val="bottom"/>
          </w:tcPr>
          <w:p>
            <w:pPr>
              <w:spacing w:after="0"/>
              <w:rPr>
                <w:sz w:val="11"/>
                <w:szCs w:val="11"/>
                <w:color w:val="auto"/>
              </w:rPr>
            </w:pPr>
          </w:p>
        </w:tc>
        <w:tc>
          <w:tcPr>
            <w:tcW w:w="1080" w:type="dxa"/>
            <w:vAlign w:val="bottom"/>
          </w:tcPr>
          <w:p>
            <w:pPr>
              <w:jc w:val="center"/>
              <w:ind w:right="40"/>
              <w:spacing w:after="0" w:line="135" w:lineRule="exact"/>
              <w:rPr>
                <w:sz w:val="20"/>
                <w:szCs w:val="20"/>
                <w:color w:val="auto"/>
              </w:rPr>
            </w:pPr>
            <w:r>
              <w:rPr>
                <w:rFonts w:ascii="Arial" w:cs="Arial" w:eastAsia="Arial" w:hAnsi="Arial"/>
                <w:sz w:val="12"/>
                <w:szCs w:val="12"/>
                <w:b w:val="1"/>
                <w:bCs w:val="1"/>
                <w:color w:val="auto"/>
                <w:w w:val="80"/>
              </w:rPr>
              <w:t>Issues and</w:t>
            </w:r>
          </w:p>
        </w:tc>
        <w:tc>
          <w:tcPr>
            <w:tcW w:w="160" w:type="dxa"/>
            <w:vAlign w:val="bottom"/>
          </w:tcPr>
          <w:p>
            <w:pPr>
              <w:spacing w:after="0"/>
              <w:rPr>
                <w:sz w:val="11"/>
                <w:szCs w:val="11"/>
                <w:color w:val="auto"/>
              </w:rPr>
            </w:pPr>
          </w:p>
        </w:tc>
        <w:tc>
          <w:tcPr>
            <w:tcW w:w="720" w:type="dxa"/>
            <w:vAlign w:val="bottom"/>
          </w:tcPr>
          <w:p>
            <w:pPr>
              <w:jc w:val="center"/>
              <w:ind w:right="19"/>
              <w:spacing w:after="0" w:line="135" w:lineRule="exact"/>
              <w:rPr>
                <w:sz w:val="20"/>
                <w:szCs w:val="20"/>
                <w:color w:val="auto"/>
              </w:rPr>
            </w:pPr>
            <w:r>
              <w:rPr>
                <w:rFonts w:ascii="Arial" w:cs="Arial" w:eastAsia="Arial" w:hAnsi="Arial"/>
                <w:sz w:val="12"/>
                <w:szCs w:val="12"/>
                <w:b w:val="1"/>
                <w:bCs w:val="1"/>
                <w:color w:val="auto"/>
                <w:w w:val="80"/>
              </w:rPr>
              <w:t>Gross</w:t>
            </w:r>
          </w:p>
        </w:tc>
        <w:tc>
          <w:tcPr>
            <w:tcW w:w="180" w:type="dxa"/>
            <w:vAlign w:val="bottom"/>
          </w:tcPr>
          <w:p>
            <w:pPr>
              <w:spacing w:after="0"/>
              <w:rPr>
                <w:sz w:val="11"/>
                <w:szCs w:val="11"/>
                <w:color w:val="auto"/>
              </w:rPr>
            </w:pPr>
          </w:p>
        </w:tc>
        <w:tc>
          <w:tcPr>
            <w:tcW w:w="840" w:type="dxa"/>
            <w:vAlign w:val="bottom"/>
          </w:tcPr>
          <w:p>
            <w:pPr>
              <w:jc w:val="center"/>
              <w:ind w:right="39"/>
              <w:spacing w:after="0" w:line="135" w:lineRule="exact"/>
              <w:rPr>
                <w:sz w:val="20"/>
                <w:szCs w:val="20"/>
                <w:color w:val="auto"/>
              </w:rPr>
            </w:pPr>
            <w:r>
              <w:rPr>
                <w:rFonts w:ascii="Arial" w:cs="Arial" w:eastAsia="Arial" w:hAnsi="Arial"/>
                <w:sz w:val="12"/>
                <w:szCs w:val="12"/>
                <w:b w:val="1"/>
                <w:bCs w:val="1"/>
                <w:color w:val="auto"/>
                <w:w w:val="86"/>
              </w:rPr>
              <w:t>Gross</w:t>
            </w:r>
          </w:p>
        </w:tc>
        <w:tc>
          <w:tcPr>
            <w:tcW w:w="180" w:type="dxa"/>
            <w:vAlign w:val="bottom"/>
          </w:tcPr>
          <w:p>
            <w:pPr>
              <w:spacing w:after="0"/>
              <w:rPr>
                <w:sz w:val="11"/>
                <w:szCs w:val="11"/>
                <w:color w:val="auto"/>
              </w:rPr>
            </w:pPr>
          </w:p>
        </w:tc>
        <w:tc>
          <w:tcPr>
            <w:tcW w:w="940" w:type="dxa"/>
            <w:vAlign w:val="bottom"/>
          </w:tcPr>
          <w:p>
            <w:pPr>
              <w:jc w:val="center"/>
              <w:ind w:right="39"/>
              <w:spacing w:after="0" w:line="135" w:lineRule="exact"/>
              <w:rPr>
                <w:sz w:val="20"/>
                <w:szCs w:val="20"/>
                <w:color w:val="auto"/>
              </w:rPr>
            </w:pPr>
            <w:r>
              <w:rPr>
                <w:rFonts w:ascii="Arial" w:cs="Arial" w:eastAsia="Arial" w:hAnsi="Arial"/>
                <w:sz w:val="12"/>
                <w:szCs w:val="12"/>
                <w:b w:val="1"/>
                <w:bCs w:val="1"/>
                <w:color w:val="auto"/>
                <w:w w:val="91"/>
              </w:rPr>
              <w:t>Fair Value End</w:t>
            </w:r>
          </w:p>
        </w:tc>
        <w:tc>
          <w:tcPr>
            <w:tcW w:w="240" w:type="dxa"/>
            <w:vAlign w:val="bottom"/>
          </w:tcPr>
          <w:p>
            <w:pPr>
              <w:spacing w:after="0"/>
              <w:rPr>
                <w:sz w:val="11"/>
                <w:szCs w:val="11"/>
                <w:color w:val="auto"/>
              </w:rPr>
            </w:pPr>
          </w:p>
        </w:tc>
        <w:tc>
          <w:tcPr>
            <w:tcW w:w="1720" w:type="dxa"/>
            <w:vAlign w:val="bottom"/>
          </w:tcPr>
          <w:p>
            <w:pPr>
              <w:jc w:val="center"/>
              <w:ind w:right="140"/>
              <w:spacing w:after="0" w:line="135" w:lineRule="exact"/>
              <w:rPr>
                <w:sz w:val="20"/>
                <w:szCs w:val="20"/>
                <w:color w:val="auto"/>
              </w:rPr>
            </w:pPr>
            <w:r>
              <w:rPr>
                <w:rFonts w:ascii="Arial" w:cs="Arial" w:eastAsia="Arial" w:hAnsi="Arial"/>
                <w:sz w:val="12"/>
                <w:szCs w:val="12"/>
                <w:b w:val="1"/>
                <w:bCs w:val="1"/>
                <w:color w:val="auto"/>
                <w:w w:val="87"/>
              </w:rPr>
              <w:t>Income on Instruments</w:t>
            </w:r>
          </w:p>
        </w:tc>
      </w:tr>
      <w:tr>
        <w:trPr>
          <w:trHeight w:val="150"/>
        </w:trPr>
        <w:tc>
          <w:tcPr>
            <w:tcW w:w="1500" w:type="dxa"/>
            <w:vAlign w:val="bottom"/>
          </w:tcPr>
          <w:p>
            <w:pPr>
              <w:ind w:left="60"/>
              <w:spacing w:after="0"/>
              <w:rPr>
                <w:sz w:val="20"/>
                <w:szCs w:val="20"/>
                <w:color w:val="auto"/>
              </w:rPr>
            </w:pPr>
            <w:r>
              <w:rPr>
                <w:rFonts w:ascii="Arial" w:cs="Arial" w:eastAsia="Arial" w:hAnsi="Arial"/>
                <w:sz w:val="12"/>
                <w:szCs w:val="12"/>
                <w:b w:val="1"/>
                <w:bCs w:val="1"/>
                <w:color w:val="auto"/>
              </w:rPr>
              <w:t>(In thousands)</w:t>
            </w:r>
          </w:p>
        </w:tc>
        <w:tc>
          <w:tcPr>
            <w:tcW w:w="400" w:type="dxa"/>
            <w:vAlign w:val="bottom"/>
          </w:tcPr>
          <w:p>
            <w:pPr>
              <w:spacing w:after="0"/>
              <w:rPr>
                <w:sz w:val="13"/>
                <w:szCs w:val="13"/>
                <w:color w:val="auto"/>
              </w:rPr>
            </w:pPr>
          </w:p>
        </w:tc>
        <w:tc>
          <w:tcPr>
            <w:tcW w:w="820" w:type="dxa"/>
            <w:vAlign w:val="bottom"/>
          </w:tcPr>
          <w:p>
            <w:pPr>
              <w:jc w:val="center"/>
              <w:ind w:right="60"/>
              <w:spacing w:after="0"/>
              <w:rPr>
                <w:sz w:val="20"/>
                <w:szCs w:val="20"/>
                <w:color w:val="auto"/>
              </w:rPr>
            </w:pPr>
            <w:r>
              <w:rPr>
                <w:rFonts w:ascii="Arial" w:cs="Arial" w:eastAsia="Arial" w:hAnsi="Arial"/>
                <w:sz w:val="12"/>
                <w:szCs w:val="12"/>
                <w:b w:val="1"/>
                <w:bCs w:val="1"/>
                <w:color w:val="auto"/>
                <w:w w:val="83"/>
              </w:rPr>
              <w:t>of Year</w:t>
            </w:r>
          </w:p>
        </w:tc>
        <w:tc>
          <w:tcPr>
            <w:tcW w:w="200" w:type="dxa"/>
            <w:vAlign w:val="bottom"/>
          </w:tcPr>
          <w:p>
            <w:pPr>
              <w:spacing w:after="0"/>
              <w:rPr>
                <w:sz w:val="13"/>
                <w:szCs w:val="13"/>
                <w:color w:val="auto"/>
              </w:rPr>
            </w:pPr>
          </w:p>
        </w:tc>
        <w:tc>
          <w:tcPr>
            <w:tcW w:w="1120" w:type="dxa"/>
            <w:vAlign w:val="bottom"/>
          </w:tcPr>
          <w:p>
            <w:pPr>
              <w:jc w:val="center"/>
              <w:ind w:right="80"/>
              <w:spacing w:after="0"/>
              <w:rPr>
                <w:sz w:val="20"/>
                <w:szCs w:val="20"/>
                <w:color w:val="auto"/>
              </w:rPr>
            </w:pPr>
            <w:r>
              <w:rPr>
                <w:rFonts w:ascii="Arial" w:cs="Arial" w:eastAsia="Arial" w:hAnsi="Arial"/>
                <w:sz w:val="12"/>
                <w:szCs w:val="12"/>
                <w:b w:val="1"/>
                <w:bCs w:val="1"/>
                <w:color w:val="auto"/>
                <w:w w:val="89"/>
              </w:rPr>
              <w:t>in Income</w:t>
            </w:r>
          </w:p>
        </w:tc>
        <w:tc>
          <w:tcPr>
            <w:tcW w:w="160" w:type="dxa"/>
            <w:vAlign w:val="bottom"/>
          </w:tcPr>
          <w:p>
            <w:pPr>
              <w:spacing w:after="0"/>
              <w:rPr>
                <w:sz w:val="13"/>
                <w:szCs w:val="13"/>
                <w:color w:val="auto"/>
              </w:rPr>
            </w:pPr>
          </w:p>
        </w:tc>
        <w:tc>
          <w:tcPr>
            <w:tcW w:w="980" w:type="dxa"/>
            <w:vAlign w:val="bottom"/>
          </w:tcPr>
          <w:p>
            <w:pPr>
              <w:jc w:val="center"/>
              <w:ind w:right="40"/>
              <w:spacing w:after="0"/>
              <w:rPr>
                <w:sz w:val="20"/>
                <w:szCs w:val="20"/>
                <w:color w:val="auto"/>
              </w:rPr>
            </w:pPr>
            <w:r>
              <w:rPr>
                <w:rFonts w:ascii="Arial" w:cs="Arial" w:eastAsia="Arial" w:hAnsi="Arial"/>
                <w:sz w:val="12"/>
                <w:szCs w:val="12"/>
                <w:b w:val="1"/>
                <w:bCs w:val="1"/>
                <w:color w:val="auto"/>
                <w:w w:val="88"/>
              </w:rPr>
              <w:t>Income (Loss)</w:t>
            </w:r>
          </w:p>
        </w:tc>
        <w:tc>
          <w:tcPr>
            <w:tcW w:w="180" w:type="dxa"/>
            <w:vAlign w:val="bottom"/>
          </w:tcPr>
          <w:p>
            <w:pPr>
              <w:spacing w:after="0"/>
              <w:rPr>
                <w:sz w:val="13"/>
                <w:szCs w:val="13"/>
                <w:color w:val="auto"/>
              </w:rPr>
            </w:pPr>
          </w:p>
        </w:tc>
        <w:tc>
          <w:tcPr>
            <w:tcW w:w="1080" w:type="dxa"/>
            <w:vAlign w:val="bottom"/>
          </w:tcPr>
          <w:p>
            <w:pPr>
              <w:jc w:val="center"/>
              <w:ind w:right="40"/>
              <w:spacing w:after="0"/>
              <w:rPr>
                <w:sz w:val="20"/>
                <w:szCs w:val="20"/>
                <w:color w:val="auto"/>
              </w:rPr>
            </w:pPr>
            <w:r>
              <w:rPr>
                <w:rFonts w:ascii="Arial" w:cs="Arial" w:eastAsia="Arial" w:hAnsi="Arial"/>
                <w:sz w:val="12"/>
                <w:szCs w:val="12"/>
                <w:b w:val="1"/>
                <w:bCs w:val="1"/>
                <w:color w:val="auto"/>
                <w:w w:val="87"/>
              </w:rPr>
              <w:t>Settlements, Net</w:t>
            </w:r>
          </w:p>
        </w:tc>
        <w:tc>
          <w:tcPr>
            <w:tcW w:w="160" w:type="dxa"/>
            <w:vAlign w:val="bottom"/>
          </w:tcPr>
          <w:p>
            <w:pPr>
              <w:spacing w:after="0"/>
              <w:rPr>
                <w:sz w:val="13"/>
                <w:szCs w:val="13"/>
                <w:color w:val="auto"/>
              </w:rPr>
            </w:pPr>
          </w:p>
        </w:tc>
        <w:tc>
          <w:tcPr>
            <w:tcW w:w="720" w:type="dxa"/>
            <w:vAlign w:val="bottom"/>
          </w:tcPr>
          <w:p>
            <w:pPr>
              <w:jc w:val="center"/>
              <w:spacing w:after="0"/>
              <w:rPr>
                <w:sz w:val="20"/>
                <w:szCs w:val="20"/>
                <w:color w:val="auto"/>
              </w:rPr>
            </w:pPr>
            <w:r>
              <w:rPr>
                <w:rFonts w:ascii="Arial" w:cs="Arial" w:eastAsia="Arial" w:hAnsi="Arial"/>
                <w:sz w:val="12"/>
                <w:szCs w:val="12"/>
                <w:b w:val="1"/>
                <w:bCs w:val="1"/>
                <w:color w:val="auto"/>
                <w:w w:val="90"/>
              </w:rPr>
              <w:t>Transfers In</w:t>
            </w:r>
          </w:p>
        </w:tc>
        <w:tc>
          <w:tcPr>
            <w:tcW w:w="180" w:type="dxa"/>
            <w:vAlign w:val="bottom"/>
          </w:tcPr>
          <w:p>
            <w:pPr>
              <w:spacing w:after="0"/>
              <w:rPr>
                <w:sz w:val="13"/>
                <w:szCs w:val="13"/>
                <w:color w:val="auto"/>
              </w:rPr>
            </w:pPr>
          </w:p>
        </w:tc>
        <w:tc>
          <w:tcPr>
            <w:tcW w:w="840" w:type="dxa"/>
            <w:vAlign w:val="bottom"/>
          </w:tcPr>
          <w:p>
            <w:pPr>
              <w:jc w:val="center"/>
              <w:ind w:right="39"/>
              <w:spacing w:after="0"/>
              <w:rPr>
                <w:sz w:val="20"/>
                <w:szCs w:val="20"/>
                <w:color w:val="auto"/>
              </w:rPr>
            </w:pPr>
            <w:r>
              <w:rPr>
                <w:rFonts w:ascii="Arial" w:cs="Arial" w:eastAsia="Arial" w:hAnsi="Arial"/>
                <w:sz w:val="12"/>
                <w:szCs w:val="12"/>
                <w:b w:val="1"/>
                <w:bCs w:val="1"/>
                <w:color w:val="auto"/>
                <w:w w:val="88"/>
              </w:rPr>
              <w:t>Transfers Out</w:t>
            </w:r>
          </w:p>
        </w:tc>
        <w:tc>
          <w:tcPr>
            <w:tcW w:w="180" w:type="dxa"/>
            <w:vAlign w:val="bottom"/>
          </w:tcPr>
          <w:p>
            <w:pPr>
              <w:spacing w:after="0"/>
              <w:rPr>
                <w:sz w:val="13"/>
                <w:szCs w:val="13"/>
                <w:color w:val="auto"/>
              </w:rPr>
            </w:pPr>
          </w:p>
        </w:tc>
        <w:tc>
          <w:tcPr>
            <w:tcW w:w="940" w:type="dxa"/>
            <w:vAlign w:val="bottom"/>
          </w:tcPr>
          <w:p>
            <w:pPr>
              <w:jc w:val="center"/>
              <w:ind w:right="19"/>
              <w:spacing w:after="0"/>
              <w:rPr>
                <w:sz w:val="20"/>
                <w:szCs w:val="20"/>
                <w:color w:val="auto"/>
              </w:rPr>
            </w:pPr>
            <w:r>
              <w:rPr>
                <w:rFonts w:ascii="Arial" w:cs="Arial" w:eastAsia="Arial" w:hAnsi="Arial"/>
                <w:sz w:val="12"/>
                <w:szCs w:val="12"/>
                <w:b w:val="1"/>
                <w:bCs w:val="1"/>
                <w:color w:val="auto"/>
                <w:w w:val="88"/>
              </w:rPr>
              <w:t>of Period</w:t>
            </w:r>
          </w:p>
        </w:tc>
        <w:tc>
          <w:tcPr>
            <w:tcW w:w="240" w:type="dxa"/>
            <w:vAlign w:val="bottom"/>
          </w:tcPr>
          <w:p>
            <w:pPr>
              <w:spacing w:after="0"/>
              <w:rPr>
                <w:sz w:val="13"/>
                <w:szCs w:val="13"/>
                <w:color w:val="auto"/>
              </w:rPr>
            </w:pPr>
          </w:p>
        </w:tc>
        <w:tc>
          <w:tcPr>
            <w:tcW w:w="1720" w:type="dxa"/>
            <w:vAlign w:val="bottom"/>
          </w:tcPr>
          <w:p>
            <w:pPr>
              <w:jc w:val="center"/>
              <w:ind w:right="140"/>
              <w:spacing w:after="0"/>
              <w:rPr>
                <w:sz w:val="20"/>
                <w:szCs w:val="20"/>
                <w:color w:val="auto"/>
              </w:rPr>
            </w:pPr>
            <w:r>
              <w:rPr>
                <w:rFonts w:ascii="Arial" w:cs="Arial" w:eastAsia="Arial" w:hAnsi="Arial"/>
                <w:sz w:val="12"/>
                <w:szCs w:val="12"/>
                <w:b w:val="1"/>
                <w:bCs w:val="1"/>
                <w:color w:val="auto"/>
                <w:w w:val="88"/>
              </w:rPr>
              <w:t>Held at End of Period</w:t>
            </w:r>
          </w:p>
        </w:tc>
      </w:tr>
      <w:tr>
        <w:trPr>
          <w:trHeight w:val="20"/>
        </w:trPr>
        <w:tc>
          <w:tcPr>
            <w:tcW w:w="15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r>
        <w:trPr>
          <w:trHeight w:val="210"/>
        </w:trPr>
        <w:tc>
          <w:tcPr>
            <w:tcW w:w="1500" w:type="dxa"/>
            <w:vAlign w:val="bottom"/>
            <w:shd w:val="clear" w:color="auto" w:fill="CCEEFF"/>
          </w:tcPr>
          <w:p>
            <w:pPr>
              <w:ind w:left="40"/>
              <w:spacing w:after="0"/>
              <w:rPr>
                <w:sz w:val="20"/>
                <w:szCs w:val="20"/>
                <w:color w:val="auto"/>
              </w:rPr>
            </w:pPr>
            <w:r>
              <w:rPr>
                <w:rFonts w:ascii="Arial" w:cs="Arial" w:eastAsia="Arial" w:hAnsi="Arial"/>
                <w:sz w:val="13"/>
                <w:szCs w:val="13"/>
                <w:color w:val="auto"/>
              </w:rPr>
              <w:t>Derivative Liabilities</w:t>
            </w:r>
          </w:p>
        </w:tc>
        <w:tc>
          <w:tcPr>
            <w:tcW w:w="4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661</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(749)</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ind w:left="7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ind w:right="20"/>
              <w:spacing w:after="0"/>
              <w:rPr>
                <w:sz w:val="20"/>
                <w:szCs w:val="20"/>
                <w:color w:val="auto"/>
              </w:rPr>
            </w:pPr>
            <w:r>
              <w:rPr>
                <w:rFonts w:ascii="Arial" w:cs="Arial" w:eastAsia="Arial" w:hAnsi="Arial"/>
                <w:sz w:val="13"/>
                <w:szCs w:val="13"/>
                <w:color w:val="auto"/>
              </w:rPr>
              <w:t>549</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ind w:left="5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ind w:left="6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1,959</w:t>
            </w:r>
          </w:p>
        </w:tc>
        <w:tc>
          <w:tcPr>
            <w:tcW w:w="2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(749)</w:t>
            </w:r>
          </w:p>
        </w:tc>
      </w:tr>
      <w:tr>
        <w:trPr>
          <w:trHeight w:val="176"/>
        </w:trPr>
        <w:tc>
          <w:tcPr>
            <w:tcW w:w="15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216"/>
        </w:trPr>
        <w:tc>
          <w:tcPr>
            <w:tcW w:w="1500" w:type="dxa"/>
            <w:vAlign w:val="bottom"/>
            <w:shd w:val="clear" w:color="auto" w:fill="CCEEFF"/>
          </w:tcPr>
          <w:p>
            <w:pPr>
              <w:ind w:left="40"/>
              <w:spacing w:after="0"/>
              <w:rPr>
                <w:sz w:val="20"/>
                <w:szCs w:val="20"/>
                <w:color w:val="auto"/>
              </w:rPr>
            </w:pPr>
            <w:r>
              <w:rPr>
                <w:rFonts w:ascii="Arial" w:cs="Arial" w:eastAsia="Arial" w:hAnsi="Arial"/>
                <w:sz w:val="13"/>
                <w:szCs w:val="13"/>
                <w:color w:val="auto"/>
              </w:rPr>
              <w:t>Total Level 3 Liabilities</w:t>
            </w:r>
          </w:p>
        </w:tc>
        <w:tc>
          <w:tcPr>
            <w:tcW w:w="4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661</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(749)</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ind w:left="7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ind w:right="20"/>
              <w:spacing w:after="0"/>
              <w:rPr>
                <w:sz w:val="20"/>
                <w:szCs w:val="20"/>
                <w:color w:val="auto"/>
              </w:rPr>
            </w:pPr>
            <w:r>
              <w:rPr>
                <w:rFonts w:ascii="Arial" w:cs="Arial" w:eastAsia="Arial" w:hAnsi="Arial"/>
                <w:sz w:val="13"/>
                <w:szCs w:val="13"/>
                <w:color w:val="auto"/>
              </w:rPr>
              <w:t>549</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ind w:left="5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ind w:left="6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1,959</w:t>
            </w:r>
          </w:p>
        </w:tc>
        <w:tc>
          <w:tcPr>
            <w:tcW w:w="2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(749)</w:t>
            </w:r>
          </w:p>
        </w:tc>
      </w:tr>
    </w:tbl>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7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summarizes the significant unobservable inputs used in our recurring Level 3 fair value measurements as of March 31, 2016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2015:</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28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31, 2016</w:t>
            </w: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31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vMerge w:val="restart"/>
          </w:tcPr>
          <w:p>
            <w:pPr>
              <w:jc w:val="right"/>
              <w:ind w:right="119"/>
              <w:spacing w:after="0"/>
              <w:rPr>
                <w:sz w:val="20"/>
                <w:szCs w:val="20"/>
                <w:color w:val="auto"/>
              </w:rPr>
            </w:pPr>
            <w:r>
              <w:rPr>
                <w:rFonts w:ascii="Arial" w:cs="Arial" w:eastAsia="Arial" w:hAnsi="Arial"/>
                <w:sz w:val="14"/>
                <w:szCs w:val="14"/>
                <w:b w:val="1"/>
                <w:bCs w:val="1"/>
                <w:color w:val="auto"/>
                <w:w w:val="98"/>
              </w:rPr>
              <w:t>Fair Value</w:t>
            </w:r>
          </w:p>
        </w:tc>
        <w:tc>
          <w:tcPr>
            <w:tcW w:w="100" w:type="dxa"/>
            <w:vAlign w:val="bottom"/>
            <w:vMerge w:val="restart"/>
          </w:tcPr>
          <w:p>
            <w:pPr>
              <w:spacing w:after="0"/>
              <w:rPr>
                <w:sz w:val="14"/>
                <w:szCs w:val="14"/>
                <w:color w:val="auto"/>
              </w:rPr>
            </w:pPr>
          </w:p>
        </w:tc>
        <w:tc>
          <w:tcPr>
            <w:tcW w:w="2160" w:type="dxa"/>
            <w:vAlign w:val="bottom"/>
            <w:vMerge w:val="restart"/>
          </w:tcPr>
          <w:p>
            <w:pPr>
              <w:ind w:left="460"/>
              <w:spacing w:after="0"/>
              <w:rPr>
                <w:sz w:val="20"/>
                <w:szCs w:val="20"/>
                <w:color w:val="auto"/>
              </w:rPr>
            </w:pPr>
            <w:r>
              <w:rPr>
                <w:rFonts w:ascii="Arial" w:cs="Arial" w:eastAsia="Arial" w:hAnsi="Arial"/>
                <w:sz w:val="14"/>
                <w:szCs w:val="14"/>
                <w:b w:val="1"/>
                <w:bCs w:val="1"/>
                <w:color w:val="auto"/>
              </w:rPr>
              <w:t>Valuation Technique</w:t>
            </w:r>
          </w:p>
        </w:tc>
        <w:tc>
          <w:tcPr>
            <w:tcW w:w="120" w:type="dxa"/>
            <w:vAlign w:val="bottom"/>
            <w:vMerge w:val="restart"/>
          </w:tcPr>
          <w:p>
            <w:pPr>
              <w:spacing w:after="0"/>
              <w:rPr>
                <w:sz w:val="14"/>
                <w:szCs w:val="14"/>
                <w:color w:val="auto"/>
              </w:rPr>
            </w:pPr>
          </w:p>
        </w:tc>
        <w:tc>
          <w:tcPr>
            <w:tcW w:w="3180" w:type="dxa"/>
            <w:vAlign w:val="bottom"/>
            <w:vMerge w:val="restart"/>
          </w:tcPr>
          <w:p>
            <w:pPr>
              <w:ind w:left="980"/>
              <w:spacing w:after="0"/>
              <w:rPr>
                <w:sz w:val="20"/>
                <w:szCs w:val="20"/>
                <w:color w:val="auto"/>
              </w:rPr>
            </w:pPr>
            <w:r>
              <w:rPr>
                <w:rFonts w:ascii="Arial" w:cs="Arial" w:eastAsia="Arial" w:hAnsi="Arial"/>
                <w:sz w:val="14"/>
                <w:szCs w:val="14"/>
                <w:b w:val="1"/>
                <w:bCs w:val="1"/>
                <w:color w:val="auto"/>
              </w:rPr>
              <w:t>Unobservable Input</w:t>
            </w:r>
          </w:p>
        </w:tc>
        <w:tc>
          <w:tcPr>
            <w:tcW w:w="100" w:type="dxa"/>
            <w:vAlign w:val="bottom"/>
            <w:vMerge w:val="restart"/>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92"/>
        </w:trPr>
        <w:tc>
          <w:tcPr>
            <w:tcW w:w="31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1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1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250"/>
        </w:trPr>
        <w:tc>
          <w:tcPr>
            <w:tcW w:w="3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Derivative Liabilities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898</w:t>
            </w:r>
          </w:p>
        </w:tc>
        <w:tc>
          <w:tcPr>
            <w:tcW w:w="10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Discounted cash flows</w:t>
            </w:r>
          </w:p>
        </w:tc>
        <w:tc>
          <w:tcPr>
            <w:tcW w:w="3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Constant prepayment rate</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9.17%</w:t>
            </w:r>
          </w:p>
        </w:tc>
        <w:tc>
          <w:tcPr>
            <w:tcW w:w="0" w:type="dxa"/>
            <w:vAlign w:val="bottom"/>
          </w:tcPr>
          <w:p>
            <w:pPr>
              <w:spacing w:after="0"/>
              <w:rPr>
                <w:sz w:val="1"/>
                <w:szCs w:val="1"/>
                <w:color w:val="auto"/>
              </w:rPr>
            </w:pPr>
          </w:p>
        </w:tc>
      </w:tr>
      <w:tr>
        <w:trPr>
          <w:trHeight w:val="243"/>
        </w:trPr>
        <w:tc>
          <w:tcPr>
            <w:tcW w:w="3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80" w:type="dxa"/>
            <w:vAlign w:val="bottom"/>
            <w:gridSpan w:val="2"/>
          </w:tcPr>
          <w:p>
            <w:pPr>
              <w:ind w:left="20"/>
              <w:spacing w:after="0"/>
              <w:rPr>
                <w:sz w:val="20"/>
                <w:szCs w:val="20"/>
                <w:color w:val="auto"/>
              </w:rPr>
            </w:pPr>
            <w:r>
              <w:rPr>
                <w:rFonts w:ascii="Arial" w:cs="Arial" w:eastAsia="Arial" w:hAnsi="Arial"/>
                <w:sz w:val="18"/>
                <w:szCs w:val="18"/>
                <w:color w:val="auto"/>
              </w:rPr>
              <w:t>Default rate</w:t>
            </w:r>
          </w:p>
        </w:tc>
        <w:tc>
          <w:tcPr>
            <w:tcW w:w="1440" w:type="dxa"/>
            <w:vAlign w:val="bottom"/>
          </w:tcPr>
          <w:p>
            <w:pPr>
              <w:jc w:val="right"/>
              <w:spacing w:after="0"/>
              <w:rPr>
                <w:sz w:val="20"/>
                <w:szCs w:val="20"/>
                <w:color w:val="auto"/>
              </w:rPr>
            </w:pPr>
            <w:r>
              <w:rPr>
                <w:rFonts w:ascii="Arial" w:cs="Arial" w:eastAsia="Arial" w:hAnsi="Arial"/>
                <w:sz w:val="18"/>
                <w:szCs w:val="18"/>
                <w:color w:val="auto"/>
              </w:rPr>
              <w:t>0.37%</w:t>
            </w:r>
          </w:p>
        </w:tc>
        <w:tc>
          <w:tcPr>
            <w:tcW w:w="0" w:type="dxa"/>
            <w:vAlign w:val="bottom"/>
          </w:tcPr>
          <w:p>
            <w:pPr>
              <w:spacing w:after="0"/>
              <w:rPr>
                <w:sz w:val="1"/>
                <w:szCs w:val="1"/>
                <w:color w:val="auto"/>
              </w:rPr>
            </w:pPr>
          </w:p>
        </w:tc>
      </w:tr>
      <w:tr>
        <w:trPr>
          <w:trHeight w:val="27"/>
        </w:trPr>
        <w:tc>
          <w:tcPr>
            <w:tcW w:w="3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Reference STACR credit spread</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609"/>
        </w:trPr>
        <w:tc>
          <w:tcPr>
            <w:tcW w:w="328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 2015</w:t>
            </w: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31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vMerge w:val="restart"/>
          </w:tcPr>
          <w:p>
            <w:pPr>
              <w:jc w:val="right"/>
              <w:ind w:right="119"/>
              <w:spacing w:after="0"/>
              <w:rPr>
                <w:sz w:val="20"/>
                <w:szCs w:val="20"/>
                <w:color w:val="auto"/>
              </w:rPr>
            </w:pPr>
            <w:r>
              <w:rPr>
                <w:rFonts w:ascii="Arial" w:cs="Arial" w:eastAsia="Arial" w:hAnsi="Arial"/>
                <w:sz w:val="14"/>
                <w:szCs w:val="14"/>
                <w:b w:val="1"/>
                <w:bCs w:val="1"/>
                <w:color w:val="auto"/>
                <w:w w:val="98"/>
              </w:rPr>
              <w:t>Fair Value</w:t>
            </w:r>
          </w:p>
        </w:tc>
        <w:tc>
          <w:tcPr>
            <w:tcW w:w="100" w:type="dxa"/>
            <w:vAlign w:val="bottom"/>
            <w:vMerge w:val="restart"/>
          </w:tcPr>
          <w:p>
            <w:pPr>
              <w:spacing w:after="0"/>
              <w:rPr>
                <w:sz w:val="14"/>
                <w:szCs w:val="14"/>
                <w:color w:val="auto"/>
              </w:rPr>
            </w:pPr>
          </w:p>
        </w:tc>
        <w:tc>
          <w:tcPr>
            <w:tcW w:w="2160" w:type="dxa"/>
            <w:vAlign w:val="bottom"/>
            <w:vMerge w:val="restart"/>
          </w:tcPr>
          <w:p>
            <w:pPr>
              <w:ind w:left="460"/>
              <w:spacing w:after="0"/>
              <w:rPr>
                <w:sz w:val="20"/>
                <w:szCs w:val="20"/>
                <w:color w:val="auto"/>
              </w:rPr>
            </w:pPr>
            <w:r>
              <w:rPr>
                <w:rFonts w:ascii="Arial" w:cs="Arial" w:eastAsia="Arial" w:hAnsi="Arial"/>
                <w:sz w:val="14"/>
                <w:szCs w:val="14"/>
                <w:b w:val="1"/>
                <w:bCs w:val="1"/>
                <w:color w:val="auto"/>
              </w:rPr>
              <w:t>Valuation Technique</w:t>
            </w:r>
          </w:p>
        </w:tc>
        <w:tc>
          <w:tcPr>
            <w:tcW w:w="120" w:type="dxa"/>
            <w:vAlign w:val="bottom"/>
            <w:vMerge w:val="restart"/>
          </w:tcPr>
          <w:p>
            <w:pPr>
              <w:spacing w:after="0"/>
              <w:rPr>
                <w:sz w:val="14"/>
                <w:szCs w:val="14"/>
                <w:color w:val="auto"/>
              </w:rPr>
            </w:pPr>
          </w:p>
        </w:tc>
        <w:tc>
          <w:tcPr>
            <w:tcW w:w="3180" w:type="dxa"/>
            <w:vAlign w:val="bottom"/>
            <w:vMerge w:val="restart"/>
          </w:tcPr>
          <w:p>
            <w:pPr>
              <w:ind w:left="980"/>
              <w:spacing w:after="0"/>
              <w:rPr>
                <w:sz w:val="20"/>
                <w:szCs w:val="20"/>
                <w:color w:val="auto"/>
              </w:rPr>
            </w:pPr>
            <w:r>
              <w:rPr>
                <w:rFonts w:ascii="Arial" w:cs="Arial" w:eastAsia="Arial" w:hAnsi="Arial"/>
                <w:sz w:val="14"/>
                <w:szCs w:val="14"/>
                <w:b w:val="1"/>
                <w:bCs w:val="1"/>
                <w:color w:val="auto"/>
              </w:rPr>
              <w:t>Unobservable Input</w:t>
            </w:r>
          </w:p>
        </w:tc>
        <w:tc>
          <w:tcPr>
            <w:tcW w:w="100" w:type="dxa"/>
            <w:vAlign w:val="bottom"/>
            <w:vMerge w:val="restart"/>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92"/>
        </w:trPr>
        <w:tc>
          <w:tcPr>
            <w:tcW w:w="31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1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1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250"/>
        </w:trPr>
        <w:tc>
          <w:tcPr>
            <w:tcW w:w="3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Derivative Liabilities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1,232</w:t>
            </w:r>
          </w:p>
        </w:tc>
        <w:tc>
          <w:tcPr>
            <w:tcW w:w="10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Discounted cash flows</w:t>
            </w:r>
          </w:p>
        </w:tc>
        <w:tc>
          <w:tcPr>
            <w:tcW w:w="3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Constant prepayment rate</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10.60%</w:t>
            </w:r>
          </w:p>
        </w:tc>
        <w:tc>
          <w:tcPr>
            <w:tcW w:w="0" w:type="dxa"/>
            <w:vAlign w:val="bottom"/>
          </w:tcPr>
          <w:p>
            <w:pPr>
              <w:spacing w:after="0"/>
              <w:rPr>
                <w:sz w:val="1"/>
                <w:szCs w:val="1"/>
                <w:color w:val="auto"/>
              </w:rPr>
            </w:pPr>
          </w:p>
        </w:tc>
      </w:tr>
      <w:tr>
        <w:trPr>
          <w:trHeight w:val="243"/>
        </w:trPr>
        <w:tc>
          <w:tcPr>
            <w:tcW w:w="3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80" w:type="dxa"/>
            <w:vAlign w:val="bottom"/>
            <w:gridSpan w:val="2"/>
          </w:tcPr>
          <w:p>
            <w:pPr>
              <w:ind w:left="20"/>
              <w:spacing w:after="0"/>
              <w:rPr>
                <w:sz w:val="20"/>
                <w:szCs w:val="20"/>
                <w:color w:val="auto"/>
              </w:rPr>
            </w:pPr>
            <w:r>
              <w:rPr>
                <w:rFonts w:ascii="Arial" w:cs="Arial" w:eastAsia="Arial" w:hAnsi="Arial"/>
                <w:sz w:val="18"/>
                <w:szCs w:val="18"/>
                <w:color w:val="auto"/>
              </w:rPr>
              <w:t>Default rate</w:t>
            </w:r>
          </w:p>
        </w:tc>
        <w:tc>
          <w:tcPr>
            <w:tcW w:w="1440" w:type="dxa"/>
            <w:vAlign w:val="bottom"/>
          </w:tcPr>
          <w:p>
            <w:pPr>
              <w:jc w:val="right"/>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27"/>
        </w:trPr>
        <w:tc>
          <w:tcPr>
            <w:tcW w:w="3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80" w:type="dxa"/>
            <w:vAlign w:val="bottom"/>
            <w:gridSpan w:val="2"/>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Reference STACR credit spread</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27"/>
        </w:trPr>
        <w:tc>
          <w:tcPr>
            <w:tcW w:w="3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The significant unobservable inputs used for derivative liabilities are constant prepayment rates (“CPR”) and default rates on the reference pool of mortgages and the credit spreads on the reference STACR notes. An increase in the CPR, default rate or reference STACR credit spread will increase the fair value of the liability.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Statutory Accounting</w:t>
      </w:r>
    </w:p>
    <w:p>
      <w:pPr>
        <w:spacing w:after="0" w:line="229"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Our U.S. insurance subsidiaries prepare statutory-basis financial statements in accordance with the accounting practices prescribed or permitted by their respective state’s department of insurance, which is a comprehensive basis of accounting other than GAAP. We did not use any prescribed or permitted statutory accounting practices (individually or in the aggregate) that resulted in reported statutory surplus or capital that was significantly different from the statutory surplus or capital that would have been reported had National Association of Insurance Commissioners’ statutory accounting practices been followed. The following table presents Essent Guaranty’s and Essent PA’s statutory net income, statutory surplus and contingency reserve liability as of and for the three months ended March 31:</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833"/>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853"/>
              <w:spacing w:after="0"/>
              <w:rPr>
                <w:sz w:val="20"/>
                <w:szCs w:val="20"/>
                <w:color w:val="auto"/>
              </w:rPr>
            </w:pPr>
            <w:r>
              <w:rPr>
                <w:rFonts w:ascii="Arial" w:cs="Arial" w:eastAsia="Arial" w:hAnsi="Arial"/>
                <w:sz w:val="14"/>
                <w:szCs w:val="14"/>
                <w:b w:val="1"/>
                <w:bCs w:val="1"/>
                <w:color w:val="auto"/>
              </w:rPr>
              <w:t>2015</w:t>
            </w:r>
          </w:p>
        </w:tc>
      </w:tr>
      <w:tr>
        <w:trPr>
          <w:trHeight w:val="250"/>
        </w:trPr>
        <w:tc>
          <w:tcPr>
            <w:tcW w:w="6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Essent Guaranty</w:t>
            </w:r>
          </w:p>
        </w:tc>
        <w:tc>
          <w:tcPr>
            <w:tcW w:w="5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r>
      <w:tr>
        <w:trPr>
          <w:trHeight w:val="243"/>
        </w:trPr>
        <w:tc>
          <w:tcPr>
            <w:tcW w:w="6900" w:type="dxa"/>
            <w:vAlign w:val="bottom"/>
            <w:gridSpan w:val="2"/>
          </w:tcPr>
          <w:p>
            <w:pPr>
              <w:ind w:left="280"/>
              <w:spacing w:after="0"/>
              <w:rPr>
                <w:sz w:val="20"/>
                <w:szCs w:val="20"/>
                <w:color w:val="auto"/>
              </w:rPr>
            </w:pPr>
            <w:r>
              <w:rPr>
                <w:rFonts w:ascii="Arial" w:cs="Arial" w:eastAsia="Arial" w:hAnsi="Arial"/>
                <w:sz w:val="18"/>
                <w:szCs w:val="18"/>
                <w:color w:val="auto"/>
              </w:rPr>
              <w:t>Statutory net income</w:t>
            </w: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13"/>
              <w:spacing w:after="0"/>
              <w:rPr>
                <w:sz w:val="20"/>
                <w:szCs w:val="20"/>
                <w:color w:val="auto"/>
              </w:rPr>
            </w:pPr>
            <w:r>
              <w:rPr>
                <w:rFonts w:ascii="Arial" w:cs="Arial" w:eastAsia="Arial" w:hAnsi="Arial"/>
                <w:sz w:val="18"/>
                <w:szCs w:val="18"/>
                <w:color w:val="auto"/>
              </w:rPr>
              <w:t>48,486</w:t>
            </w:r>
          </w:p>
        </w:tc>
        <w:tc>
          <w:tcPr>
            <w:tcW w:w="120" w:type="dxa"/>
            <w:vAlign w:val="bottom"/>
          </w:tcPr>
          <w:p>
            <w:pPr>
              <w:spacing w:after="0"/>
              <w:rPr>
                <w:sz w:val="21"/>
                <w:szCs w:val="21"/>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ind w:right="13"/>
              <w:spacing w:after="0"/>
              <w:rPr>
                <w:sz w:val="20"/>
                <w:szCs w:val="20"/>
                <w:color w:val="auto"/>
              </w:rPr>
            </w:pPr>
            <w:r>
              <w:rPr>
                <w:rFonts w:ascii="Arial" w:cs="Arial" w:eastAsia="Arial" w:hAnsi="Arial"/>
                <w:sz w:val="18"/>
                <w:szCs w:val="18"/>
                <w:color w:val="auto"/>
              </w:rPr>
              <w:t>40,174</w:t>
            </w:r>
          </w:p>
        </w:tc>
      </w:tr>
      <w:tr>
        <w:trPr>
          <w:trHeight w:val="27"/>
        </w:trPr>
        <w:tc>
          <w:tcPr>
            <w:tcW w:w="6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69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Statutory surplus</w:t>
            </w:r>
          </w:p>
        </w:tc>
        <w:tc>
          <w:tcPr>
            <w:tcW w:w="5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532,199</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471,240</w:t>
            </w:r>
          </w:p>
        </w:tc>
      </w:tr>
      <w:tr>
        <w:trPr>
          <w:trHeight w:val="243"/>
        </w:trPr>
        <w:tc>
          <w:tcPr>
            <w:tcW w:w="6900" w:type="dxa"/>
            <w:vAlign w:val="bottom"/>
            <w:gridSpan w:val="2"/>
          </w:tcPr>
          <w:p>
            <w:pPr>
              <w:ind w:left="280"/>
              <w:spacing w:after="0"/>
              <w:rPr>
                <w:sz w:val="20"/>
                <w:szCs w:val="20"/>
                <w:color w:val="auto"/>
              </w:rPr>
            </w:pPr>
            <w:r>
              <w:rPr>
                <w:rFonts w:ascii="Arial" w:cs="Arial" w:eastAsia="Arial" w:hAnsi="Arial"/>
                <w:sz w:val="18"/>
                <w:szCs w:val="18"/>
                <w:color w:val="auto"/>
              </w:rPr>
              <w:t>Contingency reserve liability</w:t>
            </w:r>
          </w:p>
        </w:tc>
        <w:tc>
          <w:tcPr>
            <w:tcW w:w="520" w:type="dxa"/>
            <w:vAlign w:val="bottom"/>
          </w:tcPr>
          <w:p>
            <w:pPr>
              <w:spacing w:after="0"/>
              <w:rPr>
                <w:sz w:val="21"/>
                <w:szCs w:val="21"/>
                <w:color w:val="auto"/>
              </w:rPr>
            </w:pPr>
          </w:p>
        </w:tc>
        <w:tc>
          <w:tcPr>
            <w:tcW w:w="1620" w:type="dxa"/>
            <w:vAlign w:val="bottom"/>
          </w:tcPr>
          <w:p>
            <w:pPr>
              <w:jc w:val="right"/>
              <w:ind w:right="13"/>
              <w:spacing w:after="0"/>
              <w:rPr>
                <w:sz w:val="20"/>
                <w:szCs w:val="20"/>
                <w:color w:val="auto"/>
              </w:rPr>
            </w:pPr>
            <w:r>
              <w:rPr>
                <w:rFonts w:ascii="Arial" w:cs="Arial" w:eastAsia="Arial" w:hAnsi="Arial"/>
                <w:sz w:val="18"/>
                <w:szCs w:val="18"/>
                <w:color w:val="auto"/>
              </w:rPr>
              <w:t>353,063</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20" w:type="dxa"/>
            <w:vAlign w:val="bottom"/>
          </w:tcPr>
          <w:p>
            <w:pPr>
              <w:jc w:val="right"/>
              <w:ind w:right="13"/>
              <w:spacing w:after="0"/>
              <w:rPr>
                <w:sz w:val="20"/>
                <w:szCs w:val="20"/>
                <w:color w:val="auto"/>
              </w:rPr>
            </w:pPr>
            <w:r>
              <w:rPr>
                <w:rFonts w:ascii="Arial" w:cs="Arial" w:eastAsia="Arial" w:hAnsi="Arial"/>
                <w:sz w:val="18"/>
                <w:szCs w:val="18"/>
                <w:color w:val="auto"/>
              </w:rPr>
              <w:t>211,296</w:t>
            </w:r>
          </w:p>
        </w:tc>
      </w:tr>
      <w:tr>
        <w:trPr>
          <w:trHeight w:val="27"/>
        </w:trPr>
        <w:tc>
          <w:tcPr>
            <w:tcW w:w="6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97"/>
        </w:trPr>
        <w:tc>
          <w:tcPr>
            <w:tcW w:w="6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r>
      <w:tr>
        <w:trPr>
          <w:trHeight w:val="243"/>
        </w:trPr>
        <w:tc>
          <w:tcPr>
            <w:tcW w:w="6900" w:type="dxa"/>
            <w:vAlign w:val="bottom"/>
            <w:gridSpan w:val="2"/>
          </w:tcPr>
          <w:p>
            <w:pPr>
              <w:ind w:left="40"/>
              <w:spacing w:after="0"/>
              <w:rPr>
                <w:sz w:val="20"/>
                <w:szCs w:val="20"/>
                <w:color w:val="auto"/>
              </w:rPr>
            </w:pPr>
            <w:r>
              <w:rPr>
                <w:rFonts w:ascii="Arial" w:cs="Arial" w:eastAsia="Arial" w:hAnsi="Arial"/>
                <w:sz w:val="18"/>
                <w:szCs w:val="18"/>
                <w:color w:val="auto"/>
              </w:rPr>
              <w:t>Essent PA</w:t>
            </w:r>
          </w:p>
        </w:tc>
        <w:tc>
          <w:tcPr>
            <w:tcW w:w="5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20" w:type="dxa"/>
            <w:vAlign w:val="bottom"/>
          </w:tcPr>
          <w:p>
            <w:pPr>
              <w:spacing w:after="0"/>
              <w:rPr>
                <w:sz w:val="21"/>
                <w:szCs w:val="21"/>
                <w:color w:val="auto"/>
              </w:rPr>
            </w:pPr>
          </w:p>
        </w:tc>
      </w:tr>
      <w:tr>
        <w:trPr>
          <w:trHeight w:val="27"/>
        </w:trPr>
        <w:tc>
          <w:tcPr>
            <w:tcW w:w="6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69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Statutory net income</w:t>
            </w: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3,516</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4,148</w:t>
            </w:r>
          </w:p>
        </w:tc>
      </w:tr>
      <w:tr>
        <w:trPr>
          <w:trHeight w:val="243"/>
        </w:trPr>
        <w:tc>
          <w:tcPr>
            <w:tcW w:w="6900" w:type="dxa"/>
            <w:vAlign w:val="bottom"/>
            <w:gridSpan w:val="2"/>
          </w:tcPr>
          <w:p>
            <w:pPr>
              <w:ind w:left="280"/>
              <w:spacing w:after="0"/>
              <w:rPr>
                <w:sz w:val="20"/>
                <w:szCs w:val="20"/>
                <w:color w:val="auto"/>
              </w:rPr>
            </w:pPr>
            <w:r>
              <w:rPr>
                <w:rFonts w:ascii="Arial" w:cs="Arial" w:eastAsia="Arial" w:hAnsi="Arial"/>
                <w:sz w:val="18"/>
                <w:szCs w:val="18"/>
                <w:color w:val="auto"/>
              </w:rPr>
              <w:t>Statutory surplus</w:t>
            </w:r>
          </w:p>
        </w:tc>
        <w:tc>
          <w:tcPr>
            <w:tcW w:w="520" w:type="dxa"/>
            <w:vAlign w:val="bottom"/>
          </w:tcPr>
          <w:p>
            <w:pPr>
              <w:spacing w:after="0"/>
              <w:rPr>
                <w:sz w:val="21"/>
                <w:szCs w:val="21"/>
                <w:color w:val="auto"/>
              </w:rPr>
            </w:pPr>
          </w:p>
        </w:tc>
        <w:tc>
          <w:tcPr>
            <w:tcW w:w="1620" w:type="dxa"/>
            <w:vAlign w:val="bottom"/>
          </w:tcPr>
          <w:p>
            <w:pPr>
              <w:jc w:val="right"/>
              <w:ind w:right="13"/>
              <w:spacing w:after="0"/>
              <w:rPr>
                <w:sz w:val="20"/>
                <w:szCs w:val="20"/>
                <w:color w:val="auto"/>
              </w:rPr>
            </w:pPr>
            <w:r>
              <w:rPr>
                <w:rFonts w:ascii="Arial" w:cs="Arial" w:eastAsia="Arial" w:hAnsi="Arial"/>
                <w:sz w:val="18"/>
                <w:szCs w:val="18"/>
                <w:color w:val="auto"/>
              </w:rPr>
              <w:t>44,469</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20" w:type="dxa"/>
            <w:vAlign w:val="bottom"/>
          </w:tcPr>
          <w:p>
            <w:pPr>
              <w:jc w:val="right"/>
              <w:ind w:right="13"/>
              <w:spacing w:after="0"/>
              <w:rPr>
                <w:sz w:val="20"/>
                <w:szCs w:val="20"/>
                <w:color w:val="auto"/>
              </w:rPr>
            </w:pPr>
            <w:r>
              <w:rPr>
                <w:rFonts w:ascii="Arial" w:cs="Arial" w:eastAsia="Arial" w:hAnsi="Arial"/>
                <w:sz w:val="18"/>
                <w:szCs w:val="18"/>
                <w:color w:val="auto"/>
              </w:rPr>
              <w:t>43,928</w:t>
            </w:r>
          </w:p>
        </w:tc>
      </w:tr>
      <w:tr>
        <w:trPr>
          <w:trHeight w:val="27"/>
        </w:trPr>
        <w:tc>
          <w:tcPr>
            <w:tcW w:w="6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43"/>
        </w:trPr>
        <w:tc>
          <w:tcPr>
            <w:tcW w:w="69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Contingency reserve liability</w:t>
            </w:r>
          </w:p>
        </w:tc>
        <w:tc>
          <w:tcPr>
            <w:tcW w:w="520" w:type="dxa"/>
            <w:vAlign w:val="bottom"/>
            <w:shd w:val="clear" w:color="auto" w:fill="CCEEFF"/>
          </w:tcPr>
          <w:p>
            <w:pPr>
              <w:spacing w:after="0"/>
              <w:rPr>
                <w:sz w:val="21"/>
                <w:szCs w:val="21"/>
                <w:color w:val="auto"/>
              </w:rPr>
            </w:pPr>
          </w:p>
        </w:tc>
        <w:tc>
          <w:tcPr>
            <w:tcW w:w="16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29,898</w:t>
            </w: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6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19,744</w:t>
            </w:r>
          </w:p>
        </w:tc>
      </w:tr>
      <w:tr>
        <w:trPr>
          <w:trHeight w:val="27"/>
        </w:trPr>
        <w:tc>
          <w:tcPr>
            <w:tcW w:w="6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280" w:firstLine="648"/>
        <w:spacing w:after="0" w:line="254" w:lineRule="auto"/>
        <w:rPr>
          <w:sz w:val="20"/>
          <w:szCs w:val="20"/>
          <w:color w:val="auto"/>
        </w:rPr>
      </w:pPr>
      <w:r>
        <w:rPr>
          <w:rFonts w:ascii="Arial" w:cs="Arial" w:eastAsia="Arial" w:hAnsi="Arial"/>
          <w:sz w:val="18"/>
          <w:szCs w:val="18"/>
          <w:color w:val="auto"/>
        </w:rPr>
        <w:t>Net income determined in accordance with statutory accounting practices differs from GAAP. In 2016 and 2015, the more significant differences between net income determined under statutory accounting practices and GAAP for Essent Guaranty and Essent PA relate to policy acquisition costs and income taxes. Under statutory accounting practices, policy acquisition costs are expensed as incurred while such costs are capitalized and amortized to expense over the life of the policy under GAAP. We are eligible for a tax deduction, subject to certain limitations for amounts required by state law or regulation to be set aside in statutory contingency reserves when we purchase non-interest-bearing United States Mortgage Guaranty Tax and Loss Bonds (“T&amp;L Bonds”) issued by the Treasury Department. Under statutory accounting practices, this deduction reduces the tax provision recorded by Essent Guaranty and Essent PA and, as a result, increases statutory net income and surplus as compared to net income and equity determined in accordance with GAAP.</w:t>
      </w:r>
    </w:p>
    <w:p>
      <w:pPr>
        <w:sectPr>
          <w:pgSz w:w="11900" w:h="16838" w:orient="portrait"/>
          <w:cols w:equalWidth="0" w:num="1">
            <w:col w:w="11420"/>
          </w:cols>
          <w:pgMar w:left="240" w:top="125" w:right="239" w:bottom="1440" w:gutter="0" w:footer="0" w:header="0"/>
        </w:sect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125" w:right="239" w:bottom="1440" w:gutter="0" w:footer="0" w:header="0"/>
          <w:type w:val="continuous"/>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800" w:firstLine="648"/>
        <w:spacing w:after="0" w:line="277" w:lineRule="auto"/>
        <w:rPr>
          <w:sz w:val="20"/>
          <w:szCs w:val="20"/>
          <w:color w:val="auto"/>
        </w:rPr>
      </w:pPr>
      <w:r>
        <w:rPr>
          <w:rFonts w:ascii="Arial" w:cs="Arial" w:eastAsia="Arial" w:hAnsi="Arial"/>
          <w:sz w:val="18"/>
          <w:szCs w:val="18"/>
          <w:color w:val="auto"/>
        </w:rPr>
        <w:t>At March 31, 2016 and 2015, the statutory capital of our U.S. insurance subsidiaries, which is defined as the total of statutory surplus and contingency reserves, was in excess of the statutory capital necessary to satisfy their regulatory requirements.</w:t>
      </w:r>
    </w:p>
    <w:p>
      <w:pPr>
        <w:spacing w:after="0" w:line="170"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Effective December 31, 2015, Fannie Mae and Freddie Mac, at the direction of the Federal Housing Finance Agency ("FHFA"), implemented new coordinated Private Mortgage Insurer Eligibility Requirements, which we refer to as the "PMIERs." The PMIERs represent the standards by which private mortgage insurers are eligible to provide mortgage insurance on loans owned or guaranteed by Fannie Mae and Freddie Mac. The PMIERs include financial strength requirements incorporating a risk-based framework that require approved insurers to have a sufficient level of liquid assets from which to pay claims. The PMIERs also include enhanced operational performance expectations and define remedial actions that apply should an approved insurer fail to comply with these requirements. As of March 31, 2016 and December 31, 2015, Essent Guaranty, our GSE-approved mortgage insurance company, was in compliance with the PMIERs.</w:t>
      </w:r>
    </w:p>
    <w:p>
      <w:pPr>
        <w:spacing w:after="0" w:line="189"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 xml:space="preserve">Statement of Statutory Accounting Principles No. 58, </w:t>
      </w:r>
      <w:r>
        <w:rPr>
          <w:rFonts w:ascii="Arial" w:cs="Arial" w:eastAsia="Arial" w:hAnsi="Arial"/>
          <w:sz w:val="17"/>
          <w:szCs w:val="17"/>
          <w:i w:val="1"/>
          <w:iCs w:val="1"/>
          <w:color w:val="auto"/>
        </w:rPr>
        <w:t>Mortgage Guaranty Insurance,</w:t>
      </w:r>
      <w:r>
        <w:rPr>
          <w:rFonts w:ascii="Arial" w:cs="Arial" w:eastAsia="Arial" w:hAnsi="Arial"/>
          <w:sz w:val="17"/>
          <w:szCs w:val="17"/>
          <w:color w:val="auto"/>
        </w:rPr>
        <w:t xml:space="preserve"> requires mortgage insurers to establish a special contingency reserve for statutory accounting purposes included in total liabilities equal to 50% of earned premium for that year. During the three months ended March 31, 2016, Essent Guaranty increased its contingency reserve by $38.0 million and Essent PA increased its contingency reserve by $2.4 million. This reserve is required to be maintained for a period of 120 months to protect against the effects of adverse economic cycles. After 120 months, the reserve is released to unassigned funds. In the event an insurer’s loss ratio in any calendar year exceeds 35%, however, the insurer may, after regulatory approval, release from its contingency reserves an amount equal to the excess portion of such losses. Essent Guaranty and Essent PA did not release any amounts from their contingency reserves in the three months ended March 31, 2016 or 2015.</w:t>
      </w:r>
    </w:p>
    <w:p>
      <w:pPr>
        <w:spacing w:after="0" w:line="178"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Under The Insurance Act 1978, as amended, and related regulations of Bermuda (the "Insurance Act"), Essent Re is required to annually prepare statutory financial statements and a statutory financial return in accordance with the financial reporting provisions of the Insurance Act, which is a basis other than GAAP. The Insurance Act also requires that Essent Re maintain minimum share capital and must ensure that the value of its general business assets exceeds the amount of its general business liabilities by an amount greater than the prescribed minimum solvency margins and enhanced capital requirement pertaining to its general business. At December 31, 2015, all such requirements were met.</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statutory capital and surplus and statutory income for Essent Re at March 31, 2016 was as follows:</w:t>
      </w:r>
    </w:p>
    <w:p>
      <w:pPr>
        <w:spacing w:after="0" w:line="200" w:lineRule="exact"/>
        <w:rPr>
          <w:sz w:val="20"/>
          <w:szCs w:val="20"/>
          <w:color w:val="auto"/>
        </w:rPr>
      </w:pPr>
    </w:p>
    <w:p>
      <w:pPr>
        <w:spacing w:after="0" w:line="246" w:lineRule="exact"/>
        <w:rPr>
          <w:sz w:val="20"/>
          <w:szCs w:val="20"/>
          <w:color w:val="auto"/>
        </w:rPr>
      </w:pPr>
    </w:p>
    <w:tbl>
      <w:tblPr>
        <w:tblLayout w:type="fixed"/>
        <w:tblInd w:w="200" w:type="dxa"/>
        <w:tblCellMar>
          <w:top w:w="0" w:type="dxa"/>
          <w:left w:w="0" w:type="dxa"/>
          <w:bottom w:w="0" w:type="dxa"/>
          <w:right w:w="0" w:type="dxa"/>
        </w:tblCellMar>
      </w:tblPr>
      <w:tr>
        <w:trPr>
          <w:trHeight w:val="192"/>
        </w:trPr>
        <w:tc>
          <w:tcPr>
            <w:tcW w:w="80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Actual</w:t>
            </w: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Required</w:t>
            </w:r>
          </w:p>
        </w:tc>
        <w:tc>
          <w:tcPr>
            <w:tcW w:w="100" w:type="dxa"/>
            <w:vAlign w:val="bottom"/>
            <w:tcBorders>
              <w:bottom w:val="single" w:sz="8" w:color="CCEEFF"/>
            </w:tcBorders>
          </w:tcPr>
          <w:p>
            <w:pPr>
              <w:spacing w:after="0"/>
              <w:rPr>
                <w:sz w:val="16"/>
                <w:szCs w:val="16"/>
                <w:color w:val="auto"/>
              </w:rPr>
            </w:pPr>
          </w:p>
        </w:tc>
      </w:tr>
      <w:tr>
        <w:trPr>
          <w:trHeight w:val="250"/>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Statutory capital and surplus: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225,949</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97"/>
        </w:trPr>
        <w:tc>
          <w:tcPr>
            <w:tcW w:w="8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3"/>
        </w:trPr>
        <w:tc>
          <w:tcPr>
            <w:tcW w:w="8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Statutory net income: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9,437</w:t>
            </w: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7"/>
        </w:trPr>
        <w:tc>
          <w:tcPr>
            <w:tcW w:w="8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Statutory capital and surplus and net income determined in accordance with statutory accounting practices differs from GAAP. In the three months ended March 31, 2016, the more significant differences from GAAP for Essent Re relate to policy acquisition costs and accounting for insurance and certain reinsurance policies issued in connection with the ACIS program. Under statutory accounting practices, policy acquisition costs are charged to expense when the related premiums are written while such costs are capitalized and amortized to expense over the life of the policy under GAAP. Under statutory accounting practices, the insurance and reinsurance policies issued in connection with the ACIS program are accounted for as insurance with premium received recorded as premiums earned. Under GAAP, the insurance and certain reinsurance policies for the ACIS program are accounted for as derivatives with the fair value of these policies reported as an asset or liability and changes in the fair value of these policies reported in earnings as a component of other income.</w:t>
      </w:r>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60"/>
          </w:cols>
          <w:pgMar w:left="240" w:top="125" w:right="29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80" w:firstLine="648"/>
        <w:spacing w:after="0" w:line="289" w:lineRule="auto"/>
        <w:rPr>
          <w:sz w:val="20"/>
          <w:szCs w:val="20"/>
          <w:color w:val="auto"/>
        </w:rPr>
      </w:pPr>
      <w:r>
        <w:rPr>
          <w:rFonts w:ascii="Arial" w:cs="Arial" w:eastAsia="Arial" w:hAnsi="Arial"/>
          <w:sz w:val="16"/>
          <w:szCs w:val="16"/>
          <w:i w:val="1"/>
          <w:iCs w:val="1"/>
          <w:color w:val="auto"/>
        </w:rPr>
        <w:t>The following discussion should be read together with the “Selected Financial Data” and our audited consolidated financial statements and related notes included in our Annual Report on Form 10-K as of and for the year ended December 31, 2015 as filed with the Securities and Exchange Commission and referred to herein as the “Annual Report,” and our condensed consolidated financial statements and related notes as of and for the three months ended March 31, 2016 included in Part I, Item 1 of this Quarterly Report on Form 10-Q, which we refer to as the “Quarterly Report.” In addition to historical information, this discussion contains forward-looking statements that involve risks, uncertainties and assumptions that could cause actual results to differ materially from management’s expectations. Factors that could cause such differences are discussed in the sections entitled “Special Note Regarding Forward-Looking Statements” in this Quarterly Report and Part I, Item 1A “Risk Factors” in our Annual Report. We are not undertaking any obligation to update any forward-looking statements or other statements we may make in the following discussion or elsewhere in this document even though these statements may be affected by events or circumstances occurring after the forward-looking statements or other statements were made.</w:t>
      </w:r>
    </w:p>
    <w:p>
      <w:pPr>
        <w:spacing w:after="0" w:line="16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i w:val="1"/>
          <w:iCs w:val="1"/>
          <w:color w:val="auto"/>
        </w:rPr>
        <w:t>Except as otherwise indicated, “Market Share” means our market share as measured by our share of total new insurance written (“NIW”) on a flow basis (in which loans are insured in individual, loan-by-loan transactions) in the private mortgage insurance industry, and excludes both NIW under the Home Affordable Refinance Program (“HARP” and such NIW, the “HARP NIW”) and bulk insurance (in which each loan in a portfolio of loans is insured in a single transaction).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color w:val="auto"/>
        </w:rPr>
        <w:t>We are an established and growing private mortgage insurance company. We were formed to serve the U.S. housing finance industry at a time when the demands of the financial crisis and a rapidly changing business environment created the need for a new, privately funded mortgage insurance company. We had an estimated 11.9% Market Share for the three months ended March 31, 2016. We believe that our success in acquiring customers and growing our insurance in force has been driven by the unique opportunity we offer lenders to partner with a well-capitalized mortgage insurer, unencumbered by business originated prior to the financial crisis, that provides fair and transparent claims payment practices, and consistency and speed of service.</w:t>
      </w:r>
    </w:p>
    <w:p>
      <w:pPr>
        <w:spacing w:after="0" w:line="158"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In 2010, Essent became the first private mortgage insurer to be approved by the GSEs since 1995, and we are licensed to write coverage in all 50 states and the District of Columbia. We completed our initial public offering in November 2013. The financial strength of Essent Guaranty, Inc. ("Essent Guaranty"), our wholly-owned insurance subsidiary, is rated Baa2 with a stable outlook by Moody’s Investor Services (“Moody's”) and is rated BBB+ with a stable outlook by Standard &amp; Poor’s Rating Services (“S&amp;P”).</w:t>
      </w:r>
    </w:p>
    <w:p>
      <w:pPr>
        <w:spacing w:after="0" w:line="187"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We had master policy relationships with approximately 1,320 customers as of March 31, 2016. Our holding company is domiciled in Bermuda and our U.S. insurance business is headquartered in Radnor, Pennsylvania. We operate additional underwriting and service centers in Winston-Salem, North Carolina and Irvine, California. We have a highly experienced, talented team with 357 employees as of March 31, 2016. We generated new insurance written of approximately $5.5 billion and $5.3 billion for the three months ended March 31, 2016 and 2015, respectively. As of March 31, 2016, we had approximately $67.7 billion of insurance in force.</w:t>
      </w:r>
    </w:p>
    <w:p>
      <w:pPr>
        <w:spacing w:after="0" w:line="188"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We also offer mortgage-related insurance and reinsurance through our wholly-owned Bermuda-based subsidiary, Essent Reinsurance, Ltd., which we refer to as "Essent Re." As of March 31, 2016, Essent Re provides insurance or reinsurance in connection with GSE risk-share transactions covering approximately $188.8 million of risk on mortgage loans in reference pools associated with Freddie Mac's Agency Credit Insurance Structure ("ACIS") and Fannie Mae's Credit Insurance Risk Transfer ("CIRT") programs. Essent Re has also reinsured 25% of Essent Guaranty’s GSE-eligible mortgage insurance NIW originated since July 1, 2014 under a quota share reinsurance agreement.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Legislative and Regulatory Developments</w:t>
      </w:r>
    </w:p>
    <w:p>
      <w:pPr>
        <w:spacing w:after="0" w:line="229" w:lineRule="exact"/>
        <w:rPr>
          <w:sz w:val="20"/>
          <w:szCs w:val="20"/>
          <w:color w:val="auto"/>
        </w:rPr>
      </w:pPr>
    </w:p>
    <w:p>
      <w:pPr>
        <w:jc w:val="both"/>
        <w:ind w:right="80" w:firstLine="648"/>
        <w:spacing w:after="0" w:line="259" w:lineRule="auto"/>
        <w:rPr>
          <w:sz w:val="20"/>
          <w:szCs w:val="20"/>
          <w:color w:val="auto"/>
        </w:rPr>
      </w:pPr>
      <w:r>
        <w:rPr>
          <w:rFonts w:ascii="Arial" w:cs="Arial" w:eastAsia="Arial" w:hAnsi="Arial"/>
          <w:sz w:val="18"/>
          <w:szCs w:val="18"/>
          <w:color w:val="auto"/>
        </w:rPr>
        <w:t>Our results are significantly impacted by, and our future success may be affected by, legislative and regulatory developments affecting the housing finance industry. See Part I, Item 1 “Business—Regulation” and Part II, Item 7 “Management’s Discussion and Analysis of Financial Condition and Results of Operations—Legislative and Regulatory Developments” in our Annual Report for a discussion of the laws and regulations to which we are subject as well as legislative and regulatory developments affecting the housing finance industry.</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125" w:right="25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Effective December 31, 2015, Fannie Mae and Freddie Mac, at the direction of the Federal Housing Finance Agency ("FHFA"), implemented new coordinated Private Mortgage Insurer Eligibility Requirements, which we refer to as the "PMIERs." The PMIERs represent the standards by which private mortgage insurers are eligible to provide mortgage insurance on loans owned or guaranteed by Fannie Mae and Freddie Mac. The PMIERs include financial strength requirements incorporating a risk-based framework that require approved insurers to have a sufficient level of liquid assets from which to pay claims. The PMIERs also include enhanced operational performance expectations and define remedial actions that apply should an approved insurer fail to comply with these requirements. As of March 31, 2016, Essent Guaranty, our GSE-approved mortgage insurance company, was in compliance with the PMIERs. See additional discussion in “— Liquidity and Capital Resources —Private Mortgage Insurer Eligibility Requirements.”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Results of Operations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Net Premiums Written and Earned</w:t>
      </w:r>
    </w:p>
    <w:p>
      <w:pPr>
        <w:spacing w:after="0" w:line="225"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Premiums associated with our U.S. mortgage insurance business are based on insurance in force ("IIF") during all or a portion of a period. A change in the average IIF during a period causes premiums to increase or decrease as compared to prior periods. Average premium rates in effect during a given period will also cause premiums to differ when compared to earlier periods. IIF at the end of a reporting period is a function of the IIF at the beginning of such reporting period plus NIW less policy cancellations (including claims paid) during the period. As a result, premiums are generally influenced by:</w:t>
      </w:r>
    </w:p>
    <w:p>
      <w:pPr>
        <w:spacing w:after="0" w:line="154" w:lineRule="exact"/>
        <w:rPr>
          <w:sz w:val="20"/>
          <w:szCs w:val="20"/>
          <w:color w:val="auto"/>
        </w:rPr>
      </w:pPr>
    </w:p>
    <w:p>
      <w:pPr>
        <w:ind w:left="660" w:right="300" w:hanging="328"/>
        <w:spacing w:after="0" w:line="342"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NIW, which is the aggregate principal amount of the new mortgages that are insured during a period. Many factors affect NIW, including, among others, the volume of low down payment home mortgage originations and the competition to provide credit enhancement on those mortgages;</w:t>
      </w:r>
    </w:p>
    <w:p>
      <w:pPr>
        <w:spacing w:after="0" w:line="123" w:lineRule="exact"/>
        <w:rPr>
          <w:rFonts w:ascii="Arial" w:cs="Arial" w:eastAsia="Arial" w:hAnsi="Arial"/>
          <w:sz w:val="16"/>
          <w:szCs w:val="16"/>
          <w:color w:val="auto"/>
        </w:rPr>
      </w:pPr>
    </w:p>
    <w:p>
      <w:pPr>
        <w:ind w:left="660" w:right="140" w:hanging="328"/>
        <w:spacing w:after="0" w:line="308"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Cancellations of our insurance policies, which are impacted by payments on mortgages, home price appreciation, or refinancings, which in turn are affected by mortgage interest rates. Cancellations are also impacted by the levels of claim payments and rescissions;</w:t>
      </w:r>
    </w:p>
    <w:p>
      <w:pPr>
        <w:spacing w:after="0" w:line="146" w:lineRule="exact"/>
        <w:rPr>
          <w:rFonts w:ascii="Arial" w:cs="Arial" w:eastAsia="Arial" w:hAnsi="Arial"/>
          <w:sz w:val="17"/>
          <w:szCs w:val="17"/>
          <w:color w:val="auto"/>
        </w:rPr>
      </w:pPr>
    </w:p>
    <w:p>
      <w:pPr>
        <w:ind w:left="660" w:right="380" w:hanging="328"/>
        <w:spacing w:after="0" w:line="342"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Premium rates, which represent the amount of the premium due as a percentage of IIF. Premium rates are based on the risk characteristics of the loans insured, the percentage of coverage on the loans, competition from other mortgage insurers and general industry conditions; and</w:t>
      </w:r>
    </w:p>
    <w:p>
      <w:pPr>
        <w:spacing w:after="0" w:line="123" w:lineRule="exact"/>
        <w:rPr>
          <w:rFonts w:ascii="Arial" w:cs="Arial" w:eastAsia="Arial" w:hAnsi="Arial"/>
          <w:sz w:val="16"/>
          <w:szCs w:val="16"/>
          <w:color w:val="auto"/>
        </w:rPr>
      </w:pPr>
    </w:p>
    <w:p>
      <w:pPr>
        <w:ind w:left="660" w:hanging="328"/>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Premiums ceded or assumed under reinsurance arrangements. To date, we have not ceded any premiums under third-party reinsurance contracts.</w:t>
      </w:r>
    </w:p>
    <w:p>
      <w:pPr>
        <w:spacing w:after="0" w:line="248"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Premiums are paid either on a monthly installment basis (“monthly premiums”), in a single payment at origination (“single premiums”), or in some cases as an annual premium. For monthly premiums, we receive a monthly premium payment which is recorded as net premiums earned in the month the coverage is provided. Monthly premium payments are based on the original mortgage amount rather than the amortized loan balance. Net premiums written may be in excess of net premiums earned due to single premium policies. For single premiums, we receive a single premium payment at origination, which is recorded as “unearned premium” and earned over the estimated life of the policy, which ranges from 36 to 156 months depending on the term of the underlying mortgage and loan-to-value ratio at date of origination. If single premium policies are cancelled due to repayment of the underlying loan and the premium is non-refundable, the remaining unearned premium balance is immediately recognized as earned premium revenue. Substantially all of our single premium policies in force as of March 31, 2016 were non-refundable. Premiums collected on annual policies are recognized as net premiums earned on a straight-line basis over the year of coverage. For the three months ended March 31, 2016, monthly and single premium policies comprised 74.1% and 25.9% of our NIW, respectively.</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Premiums associated with our GSE risk share transactions are based on the level of risk in force.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Persistency and Business Mix</w:t>
      </w:r>
    </w:p>
    <w:p>
      <w:pPr>
        <w:spacing w:after="0" w:line="2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The percentage of IIF that remains on our books after any 12-month period is defined as our persistency rate. Because our insurance premiums are earned over the life of a policy, changes in persistency rates can have a significant impact on our profitability. The persistency rate on our portfolio was 81.0% at March 31, 2016. Generally, higher prepayment speeds lead to lower persistency.</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125" w:right="25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Prepayment speeds and the relative mix of business between single premium policies and monthly premium policies also impact our profitability. Our premium rates include certain assumptions regarding repayment or prepayment speeds of the mortgages. Because premiums are paid at origination on single premium policies, assuming all other factors remain constant, if loans are prepaid earlier than expected, our profitability on these loans is likely to increase and, if loans are repaid slower than expected, our profitability on these loans is likely to decrease. By contrast, if monthly premium loans are repaid earlier than anticipated, our premium earned with respect to those loans and therefore our profitability declines. Currently, the expected return on single premium policies is less than the expected return on monthly policies.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Net Investment Income</w:t>
      </w:r>
    </w:p>
    <w:p>
      <w:pPr>
        <w:spacing w:after="0" w:line="225"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Our investment portfolio was predominantly comprised of investment-grade fixed income securities and money market funds as of March 31, 2016. The principal factors that influence investment income are the size of the investment portfolio and the yield on individual securities. As measured by amortized cost (which excludes changes in fair market value, such as from changes in interest rates), the size of our investment portfolio is mainly a function of increases in capital and cash generated from or used in operations which is impacted by net premiums received, investment earnings, net claim payments and expenses. Realized gains and losses are a function of the difference between the amount received on the sale of a security and the security’s amortized cost, as well as any “other-than-temporary” impairments recognized in earnings. The amount received on the sale of fixed income securities is affected by the coupon rate of the security compared to the yield of comparable securities at the time of sale.</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Other Income</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 connection with the acquisition of our mortgage insurance platform, we entered into a services agreement with Triad Guaranty Inc. and its wholly-owned subsidiary, Triad Guaranty Insurance Corporation, which we refer to collectively as “Triad,” to provide certain information technology maintenance and development and customer support-related services. In return for these services, we receive a fee which is recorded in other income. This fee is adjusted monthly based on the number of Triad’s mortgage insurance policies in force and, accordingly, will decrease over time as Triad’s existing policies are cancelled. The services agreement was automatically extended until November 30, 2016 and provides for three subsequent one-year renewals at Triad’s option.</w:t>
      </w:r>
    </w:p>
    <w:p>
      <w:pPr>
        <w:spacing w:after="0" w:line="193"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Other income also includes revenues associated with contract underwriting services and changes in the fair value of derivative instruments. The level of contract underwriting revenue is dependent upon the number of customers who have engaged us for this service and the number of loans underwritten for these customers. The insurance and certain of the reinsurance policies issued by Essent Re in connection with the ACIS program are accounted for as derivatives under U.S. generally accepted accounting principles ("GAAP") with the fair value of these policies reported as an asset or liability and changes in the fair value of these policies reported in earnings. Changes in the fair value of these policies are impacted by changes in market observable factors.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Provision for Losses and Loss Adjustment Expenses</w:t>
      </w:r>
    </w:p>
    <w:p>
      <w:pPr>
        <w:spacing w:after="0" w:line="225"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The provision for losses and loss adjustment expenses reflect the current expense that is recorded within a particular period to reflect actual and estimated loss payments that we believe will ultimately be made as a result of insured loans that are in default.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Losses incurred are generally affected by:</w:t>
      </w:r>
    </w:p>
    <w:p>
      <w:pPr>
        <w:spacing w:after="0" w:line="225" w:lineRule="exact"/>
        <w:rPr>
          <w:sz w:val="20"/>
          <w:szCs w:val="20"/>
          <w:color w:val="auto"/>
        </w:rPr>
      </w:pPr>
    </w:p>
    <w:p>
      <w:pPr>
        <w:ind w:left="660" w:right="38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overall state of the economy, which broadly affects the likelihood that borrowers may default on their loans and have the ability to cure such defaults;</w:t>
      </w:r>
    </w:p>
    <w:p>
      <w:pPr>
        <w:spacing w:after="0" w:line="170" w:lineRule="exact"/>
        <w:rPr>
          <w:rFonts w:ascii="Arial" w:cs="Arial" w:eastAsia="Arial" w:hAnsi="Arial"/>
          <w:sz w:val="18"/>
          <w:szCs w:val="18"/>
          <w:color w:val="auto"/>
        </w:rPr>
      </w:pPr>
    </w:p>
    <w:p>
      <w:pPr>
        <w:ind w:left="660" w:right="380" w:hanging="328"/>
        <w:spacing w:after="0" w:line="342"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changes in housing values, which affect our ability to mitigate our losses through the sale of properties with loans in default as well as borrower willingness to continue to make mortgage payments when the value of the home is below or perceived to be below the mortgage balance;</w:t>
      </w:r>
    </w:p>
    <w:p>
      <w:pPr>
        <w:spacing w:after="0" w:line="123" w:lineRule="exact"/>
        <w:rPr>
          <w:rFonts w:ascii="Arial" w:cs="Arial" w:eastAsia="Arial" w:hAnsi="Arial"/>
          <w:sz w:val="16"/>
          <w:szCs w:val="16"/>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product mix of IIF, with loans having higher risk characteristics generally resulting in higher defaults and claims;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size of loans insured, with higher average loan amounts tending to increase losses incurred;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loan-to-value ratio, with higher average loan-to-value ratios tending to increase losses incurred;</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125" w:right="25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percentage of coverage on insured loans, with deeper average coverage tending to increase losses incurred;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credit quality of borrowers, including higher debt-to-income ratios and lower FICO scores, which tend to increase incurred losses;</w:t>
      </w:r>
    </w:p>
    <w:p>
      <w:pPr>
        <w:spacing w:after="0" w:line="225" w:lineRule="exact"/>
        <w:rPr>
          <w:rFonts w:ascii="Arial" w:cs="Arial" w:eastAsia="Arial" w:hAnsi="Arial"/>
          <w:sz w:val="18"/>
          <w:szCs w:val="18"/>
          <w:color w:val="auto"/>
        </w:rPr>
      </w:pPr>
    </w:p>
    <w:p>
      <w:pPr>
        <w:ind w:left="660" w:right="80" w:hanging="328"/>
        <w:spacing w:after="0" w:line="264"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rate at which we rescind policies. Because of tighter underwriting standards generally in the mortgage lending industry and terms set forth in our master policy, we expect that our level of rescission activity will be lower than rescission activity seen in the mortgage insurance industry for vintages originated prior to the financial crisis; and</w:t>
      </w:r>
    </w:p>
    <w:p>
      <w:pPr>
        <w:spacing w:after="0" w:line="181" w:lineRule="exact"/>
        <w:rPr>
          <w:rFonts w:ascii="Arial" w:cs="Arial" w:eastAsia="Arial" w:hAnsi="Arial"/>
          <w:sz w:val="18"/>
          <w:szCs w:val="18"/>
          <w:color w:val="auto"/>
        </w:rPr>
      </w:pPr>
    </w:p>
    <w:p>
      <w:pPr>
        <w:ind w:left="660" w:hanging="328"/>
        <w:spacing w:after="0" w:line="259"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distribution of claims over the life of a book. The average age of our insurance portfolio is young with 72% of our IIF as of March 31, 2016 having been originated since January 1, 2014. As a result, based on historical industry performance, we expect the number of defaults and claims we experience, as well as our provision for losses and loss adjustment expenses, to increase as our portfolio further seasons. See “— Mortgage Insurance Earnings and Cash Flow Cycle” below.</w:t>
      </w:r>
    </w:p>
    <w:p>
      <w:pPr>
        <w:spacing w:after="0" w:line="187" w:lineRule="exact"/>
        <w:rPr>
          <w:sz w:val="20"/>
          <w:szCs w:val="20"/>
          <w:color w:val="auto"/>
        </w:rPr>
      </w:pPr>
    </w:p>
    <w:p>
      <w:pPr>
        <w:jc w:val="both"/>
        <w:ind w:right="200" w:firstLine="648"/>
        <w:spacing w:after="0" w:line="288" w:lineRule="auto"/>
        <w:rPr>
          <w:sz w:val="20"/>
          <w:szCs w:val="20"/>
          <w:color w:val="auto"/>
        </w:rPr>
      </w:pPr>
      <w:r>
        <w:rPr>
          <w:rFonts w:ascii="Arial" w:cs="Arial" w:eastAsia="Arial" w:hAnsi="Arial"/>
          <w:sz w:val="16"/>
          <w:szCs w:val="16"/>
          <w:color w:val="auto"/>
        </w:rPr>
        <w:t>We establish loss reserves for delinquent loans when we are notified that a borrower has missed at least two consecutive monthly payments (“Case Reserves”), as well as estimated reserves for defaults that may have occurred but not yet been reported to us (“IBNR Reserves”). We also establish reserves for the associated loss adjustment expenses (“LAE”), consisting of the estimated cost of the claims administration process, including legal and other fees.</w:t>
      </w:r>
    </w:p>
    <w:p>
      <w:pPr>
        <w:jc w:val="both"/>
        <w:ind w:right="460"/>
        <w:spacing w:after="0" w:line="255" w:lineRule="auto"/>
        <w:rPr>
          <w:sz w:val="20"/>
          <w:szCs w:val="20"/>
          <w:color w:val="auto"/>
        </w:rPr>
      </w:pPr>
      <w:r>
        <w:rPr>
          <w:rFonts w:ascii="Arial" w:cs="Arial" w:eastAsia="Arial" w:hAnsi="Arial"/>
          <w:sz w:val="18"/>
          <w:szCs w:val="18"/>
          <w:color w:val="auto"/>
        </w:rPr>
        <w:t>Using both internal and external information, we establish our reserves based on the likelihood that a default will reach claim status and estimated claim severity. See Part II, Item 7 “Management’s Discussion and Analysis of Financial Condition and Results of Operations — Critical Accounting Policies” included in our Annual Report for further information.</w:t>
      </w:r>
    </w:p>
    <w:p>
      <w:pPr>
        <w:spacing w:after="0" w:line="190"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We believe, based upon our experience and industry data, that claims incidence for mortgage insurance is generally highest in the third through sixth years after loan origination. As of March 31, 2016, 72% of our IIF relates to business written since January 1, 2014 and substantially all of our policies in force are less than three years old. Although the claims experience on new insurance written by us to date has been favorable, we expect incurred losses and claims to increase as a greater amount of this book of insurance reaches its anticipated period of highest claim frequency. The actual default rate and the average reserve per default that we experience as our portfolio matures is difficult to predict and is dependent on the specific characteristics of our current in-force book (including the credit score of the borrower, the loan-to-value ratio of the mortgage, geographic concentrations, etc.), as well as the profile of new business we write in the future. In addition, the default rate and the average reserve per default will be affected by future macroeconomic factors such as housing prices, interest rates and employment.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Other Underwriting and Operating Expenses</w:t>
      </w:r>
    </w:p>
    <w:p>
      <w:pPr>
        <w:spacing w:after="0" w:line="225"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Our other underwriting and operating expenses include components that are substantially fixed, as well as expenses that generally increase or decrease in line with the level of NIW.</w:t>
      </w:r>
    </w:p>
    <w:p>
      <w:pPr>
        <w:spacing w:after="0" w:line="170"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Our most significant expense is compensation and benefits for our employees, which represented 65% of other underwriting and operating expenses for the three months ended March 31, 2016, compared to 66% of other underwriting and operating expenses for the three months ended March 31, 2015. Compensation and benefits expense includes base and incentive cash compensation, stock compensation expense, benefits and payroll taxes. Compensation and benefits expense has steadily increased as we have increased our staffing from 332 employees at January 1, 2015 to 357 at March 31, 2016, primarily in our business development and operations functions to support the growth of our business. The growth in our sales organization contributed to the growth of our active customers and NIW. We also expanded our underwriting and customer service teams to support this new business.</w:t>
      </w:r>
    </w:p>
    <w:p>
      <w:pPr>
        <w:spacing w:after="0" w:line="165" w:lineRule="exact"/>
        <w:rPr>
          <w:sz w:val="20"/>
          <w:szCs w:val="20"/>
          <w:color w:val="auto"/>
        </w:rPr>
      </w:pPr>
    </w:p>
    <w:p>
      <w:pPr>
        <w:ind w:right="320" w:firstLine="648"/>
        <w:spacing w:after="0" w:line="302" w:lineRule="auto"/>
        <w:rPr>
          <w:sz w:val="20"/>
          <w:szCs w:val="20"/>
          <w:color w:val="auto"/>
        </w:rPr>
      </w:pPr>
      <w:r>
        <w:rPr>
          <w:rFonts w:ascii="Arial" w:cs="Arial" w:eastAsia="Arial" w:hAnsi="Arial"/>
          <w:sz w:val="16"/>
          <w:szCs w:val="16"/>
          <w:color w:val="auto"/>
        </w:rPr>
        <w:t>Underwriting and other expenses include legal, consulting, other professional fees, premium taxes, travel, entertainment, marketing, licensing, supplies, hardware, software, rent, utilities, depreciation and amortization and other expenses. We anticipate that as we continue to add customers and increase our IIF, our expenses will also continue to increase. In addition, as a result of the increase in our IIF, we expect that our net premiums earned will grow faster than our underwriting and other expenses resulting in a decline in our expense ratio for the full year 2016 as compared to 2015.</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Income taxes are incurred based on the amount of earnings or losses generated in the jurisdictions in which we operate and the applicable tax rates and regulations in those jurisdictions. Our U.S. insurance subsidiaries are generally not subject to income taxes in the states in which we operate; however, our non-insurance subsidiaries are subject to state income taxes. In lieu of state income taxes, our insurance subsidiaries pay premium taxes that are recorded in other underwriting and operating expenses. Essent Group Ltd. and its wholly-owned subsidiary, Essent Re, are domiciled in Bermuda, which does not have a corporate income tax. Effective July 2014, Essent Re began to reinsure 25% of GSE-eligible new insurance written of Essent Guaranty, an affiliate. Essent Re also provides insurance and reinsurance to Freddie Mac and Fannie Mae. The amount of income tax expense or benefit recorded in future periods will be dependent on the jurisdictions in which we operate and the tax laws and regulations in effect.</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Mortgage Insurance Earnings and Cash Flow Cycle</w:t>
      </w:r>
    </w:p>
    <w:p>
      <w:pPr>
        <w:spacing w:after="0" w:line="225"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In general, the majority of any underwriting profit (premium revenue minus losses) that a book generates occurs in the early years of the book, with the largest portion of any underwriting profit realized in the first year. Subsequent years of a book generally result in modest underwriting profit or underwriting losses. This pattern generally occurs because relatively few of the claims that a book will ultimately experience typically occur in the first few years of the book, when premium revenue is highest, while subsequent years are affected by declining premium revenues, as the number of insured loans decreases (primarily due to loan prepayments), and by increasing losses.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Indicators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Insurance In Force</w:t>
      </w:r>
    </w:p>
    <w:p>
      <w:pPr>
        <w:spacing w:after="0" w:line="225"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As discussed above, premiums we collect and earn are generated based on our IIF, which is a function of our NIW and cancellations. The following table includes a summary of the change in our IIF for the three months ended March 31, 2016 and 2015 for our U.S. mortgage insurance portfolio. In addition, this table includes our risk in force ("RIF") at the end of each period.</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552"/>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64"/>
        </w:trPr>
        <w:tc>
          <w:tcPr>
            <w:tcW w:w="80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IIF, beginning of period</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65,242,453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50,762,594</w:t>
            </w:r>
          </w:p>
        </w:tc>
        <w:tc>
          <w:tcPr>
            <w:tcW w:w="0" w:type="dxa"/>
            <w:vAlign w:val="bottom"/>
          </w:tcPr>
          <w:p>
            <w:pPr>
              <w:spacing w:after="0"/>
              <w:rPr>
                <w:sz w:val="1"/>
                <w:szCs w:val="1"/>
                <w:color w:val="auto"/>
              </w:rPr>
            </w:pPr>
          </w:p>
        </w:tc>
      </w:tr>
      <w:tr>
        <w:trPr>
          <w:trHeight w:val="243"/>
        </w:trPr>
        <w:tc>
          <w:tcPr>
            <w:tcW w:w="8120" w:type="dxa"/>
            <w:vAlign w:val="bottom"/>
            <w:gridSpan w:val="2"/>
          </w:tcPr>
          <w:p>
            <w:pPr>
              <w:ind w:left="280"/>
              <w:spacing w:after="0"/>
              <w:rPr>
                <w:sz w:val="20"/>
                <w:szCs w:val="20"/>
                <w:color w:val="auto"/>
              </w:rPr>
            </w:pPr>
            <w:r>
              <w:rPr>
                <w:rFonts w:ascii="Arial" w:cs="Arial" w:eastAsia="Arial" w:hAnsi="Arial"/>
                <w:sz w:val="18"/>
                <w:szCs w:val="18"/>
                <w:color w:val="auto"/>
              </w:rPr>
              <w:t>NIW - Flow</w:t>
            </w:r>
          </w:p>
        </w:tc>
        <w:tc>
          <w:tcPr>
            <w:tcW w:w="38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5,366,675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5,346,820</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NIW - Bulk</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93,054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120" w:type="dxa"/>
            <w:vAlign w:val="bottom"/>
            <w:gridSpan w:val="2"/>
          </w:tcPr>
          <w:p>
            <w:pPr>
              <w:ind w:left="280"/>
              <w:spacing w:after="0"/>
              <w:rPr>
                <w:sz w:val="20"/>
                <w:szCs w:val="20"/>
                <w:color w:val="auto"/>
              </w:rPr>
            </w:pPr>
            <w:r>
              <w:rPr>
                <w:rFonts w:ascii="Arial" w:cs="Arial" w:eastAsia="Arial" w:hAnsi="Arial"/>
                <w:sz w:val="18"/>
                <w:szCs w:val="18"/>
                <w:color w:val="auto"/>
              </w:rPr>
              <w:t>Cancellations</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(2,985,441)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(2,855,782)</w:t>
            </w:r>
          </w:p>
        </w:tc>
        <w:tc>
          <w:tcPr>
            <w:tcW w:w="0" w:type="dxa"/>
            <w:vAlign w:val="bottom"/>
          </w:tcPr>
          <w:p>
            <w:pPr>
              <w:spacing w:after="0"/>
              <w:rPr>
                <w:sz w:val="1"/>
                <w:szCs w:val="1"/>
                <w:color w:val="auto"/>
              </w:rPr>
            </w:pPr>
          </w:p>
        </w:tc>
      </w:tr>
      <w:tr>
        <w:trPr>
          <w:trHeight w:val="27"/>
        </w:trPr>
        <w:tc>
          <w:tcPr>
            <w:tcW w:w="8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IIF, end of period</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67,716,741</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53,253,632</w:t>
            </w: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8"/>
                <w:szCs w:val="18"/>
                <w:color w:val="auto"/>
              </w:rPr>
              <w:t>Average IIF during the period</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120" w:type="dxa"/>
            <w:vAlign w:val="bottom"/>
            <w:gridSpan w:val="2"/>
            <w:vMerge w:val="continue"/>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66,437,045</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51,975,527</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1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RIF, end of period</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16,745,819</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12,891,462</w:t>
            </w:r>
          </w:p>
        </w:tc>
        <w:tc>
          <w:tcPr>
            <w:tcW w:w="0" w:type="dxa"/>
            <w:vAlign w:val="bottom"/>
          </w:tcPr>
          <w:p>
            <w:pPr>
              <w:spacing w:after="0"/>
              <w:rPr>
                <w:sz w:val="1"/>
                <w:szCs w:val="1"/>
                <w:color w:val="auto"/>
              </w:rPr>
            </w:pPr>
          </w:p>
        </w:tc>
      </w:tr>
      <w:tr>
        <w:trPr>
          <w:trHeight w:val="27"/>
        </w:trPr>
        <w:tc>
          <w:tcPr>
            <w:tcW w:w="8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Our cancellation activity has been relatively low to date because the average age of our insurance portfolio is young. The following is a summary of our IIF at March 31, 2016 by vintage:</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in thousands)</w:t>
            </w:r>
          </w:p>
        </w:tc>
        <w:tc>
          <w:tcPr>
            <w:tcW w:w="42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692"/>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166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 (through March 31)</w:t>
            </w:r>
          </w:p>
        </w:tc>
        <w:tc>
          <w:tcPr>
            <w:tcW w:w="4720" w:type="dxa"/>
            <w:vAlign w:val="bottom"/>
            <w:tcBorders>
              <w:bottom w:val="single" w:sz="8" w:color="CCEEFF"/>
            </w:tcBorders>
            <w:gridSpan w:val="3"/>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5,429,882</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43"/>
        </w:trPr>
        <w:tc>
          <w:tcPr>
            <w:tcW w:w="3740" w:type="dxa"/>
            <w:vAlign w:val="bottom"/>
          </w:tcPr>
          <w:p>
            <w:pPr>
              <w:ind w:left="40"/>
              <w:spacing w:after="0"/>
              <w:rPr>
                <w:sz w:val="20"/>
                <w:szCs w:val="20"/>
                <w:color w:val="auto"/>
              </w:rPr>
            </w:pPr>
            <w:r>
              <w:rPr>
                <w:rFonts w:ascii="Arial" w:cs="Arial" w:eastAsia="Arial" w:hAnsi="Arial"/>
                <w:sz w:val="18"/>
                <w:szCs w:val="18"/>
                <w:color w:val="auto"/>
              </w:rPr>
              <w:t>2015</w:t>
            </w:r>
          </w:p>
        </w:tc>
        <w:tc>
          <w:tcPr>
            <w:tcW w:w="4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24,711,026</w:t>
            </w:r>
          </w:p>
        </w:tc>
        <w:tc>
          <w:tcPr>
            <w:tcW w:w="100" w:type="dxa"/>
            <w:vAlign w:val="bottom"/>
          </w:tcPr>
          <w:p>
            <w:pPr>
              <w:spacing w:after="0"/>
              <w:rPr>
                <w:sz w:val="21"/>
                <w:szCs w:val="21"/>
                <w:color w:val="auto"/>
              </w:rPr>
            </w:pPr>
          </w:p>
        </w:tc>
        <w:tc>
          <w:tcPr>
            <w:tcW w:w="1660" w:type="dxa"/>
            <w:vAlign w:val="bottom"/>
          </w:tcPr>
          <w:p>
            <w:pPr>
              <w:jc w:val="right"/>
              <w:ind w:right="92"/>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4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2014</w:t>
            </w:r>
          </w:p>
        </w:tc>
        <w:tc>
          <w:tcPr>
            <w:tcW w:w="4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18,901,253</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43"/>
        </w:trPr>
        <w:tc>
          <w:tcPr>
            <w:tcW w:w="3740" w:type="dxa"/>
            <w:vAlign w:val="bottom"/>
          </w:tcPr>
          <w:p>
            <w:pPr>
              <w:ind w:left="40"/>
              <w:spacing w:after="0"/>
              <w:rPr>
                <w:sz w:val="20"/>
                <w:szCs w:val="20"/>
                <w:color w:val="auto"/>
              </w:rPr>
            </w:pPr>
            <w:r>
              <w:rPr>
                <w:rFonts w:ascii="Arial" w:cs="Arial" w:eastAsia="Arial" w:hAnsi="Arial"/>
                <w:sz w:val="18"/>
                <w:szCs w:val="18"/>
                <w:color w:val="auto"/>
              </w:rPr>
              <w:t>2013</w:t>
            </w:r>
          </w:p>
        </w:tc>
        <w:tc>
          <w:tcPr>
            <w:tcW w:w="4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12,649,996</w:t>
            </w:r>
          </w:p>
        </w:tc>
        <w:tc>
          <w:tcPr>
            <w:tcW w:w="100" w:type="dxa"/>
            <w:vAlign w:val="bottom"/>
          </w:tcPr>
          <w:p>
            <w:pPr>
              <w:spacing w:after="0"/>
              <w:rPr>
                <w:sz w:val="21"/>
                <w:szCs w:val="21"/>
                <w:color w:val="auto"/>
              </w:rPr>
            </w:pPr>
          </w:p>
        </w:tc>
        <w:tc>
          <w:tcPr>
            <w:tcW w:w="1660" w:type="dxa"/>
            <w:vAlign w:val="bottom"/>
          </w:tcPr>
          <w:p>
            <w:pPr>
              <w:jc w:val="right"/>
              <w:ind w:right="92"/>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4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2012</w:t>
            </w:r>
          </w:p>
        </w:tc>
        <w:tc>
          <w:tcPr>
            <w:tcW w:w="4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5,164,434</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43"/>
        </w:trPr>
        <w:tc>
          <w:tcPr>
            <w:tcW w:w="3740" w:type="dxa"/>
            <w:vAlign w:val="bottom"/>
          </w:tcPr>
          <w:p>
            <w:pPr>
              <w:ind w:left="40"/>
              <w:spacing w:after="0"/>
              <w:rPr>
                <w:sz w:val="20"/>
                <w:szCs w:val="20"/>
                <w:color w:val="auto"/>
              </w:rPr>
            </w:pPr>
            <w:r>
              <w:rPr>
                <w:rFonts w:ascii="Arial" w:cs="Arial" w:eastAsia="Arial" w:hAnsi="Arial"/>
                <w:sz w:val="18"/>
                <w:szCs w:val="18"/>
                <w:color w:val="auto"/>
              </w:rPr>
              <w:t>2011</w:t>
            </w:r>
          </w:p>
        </w:tc>
        <w:tc>
          <w:tcPr>
            <w:tcW w:w="4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815,747</w:t>
            </w:r>
          </w:p>
        </w:tc>
        <w:tc>
          <w:tcPr>
            <w:tcW w:w="100" w:type="dxa"/>
            <w:vAlign w:val="bottom"/>
          </w:tcPr>
          <w:p>
            <w:pPr>
              <w:spacing w:after="0"/>
              <w:rPr>
                <w:sz w:val="21"/>
                <w:szCs w:val="21"/>
                <w:color w:val="auto"/>
              </w:rPr>
            </w:pPr>
          </w:p>
        </w:tc>
        <w:tc>
          <w:tcPr>
            <w:tcW w:w="1660" w:type="dxa"/>
            <w:vAlign w:val="bottom"/>
          </w:tcPr>
          <w:p>
            <w:pPr>
              <w:jc w:val="right"/>
              <w:ind w:right="92"/>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4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2010</w:t>
            </w:r>
          </w:p>
        </w:tc>
        <w:tc>
          <w:tcPr>
            <w:tcW w:w="42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44,403</w:t>
            </w:r>
          </w:p>
        </w:tc>
        <w:tc>
          <w:tcPr>
            <w:tcW w:w="10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7"/>
        </w:trPr>
        <w:tc>
          <w:tcPr>
            <w:tcW w:w="3740" w:type="dxa"/>
            <w:vAlign w:val="bottom"/>
          </w:tcPr>
          <w:p>
            <w:pPr>
              <w:spacing w:after="0"/>
              <w:rPr>
                <w:sz w:val="20"/>
                <w:szCs w:val="20"/>
                <w:color w:val="auto"/>
              </w:rPr>
            </w:pPr>
          </w:p>
        </w:tc>
        <w:tc>
          <w:tcPr>
            <w:tcW w:w="4320" w:type="dxa"/>
            <w:vAlign w:val="bottom"/>
            <w:gridSpan w:val="2"/>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67,716,741</w:t>
            </w:r>
          </w:p>
        </w:tc>
        <w:tc>
          <w:tcPr>
            <w:tcW w:w="100" w:type="dxa"/>
            <w:vAlign w:val="bottom"/>
          </w:tcPr>
          <w:p>
            <w:pPr>
              <w:spacing w:after="0"/>
              <w:rPr>
                <w:sz w:val="20"/>
                <w:szCs w:val="20"/>
                <w:color w:val="auto"/>
              </w:rPr>
            </w:pP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4200" w:type="dxa"/>
            <w:vAlign w:val="bottom"/>
            <w:vMerge w:val="restart"/>
          </w:tcPr>
          <w:p>
            <w:pPr>
              <w:jc w:val="right"/>
              <w:ind w:right="205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420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3740" w:type="dxa"/>
            <w:vAlign w:val="bottom"/>
          </w:tcPr>
          <w:p>
            <w:pPr>
              <w:spacing w:after="0"/>
              <w:rPr>
                <w:sz w:val="24"/>
                <w:szCs w:val="24"/>
                <w:color w:val="auto"/>
              </w:rPr>
            </w:pPr>
          </w:p>
        </w:tc>
        <w:tc>
          <w:tcPr>
            <w:tcW w:w="42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Average Premium Rate</w:t>
      </w:r>
    </w:p>
    <w:p>
      <w:pPr>
        <w:spacing w:after="0" w:line="225" w:lineRule="exact"/>
        <w:rPr>
          <w:sz w:val="20"/>
          <w:szCs w:val="20"/>
          <w:color w:val="auto"/>
        </w:rPr>
      </w:pPr>
    </w:p>
    <w:p>
      <w:pPr>
        <w:ind w:right="140" w:firstLine="648"/>
        <w:spacing w:after="0" w:line="312" w:lineRule="auto"/>
        <w:rPr>
          <w:sz w:val="20"/>
          <w:szCs w:val="20"/>
          <w:color w:val="auto"/>
        </w:rPr>
      </w:pPr>
      <w:r>
        <w:rPr>
          <w:rFonts w:ascii="Arial" w:cs="Arial" w:eastAsia="Arial" w:hAnsi="Arial"/>
          <w:sz w:val="16"/>
          <w:szCs w:val="16"/>
          <w:color w:val="auto"/>
        </w:rPr>
        <w:t>Our average premium rate is dependent on a number of factors, including: (1) the risk characteristics and average coverage on the mortgages we insure; (2) the mix of monthly premiums compared to single premiums in our portfolio; (3) cancellations of non-refundable single premiums during the period; and (4) changes to our pricing. For the three months ended March 31, 2016 and 2015, our average premium rate was 0.56% and 0.58%, respectively.</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Persistency Rate</w:t>
      </w:r>
    </w:p>
    <w:p>
      <w:pPr>
        <w:spacing w:after="0" w:line="225"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The measure for assessing the impact of policy cancellations on IIF is our persistency rate, defined as the percentage of IIF that remains on our books after any twelve-month period. See additional discussion regarding the impact of the persistency rate on our performance in “— Factors Affecting Our Results of Operations — Persistency and Business Mix.”</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Risk-to-Capital</w:t>
      </w:r>
    </w:p>
    <w:p>
      <w:pPr>
        <w:spacing w:after="0" w:line="225"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The risk-to-capital ratio has historically been used as a measure of capital adequacy in the U.S. mortgage insurance industry and is calculated as a ratio of net risk in force to statutory capital. Net risk in force represents total risk in force net of reinsurance ceded and net of exposures on policies for which loss reserves have been established. Statutory capital for our U.S. insurance companies is computed based on accounting practices prescribed or permitted by the Pennsylvania Insurance Department. See additional discussion in “— Liquidity and Capital Resources — Insurance Company Capital.”</w:t>
      </w:r>
    </w:p>
    <w:p>
      <w:pPr>
        <w:spacing w:after="0" w:line="154"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As of March 31, 2016, our combined net risk in force for our U.S. insurance companies was $14.3 billion and our combined statutory capital was $960.8 million, resulting in a risk-to-capital ratio of 14.8 to 1. The amount of capital required varies in each jurisdiction in which we operate; however, generally, the maximum permitted risk-to-capital ratio is 25.0 to 1. State insurance regulators are currently examining their respective capital rules to determine whether, in light of the financial crisis, changes are needed to more accurately assess mortgage insurers’ ability to withstand stressful economic conditions. As a result, the capital metrics under which they assess and measure capital adequacy may change in the future. Independent of the state regulator and GSE capital requirements, management continually assesses the risk of our insurance portfolio and current market and economic conditions to determine the appropriate levels of capital to support our business.</w:t>
      </w:r>
    </w:p>
    <w:p>
      <w:pPr>
        <w:spacing w:after="0" w:line="189" w:lineRule="exact"/>
        <w:rPr>
          <w:sz w:val="20"/>
          <w:szCs w:val="20"/>
          <w:color w:val="auto"/>
        </w:rPr>
      </w:pPr>
    </w:p>
    <w:p>
      <w:pPr>
        <w:ind w:right="860" w:firstLine="648"/>
        <w:spacing w:after="0" w:line="277" w:lineRule="auto"/>
        <w:rPr>
          <w:sz w:val="20"/>
          <w:szCs w:val="20"/>
          <w:color w:val="auto"/>
        </w:rPr>
      </w:pPr>
      <w:r>
        <w:rPr>
          <w:rFonts w:ascii="Arial" w:cs="Arial" w:eastAsia="Arial" w:hAnsi="Arial"/>
          <w:sz w:val="18"/>
          <w:szCs w:val="18"/>
          <w:color w:val="auto"/>
        </w:rPr>
        <w:t>During the three months ended March 31, 2016 and 2015, no capital contributions were made by Essent Group Ltd. to our U.S. insurance subsidiaries.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our results of operations for the periods indicated:</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gridSpan w:val="2"/>
          </w:tcPr>
          <w:p>
            <w:pPr>
              <w:ind w:left="40"/>
              <w:spacing w:after="0"/>
              <w:rPr>
                <w:sz w:val="20"/>
                <w:szCs w:val="20"/>
                <w:color w:val="auto"/>
              </w:rPr>
            </w:pPr>
            <w:r>
              <w:rPr>
                <w:rFonts w:ascii="Arial" w:cs="Arial" w:eastAsia="Arial" w:hAnsi="Arial"/>
                <w:sz w:val="14"/>
                <w:szCs w:val="14"/>
                <w:b w:val="1"/>
                <w:bCs w:val="1"/>
                <w:color w:val="auto"/>
              </w:rPr>
              <w:t>Summary of Operations</w:t>
            </w:r>
          </w:p>
        </w:tc>
        <w:tc>
          <w:tcPr>
            <w:tcW w:w="38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551"/>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0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2015</w:t>
            </w: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Net premiums written</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100,466</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82,257</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Increase in unearned premiums</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(6,063)</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(7,219)</w:t>
            </w:r>
          </w:p>
        </w:tc>
      </w:tr>
      <w:tr>
        <w:trPr>
          <w:trHeight w:val="237"/>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Net premiums earned</w:t>
            </w: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94,403</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75,038</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investment income</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6,183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4,280</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Realized investment gains, net</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471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649</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income</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1,409</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w:t>
            </w:r>
          </w:p>
        </w:tc>
      </w:tr>
      <w:tr>
        <w:trPr>
          <w:trHeight w:val="237"/>
        </w:trPr>
        <w:tc>
          <w:tcPr>
            <w:tcW w:w="8120" w:type="dxa"/>
            <w:vAlign w:val="bottom"/>
            <w:gridSpan w:val="2"/>
          </w:tcPr>
          <w:p>
            <w:pPr>
              <w:ind w:left="280"/>
              <w:spacing w:after="0"/>
              <w:rPr>
                <w:sz w:val="20"/>
                <w:szCs w:val="20"/>
                <w:color w:val="auto"/>
              </w:rPr>
            </w:pPr>
            <w:r>
              <w:rPr>
                <w:rFonts w:ascii="Arial" w:cs="Arial" w:eastAsia="Arial" w:hAnsi="Arial"/>
                <w:sz w:val="18"/>
                <w:szCs w:val="18"/>
                <w:color w:val="auto"/>
              </w:rPr>
              <w:t>Total revenues</w:t>
            </w: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102,466</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80,011</w:t>
            </w:r>
          </w:p>
        </w:tc>
      </w:tr>
      <w:tr>
        <w:trPr>
          <w:trHeight w:val="27"/>
        </w:trPr>
        <w:tc>
          <w:tcPr>
            <w:tcW w:w="8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77"/>
        </w:trPr>
        <w:tc>
          <w:tcPr>
            <w:tcW w:w="8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b w:val="1"/>
                <w:bCs w:val="1"/>
                <w:color w:val="auto"/>
              </w:rPr>
              <w:t>Losses and expenses:</w:t>
            </w: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Provision for losses and LAE</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3,731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1,999</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Other underwriting and operating expenses</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31,388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27,498</w:t>
            </w:r>
          </w:p>
        </w:tc>
      </w:tr>
      <w:tr>
        <w:trPr>
          <w:trHeight w:val="27"/>
        </w:trPr>
        <w:tc>
          <w:tcPr>
            <w:tcW w:w="8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4"/>
        </w:trPr>
        <w:tc>
          <w:tcPr>
            <w:tcW w:w="81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Total losses and expenses</w:t>
            </w: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35,119</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29,497</w:t>
            </w:r>
          </w:p>
        </w:tc>
      </w:tr>
      <w:tr>
        <w:trPr>
          <w:trHeight w:val="237"/>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Income before income taxes</w:t>
            </w: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67,347</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50,514</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19,396</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15,676</w:t>
            </w:r>
          </w:p>
        </w:tc>
      </w:tr>
      <w:tr>
        <w:trPr>
          <w:trHeight w:val="257"/>
        </w:trPr>
        <w:tc>
          <w:tcPr>
            <w:tcW w:w="8120" w:type="dxa"/>
            <w:vAlign w:val="bottom"/>
            <w:gridSpan w:val="2"/>
          </w:tcPr>
          <w:p>
            <w:pPr>
              <w:ind w:left="40"/>
              <w:spacing w:after="0"/>
              <w:rPr>
                <w:sz w:val="20"/>
                <w:szCs w:val="20"/>
                <w:color w:val="auto"/>
              </w:rPr>
            </w:pPr>
            <w:r>
              <w:rPr>
                <w:rFonts w:ascii="Arial" w:cs="Arial" w:eastAsia="Arial" w:hAnsi="Arial"/>
                <w:sz w:val="18"/>
                <w:szCs w:val="18"/>
                <w:b w:val="1"/>
                <w:bCs w:val="1"/>
                <w:color w:val="auto"/>
              </w:rPr>
              <w:t>Net income</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47,951</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34,838</w:t>
            </w:r>
          </w:p>
        </w:tc>
      </w:tr>
      <w:tr>
        <w:trPr>
          <w:trHeight w:val="20"/>
        </w:trPr>
        <w:tc>
          <w:tcPr>
            <w:tcW w:w="8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125" w:right="239" w:bottom="1440" w:gutter="0" w:footer="0" w:header="0"/>
          <w:type w:val="continuous"/>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March 31, 2016 Compared to the Three Months Ended March 31, 2015</w:t>
      </w:r>
    </w:p>
    <w:p>
      <w:pPr>
        <w:spacing w:after="0" w:line="229"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For the three months ended March 31, 2016, we reported net income of $48.0 million, compared to net income of $34.8 million for the three months ended March 31, 2015. The increase in our operating results in 2016 over the same period in 2015 was primarily due to the increase in net premiums earned associated with the growth of our IIF and the increase in net investment income, partially offset by increases in other underwriting and operating expenses, the provision for losses and loss adjustment expenses and income taxes.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Net Premiums Written and Earned</w:t>
      </w:r>
    </w:p>
    <w:p>
      <w:pPr>
        <w:spacing w:after="0" w:line="225" w:lineRule="exact"/>
        <w:rPr>
          <w:sz w:val="20"/>
          <w:szCs w:val="20"/>
          <w:color w:val="auto"/>
        </w:rPr>
      </w:pPr>
    </w:p>
    <w:p>
      <w:pPr>
        <w:ind w:right="240" w:firstLine="648"/>
        <w:spacing w:after="0" w:line="257" w:lineRule="auto"/>
        <w:rPr>
          <w:sz w:val="20"/>
          <w:szCs w:val="20"/>
          <w:color w:val="auto"/>
        </w:rPr>
      </w:pPr>
      <w:r>
        <w:rPr>
          <w:rFonts w:ascii="Arial" w:cs="Arial" w:eastAsia="Arial" w:hAnsi="Arial"/>
          <w:sz w:val="18"/>
          <w:szCs w:val="18"/>
          <w:color w:val="auto"/>
        </w:rPr>
        <w:t>Net premiums earned increased in the three months ended March 31, 2016 by 26% compared to the three months ended March 31, 2015 primarily due to the increase in our average IIF from $52.0 billion at March 31, 2015 to $66.4 billion at March 31, 2016, partially offset by a decrease in the average premium rate from 0.58% in the three months ended March 31, 2015 to 0.56% in the three months ended March 31, 2016. The decrease in the average premium rate is due primarily to a decrease in premium earned on the cancellation of non-refundable single premium policies relative to average IIF in the respective periods.</w:t>
      </w:r>
    </w:p>
    <w:p>
      <w:pPr>
        <w:spacing w:after="0" w:line="188"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color w:val="auto"/>
        </w:rPr>
        <w:t>The increase in net premiums written was due primarily to the increase in average IIF of 28% for the three months ended March 31, 2016 versus the comparable period in 2015. Net premiums written increased in the three months ended March 31, 2016 by 22% over the three months ended March 31, 2015.</w:t>
      </w:r>
    </w:p>
    <w:p>
      <w:pPr>
        <w:spacing w:after="0" w:line="124"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In the three months ended March 31, 2016, unearned premiums increased by $6.1 million as a result of net premiums written on single premium policies of $23.2 million, which was partially offset by $17.1 million of unearned premium that was recognized in earnings during the period. In the three months ended March 31, 2015, unearned premiums increased by $7.2 million as a result of net premiums written on single premium policies of $21.2 million, which was partially offset by $14.0 million of unearned premium that was recognized in earnings during the period.</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Net Investment Income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net investment income was derived from the following sources for the period indicated:</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553"/>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0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2015</w:t>
            </w: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Fixed maturities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6,655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4,653</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Short-term investments</w:t>
            </w:r>
          </w:p>
        </w:tc>
        <w:tc>
          <w:tcPr>
            <w:tcW w:w="38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12</w:t>
            </w:r>
          </w:p>
        </w:tc>
      </w:tr>
      <w:tr>
        <w:trPr>
          <w:trHeight w:val="27"/>
        </w:trPr>
        <w:tc>
          <w:tcPr>
            <w:tcW w:w="8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Gross investment income</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6,688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4,665</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Investment expenses</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(505)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(385)</w:t>
            </w:r>
          </w:p>
        </w:tc>
      </w:tr>
      <w:tr>
        <w:trPr>
          <w:trHeight w:val="27"/>
        </w:trPr>
        <w:tc>
          <w:tcPr>
            <w:tcW w:w="8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investment income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6,183</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4,280</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The increase in net investment income for the three months ended March 31, 2016 as compared to the same period in 2015 was due to the increase in the weighted average balance of our investment portfolio and the increase in the pre-tax investment income yield. The average cash and investment portfolio balance was $1.3 billion for the three months ended March 31, 2016 compared to $1.1 billion for the three months ended March 31, 2015 as a result of investing cash flows generated from operations. The pre-tax investment income yield increased from 1.7% in the three months ended March 31, 2015 to</w:t>
      </w:r>
    </w:p>
    <w:p>
      <w:pPr>
        <w:spacing w:after="0" w:line="2" w:lineRule="exact"/>
        <w:rPr>
          <w:sz w:val="20"/>
          <w:szCs w:val="20"/>
          <w:color w:val="auto"/>
        </w:rPr>
      </w:pPr>
    </w:p>
    <w:p>
      <w:pPr>
        <w:ind w:right="160"/>
        <w:spacing w:after="0" w:line="290" w:lineRule="auto"/>
        <w:rPr>
          <w:sz w:val="20"/>
          <w:szCs w:val="20"/>
          <w:color w:val="auto"/>
        </w:rPr>
      </w:pPr>
      <w:r>
        <w:rPr>
          <w:rFonts w:ascii="Arial" w:cs="Arial" w:eastAsia="Arial" w:hAnsi="Arial"/>
          <w:sz w:val="17"/>
          <w:szCs w:val="17"/>
          <w:color w:val="auto"/>
        </w:rPr>
        <w:t>2.0% in the three months ended March 31, 2016 as a result of increasing our longer duration investment positions. The pre-tax investment income yields are calculated based on amortized cost. See “— Liquidity and Capital Resources” below for further details of our investment portfolio.</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Other Income</w:t>
      </w:r>
    </w:p>
    <w:p>
      <w:pPr>
        <w:spacing w:after="0" w:line="225" w:lineRule="exact"/>
        <w:rPr>
          <w:sz w:val="20"/>
          <w:szCs w:val="20"/>
          <w:color w:val="auto"/>
        </w:rPr>
      </w:pPr>
    </w:p>
    <w:p>
      <w:pPr>
        <w:jc w:val="both"/>
        <w:ind w:right="60" w:firstLine="648"/>
        <w:spacing w:after="0" w:line="297" w:lineRule="auto"/>
        <w:rPr>
          <w:sz w:val="20"/>
          <w:szCs w:val="20"/>
          <w:color w:val="auto"/>
        </w:rPr>
      </w:pPr>
      <w:r>
        <w:rPr>
          <w:rFonts w:ascii="Arial" w:cs="Arial" w:eastAsia="Arial" w:hAnsi="Arial"/>
          <w:sz w:val="16"/>
          <w:szCs w:val="16"/>
          <w:color w:val="auto"/>
        </w:rPr>
        <w:t>Other income includes fees earned for information technology and customer support services provided to Triad, contract underwriting revenues and changes in the fair value of the insurance and certain reinsurance policies issued by Essent Re under the ACIS program. The increase in other income for the three months ended March 31, 2016 was primarily due to a $0.7 million increase in the estimated fair value of our ACIS contracts resulting from the decrease in observed prepayment speeds associated with the underlying pool of mortgages on the reference STACR notes issued by Freddie Mac. For the same period in 2015, the decrease in other income was primarily due to a $0.7 million decrease in the estimated fair value of our</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ACIS contracts resulting from the increase in observed prepayment speeds associated with the underlying pool of mortgages on the reference STACR notes.</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Provision for Losses and Loss Adjustment Expenses</w:t>
      </w:r>
    </w:p>
    <w:p>
      <w:pPr>
        <w:spacing w:after="0" w:line="225"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increase in the provision for losses and LAE in the three months ended March 31, 2016 as compared to the same period in 2015 was primarily due to the increase in the number of insured loans in default, partially offset by previously identified defaults that cured.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a rollforward of insured loans in default for the periods indicated:</w:t>
      </w:r>
    </w:p>
    <w:p>
      <w:pPr>
        <w:spacing w:after="0" w:line="200" w:lineRule="exact"/>
        <w:rPr>
          <w:sz w:val="20"/>
          <w:szCs w:val="20"/>
          <w:color w:val="auto"/>
        </w:rPr>
      </w:pPr>
    </w:p>
    <w:p>
      <w:pPr>
        <w:spacing w:after="0" w:line="246" w:lineRule="exact"/>
        <w:rPr>
          <w:sz w:val="20"/>
          <w:szCs w:val="20"/>
          <w:color w:val="auto"/>
        </w:rPr>
      </w:pPr>
    </w:p>
    <w:p>
      <w:pPr>
        <w:ind w:left="8800"/>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5159375</wp:posOffset>
            </wp:positionH>
            <wp:positionV relativeFrom="paragraph">
              <wp:posOffset>23495</wp:posOffset>
            </wp:positionV>
            <wp:extent cx="20923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140" w:type="dxa"/>
            <w:vAlign w:val="bottom"/>
            <w:gridSpan w:val="2"/>
          </w:tcPr>
          <w:p>
            <w:pPr>
              <w:ind w:left="8780"/>
              <w:spacing w:after="0"/>
              <w:rPr>
                <w:sz w:val="20"/>
                <w:szCs w:val="20"/>
                <w:color w:val="auto"/>
              </w:rPr>
            </w:pPr>
            <w:r>
              <w:rPr>
                <w:rFonts w:ascii="Arial" w:cs="Arial" w:eastAsia="Arial" w:hAnsi="Arial"/>
                <w:sz w:val="14"/>
                <w:szCs w:val="14"/>
                <w:b w:val="1"/>
                <w:bCs w:val="1"/>
                <w:color w:val="auto"/>
              </w:rPr>
              <w:t>2016</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jc w:val="right"/>
              <w:ind w:right="553"/>
              <w:spacing w:after="0"/>
              <w:rPr>
                <w:sz w:val="20"/>
                <w:szCs w:val="20"/>
                <w:color w:val="auto"/>
              </w:rPr>
            </w:pPr>
            <w:r>
              <w:rPr>
                <w:rFonts w:ascii="Arial" w:cs="Arial" w:eastAsia="Arial" w:hAnsi="Arial"/>
                <w:sz w:val="14"/>
                <w:szCs w:val="14"/>
                <w:b w:val="1"/>
                <w:bCs w:val="1"/>
                <w:color w:val="auto"/>
              </w:rPr>
              <w:t>2015</w:t>
            </w:r>
          </w:p>
        </w:tc>
      </w:tr>
      <w:tr>
        <w:trPr>
          <w:trHeight w:val="25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default inventory</w:t>
            </w: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1,028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457</w:t>
            </w:r>
          </w:p>
        </w:tc>
      </w:tr>
      <w:tr>
        <w:trPr>
          <w:trHeight w:val="243"/>
        </w:trPr>
        <w:tc>
          <w:tcPr>
            <w:tcW w:w="9140" w:type="dxa"/>
            <w:vAlign w:val="bottom"/>
            <w:gridSpan w:val="2"/>
          </w:tcPr>
          <w:p>
            <w:pPr>
              <w:ind w:left="40"/>
              <w:spacing w:after="0"/>
              <w:rPr>
                <w:sz w:val="20"/>
                <w:szCs w:val="20"/>
                <w:color w:val="auto"/>
              </w:rPr>
            </w:pPr>
            <w:r>
              <w:rPr>
                <w:rFonts w:ascii="Arial" w:cs="Arial" w:eastAsia="Arial" w:hAnsi="Arial"/>
                <w:sz w:val="18"/>
                <w:szCs w:val="18"/>
                <w:color w:val="auto"/>
              </w:rPr>
              <w:t>Plus: new defaults</w:t>
            </w: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769</w:t>
            </w:r>
          </w:p>
        </w:tc>
        <w:tc>
          <w:tcPr>
            <w:tcW w:w="100" w:type="dxa"/>
            <w:vAlign w:val="bottom"/>
          </w:tcPr>
          <w:p>
            <w:pPr>
              <w:spacing w:after="0"/>
              <w:rPr>
                <w:sz w:val="21"/>
                <w:szCs w:val="21"/>
                <w:color w:val="auto"/>
              </w:rPr>
            </w:pPr>
          </w:p>
        </w:tc>
        <w:tc>
          <w:tcPr>
            <w:tcW w:w="1580" w:type="dxa"/>
            <w:vAlign w:val="bottom"/>
          </w:tcPr>
          <w:p>
            <w:pPr>
              <w:jc w:val="right"/>
              <w:ind w:right="13"/>
              <w:spacing w:after="0"/>
              <w:rPr>
                <w:sz w:val="20"/>
                <w:szCs w:val="20"/>
                <w:color w:val="auto"/>
              </w:rPr>
            </w:pPr>
            <w:r>
              <w:rPr>
                <w:rFonts w:ascii="Arial" w:cs="Arial" w:eastAsia="Arial" w:hAnsi="Arial"/>
                <w:sz w:val="18"/>
                <w:szCs w:val="18"/>
                <w:color w:val="auto"/>
              </w:rPr>
              <w:t>381</w:t>
            </w:r>
          </w:p>
        </w:tc>
      </w:tr>
      <w:tr>
        <w:trPr>
          <w:trHeight w:val="27"/>
        </w:trPr>
        <w:tc>
          <w:tcPr>
            <w:tcW w:w="8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9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Less: cures</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(706)</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w:t>
            </w:r>
          </w:p>
        </w:tc>
      </w:tr>
      <w:tr>
        <w:trPr>
          <w:trHeight w:val="243"/>
        </w:trPr>
        <w:tc>
          <w:tcPr>
            <w:tcW w:w="9140" w:type="dxa"/>
            <w:vAlign w:val="bottom"/>
            <w:gridSpan w:val="2"/>
          </w:tcPr>
          <w:p>
            <w:pPr>
              <w:ind w:left="40"/>
              <w:spacing w:after="0"/>
              <w:rPr>
                <w:sz w:val="20"/>
                <w:szCs w:val="20"/>
                <w:color w:val="auto"/>
              </w:rPr>
            </w:pPr>
            <w:r>
              <w:rPr>
                <w:rFonts w:ascii="Arial" w:cs="Arial" w:eastAsia="Arial" w:hAnsi="Arial"/>
                <w:sz w:val="18"/>
                <w:szCs w:val="18"/>
                <w:color w:val="auto"/>
              </w:rPr>
              <w:t>Less: claims paid</w:t>
            </w:r>
          </w:p>
        </w:tc>
        <w:tc>
          <w:tcPr>
            <w:tcW w:w="60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7"/>
        </w:trPr>
        <w:tc>
          <w:tcPr>
            <w:tcW w:w="8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9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Less: rescissions and denials</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Ending default inventory</w:t>
            </w:r>
          </w:p>
        </w:tc>
        <w:tc>
          <w:tcPr>
            <w:tcW w:w="102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1,060</w:t>
            </w:r>
          </w:p>
        </w:tc>
        <w:tc>
          <w:tcPr>
            <w:tcW w:w="100" w:type="dxa"/>
            <w:vAlign w:val="bottom"/>
          </w:tcPr>
          <w:p>
            <w:pPr>
              <w:spacing w:after="0"/>
              <w:rPr>
                <w:sz w:val="20"/>
                <w:szCs w:val="20"/>
                <w:color w:val="auto"/>
              </w:rPr>
            </w:pPr>
          </w:p>
        </w:tc>
        <w:tc>
          <w:tcPr>
            <w:tcW w:w="15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505</w:t>
            </w:r>
          </w:p>
        </w:tc>
      </w:tr>
      <w:tr>
        <w:trPr>
          <w:trHeight w:val="27"/>
        </w:trPr>
        <w:tc>
          <w:tcPr>
            <w:tcW w:w="81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0"/>
        </w:trPr>
        <w:tc>
          <w:tcPr>
            <w:tcW w:w="8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The increase in the number of defaults at March 31, 2016 compared to March 31, 2015 was primarily due to the increase in our IIF and policies in force, as well as further seasoning of our insurance portfolio.</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includes additional information about our loans in default as of the dates indicated:</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8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As of March 31,</w:t>
            </w:r>
          </w:p>
        </w:tc>
        <w:tc>
          <w:tcPr>
            <w:tcW w:w="1100" w:type="dxa"/>
            <w:vAlign w:val="bottom"/>
            <w:tcBorders>
              <w:bottom w:val="single" w:sz="8" w:color="auto"/>
            </w:tcBorders>
          </w:tcPr>
          <w:p>
            <w:pPr>
              <w:spacing w:after="0"/>
              <w:rPr>
                <w:sz w:val="16"/>
                <w:szCs w:val="16"/>
                <w:color w:val="auto"/>
              </w:rPr>
            </w:pPr>
          </w:p>
        </w:tc>
      </w:tr>
      <w:tr>
        <w:trPr>
          <w:trHeight w:val="264"/>
        </w:trPr>
        <w:tc>
          <w:tcPr>
            <w:tcW w:w="798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7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2015</w:t>
            </w: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Case reserves (in thousands)</w:t>
            </w:r>
          </w:p>
        </w:tc>
        <w:tc>
          <w:tcPr>
            <w:tcW w:w="980" w:type="dxa"/>
            <w:vAlign w:val="bottom"/>
            <w:tcBorders>
              <w:bottom w:val="single" w:sz="8" w:color="CCEEFF"/>
            </w:tcBorders>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w w:val="87"/>
              </w:rPr>
              <w:t>18,795</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9,210</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Ending default inventory</w:t>
            </w:r>
          </w:p>
        </w:tc>
        <w:tc>
          <w:tcPr>
            <w:tcW w:w="980" w:type="dxa"/>
            <w:vAlign w:val="bottom"/>
          </w:tcPr>
          <w:p>
            <w:pPr>
              <w:spacing w:after="0"/>
              <w:rPr>
                <w:sz w:val="21"/>
                <w:szCs w:val="21"/>
                <w:color w:val="auto"/>
              </w:rPr>
            </w:pPr>
          </w:p>
        </w:tc>
        <w:tc>
          <w:tcPr>
            <w:tcW w:w="700" w:type="dxa"/>
            <w:vAlign w:val="bottom"/>
          </w:tcPr>
          <w:p>
            <w:pPr>
              <w:jc w:val="right"/>
              <w:ind w:right="113"/>
              <w:spacing w:after="0"/>
              <w:rPr>
                <w:sz w:val="20"/>
                <w:szCs w:val="20"/>
                <w:color w:val="auto"/>
              </w:rPr>
            </w:pPr>
            <w:r>
              <w:rPr>
                <w:rFonts w:ascii="Arial" w:cs="Arial" w:eastAsia="Arial" w:hAnsi="Arial"/>
                <w:sz w:val="18"/>
                <w:szCs w:val="18"/>
                <w:color w:val="auto"/>
              </w:rPr>
              <w:t>1,060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00" w:type="dxa"/>
            <w:vAlign w:val="bottom"/>
          </w:tcPr>
          <w:p>
            <w:pPr>
              <w:jc w:val="right"/>
              <w:ind w:right="93"/>
              <w:spacing w:after="0"/>
              <w:rPr>
                <w:sz w:val="20"/>
                <w:szCs w:val="20"/>
                <w:color w:val="auto"/>
              </w:rPr>
            </w:pPr>
            <w:r>
              <w:rPr>
                <w:rFonts w:ascii="Arial" w:cs="Arial" w:eastAsia="Arial" w:hAnsi="Arial"/>
                <w:sz w:val="18"/>
                <w:szCs w:val="18"/>
                <w:color w:val="auto"/>
              </w:rPr>
              <w:t>505</w:t>
            </w:r>
          </w:p>
        </w:tc>
      </w:tr>
      <w:tr>
        <w:trPr>
          <w:trHeight w:val="27"/>
        </w:trPr>
        <w:tc>
          <w:tcPr>
            <w:tcW w:w="7980" w:type="dxa"/>
            <w:vAlign w:val="bottom"/>
          </w:tcPr>
          <w:p>
            <w:pPr>
              <w:spacing w:after="0"/>
              <w:rPr>
                <w:sz w:val="2"/>
                <w:szCs w:val="2"/>
                <w:color w:val="auto"/>
              </w:rPr>
            </w:pPr>
          </w:p>
        </w:tc>
        <w:tc>
          <w:tcPr>
            <w:tcW w:w="9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Average case reserve per default (in thousands)</w:t>
            </w:r>
          </w:p>
        </w:tc>
        <w:tc>
          <w:tcPr>
            <w:tcW w:w="980" w:type="dxa"/>
            <w:vAlign w:val="bottom"/>
            <w:tcBorders>
              <w:bottom w:val="single" w:sz="8" w:color="CCEEFF"/>
            </w:tcBorders>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17.7</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18.2</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Default rate</w:t>
            </w:r>
          </w:p>
        </w:tc>
        <w:tc>
          <w:tcPr>
            <w:tcW w:w="9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0.34%</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0.21%</w:t>
            </w:r>
          </w:p>
        </w:tc>
      </w:tr>
      <w:tr>
        <w:trPr>
          <w:trHeight w:val="27"/>
        </w:trPr>
        <w:tc>
          <w:tcPr>
            <w:tcW w:w="7980" w:type="dxa"/>
            <w:vAlign w:val="bottom"/>
          </w:tcPr>
          <w:p>
            <w:pPr>
              <w:spacing w:after="0"/>
              <w:rPr>
                <w:sz w:val="2"/>
                <w:szCs w:val="2"/>
                <w:color w:val="auto"/>
              </w:rPr>
            </w:pPr>
          </w:p>
        </w:tc>
        <w:tc>
          <w:tcPr>
            <w:tcW w:w="9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3"/>
        </w:trPr>
        <w:tc>
          <w:tcPr>
            <w:tcW w:w="7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Claims received included in ending default inventory</w:t>
            </w:r>
          </w:p>
        </w:tc>
        <w:tc>
          <w:tcPr>
            <w:tcW w:w="98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7</w:t>
            </w:r>
          </w:p>
        </w:tc>
      </w:tr>
      <w:tr>
        <w:trPr>
          <w:trHeight w:val="27"/>
        </w:trPr>
        <w:tc>
          <w:tcPr>
            <w:tcW w:w="79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right="40" w:firstLine="648"/>
        <w:spacing w:after="0" w:line="277" w:lineRule="auto"/>
        <w:rPr>
          <w:sz w:val="20"/>
          <w:szCs w:val="20"/>
          <w:color w:val="auto"/>
        </w:rPr>
      </w:pPr>
      <w:r>
        <w:rPr>
          <w:rFonts w:ascii="Arial" w:cs="Arial" w:eastAsia="Arial" w:hAnsi="Arial"/>
          <w:sz w:val="18"/>
          <w:szCs w:val="18"/>
          <w:color w:val="auto"/>
        </w:rPr>
        <w:t>The decrease in the average reserve per default was primarily due to changes in the composition (such as mark-to-market loan-to-value ratios, risk in force, and number of months past due) of the underlying loans in default.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tables provide a reconciliation of the beginning and ending reserve balances for losses and LAE and a detail of reserves and defaulted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RIF by the number of missed payments and pending claims: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552"/>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0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2015</w:t>
            </w: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Reserve for losses and LAE at beginning of period</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17,760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8,427</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Add provision for losses and LAE occurring in:</w:t>
            </w: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Current period</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5,080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2,705</w:t>
            </w:r>
          </w:p>
        </w:tc>
      </w:tr>
      <w:tr>
        <w:trPr>
          <w:trHeight w:val="243"/>
        </w:trPr>
        <w:tc>
          <w:tcPr>
            <w:tcW w:w="8120" w:type="dxa"/>
            <w:vAlign w:val="bottom"/>
            <w:gridSpan w:val="2"/>
          </w:tcPr>
          <w:p>
            <w:pPr>
              <w:ind w:left="280"/>
              <w:spacing w:after="0"/>
              <w:rPr>
                <w:sz w:val="20"/>
                <w:szCs w:val="20"/>
                <w:color w:val="auto"/>
              </w:rPr>
            </w:pPr>
            <w:r>
              <w:rPr>
                <w:rFonts w:ascii="Arial" w:cs="Arial" w:eastAsia="Arial" w:hAnsi="Arial"/>
                <w:sz w:val="18"/>
                <w:szCs w:val="18"/>
                <w:color w:val="auto"/>
              </w:rPr>
              <w:t>Prior years</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(1,349)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(706)</w:t>
            </w:r>
          </w:p>
        </w:tc>
      </w:tr>
      <w:tr>
        <w:trPr>
          <w:trHeight w:val="27"/>
        </w:trPr>
        <w:tc>
          <w:tcPr>
            <w:tcW w:w="8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4"/>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Incurred losses during the current period</w:t>
            </w: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3,731</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1,999</w:t>
            </w:r>
          </w:p>
        </w:tc>
      </w:tr>
      <w:tr>
        <w:trPr>
          <w:trHeight w:val="237"/>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Deduct payments for losses and LAE occurring in:</w:t>
            </w: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Current period</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8120" w:type="dxa"/>
            <w:vAlign w:val="bottom"/>
            <w:gridSpan w:val="2"/>
          </w:tcPr>
          <w:p>
            <w:pPr>
              <w:ind w:left="280"/>
              <w:spacing w:after="0"/>
              <w:rPr>
                <w:sz w:val="20"/>
                <w:szCs w:val="20"/>
                <w:color w:val="auto"/>
              </w:rPr>
            </w:pPr>
            <w:r>
              <w:rPr>
                <w:rFonts w:ascii="Arial" w:cs="Arial" w:eastAsia="Arial" w:hAnsi="Arial"/>
                <w:sz w:val="18"/>
                <w:szCs w:val="18"/>
                <w:color w:val="auto"/>
              </w:rPr>
              <w:t>Prior years</w:t>
            </w:r>
          </w:p>
        </w:tc>
        <w:tc>
          <w:tcPr>
            <w:tcW w:w="38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1,020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361</w:t>
            </w:r>
          </w:p>
        </w:tc>
      </w:tr>
      <w:tr>
        <w:trPr>
          <w:trHeight w:val="27"/>
        </w:trPr>
        <w:tc>
          <w:tcPr>
            <w:tcW w:w="8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4"/>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Loss and LAE payments during the current period</w:t>
            </w: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1,021</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361</w:t>
            </w:r>
          </w:p>
        </w:tc>
      </w:tr>
      <w:tr>
        <w:trPr>
          <w:trHeight w:val="257"/>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Reserve for losses and LAE at end of period</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20,470</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10,065</w:t>
            </w:r>
          </w:p>
        </w:tc>
      </w:tr>
      <w:tr>
        <w:trPr>
          <w:trHeight w:val="20"/>
        </w:trPr>
        <w:tc>
          <w:tcPr>
            <w:tcW w:w="8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125" w:right="239" w:bottom="1440" w:gutter="0" w:footer="0" w:header="0"/>
          <w:type w:val="continuous"/>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ind w:left="460"/>
              <w:spacing w:after="0"/>
              <w:rPr>
                <w:sz w:val="20"/>
                <w:szCs w:val="20"/>
                <w:color w:val="auto"/>
              </w:rPr>
            </w:pPr>
            <w:r>
              <w:rPr>
                <w:rFonts w:ascii="Arial" w:cs="Arial" w:eastAsia="Arial" w:hAnsi="Arial"/>
                <w:sz w:val="14"/>
                <w:szCs w:val="14"/>
                <w:b w:val="1"/>
                <w:bCs w:val="1"/>
                <w:color w:val="auto"/>
              </w:rPr>
              <w:t>As of March 31, 2016</w:t>
            </w: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7"/>
              </w:rPr>
              <w:t>Number of</w:t>
            </w:r>
          </w:p>
        </w:tc>
        <w:tc>
          <w:tcPr>
            <w:tcW w:w="142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0"/>
              </w:rPr>
              <w:t>Percentage of</w:t>
            </w:r>
          </w:p>
        </w:tc>
        <w:tc>
          <w:tcPr>
            <w:tcW w:w="160" w:type="dxa"/>
            <w:vAlign w:val="bottom"/>
          </w:tcPr>
          <w:p>
            <w:pPr>
              <w:spacing w:after="0"/>
              <w:rPr>
                <w:sz w:val="13"/>
                <w:szCs w:val="13"/>
                <w:color w:val="auto"/>
              </w:rPr>
            </w:pPr>
          </w:p>
        </w:tc>
        <w:tc>
          <w:tcPr>
            <w:tcW w:w="880" w:type="dxa"/>
            <w:vAlign w:val="bottom"/>
            <w:vMerge w:val="restart"/>
          </w:tcPr>
          <w:p>
            <w:pPr>
              <w:jc w:val="center"/>
              <w:ind w:right="55"/>
              <w:spacing w:after="0"/>
              <w:rPr>
                <w:sz w:val="20"/>
                <w:szCs w:val="20"/>
                <w:color w:val="auto"/>
              </w:rPr>
            </w:pPr>
            <w:r>
              <w:rPr>
                <w:rFonts w:ascii="Arial" w:cs="Arial" w:eastAsia="Arial" w:hAnsi="Arial"/>
                <w:sz w:val="14"/>
                <w:szCs w:val="14"/>
                <w:b w:val="1"/>
                <w:bCs w:val="1"/>
                <w:color w:val="auto"/>
                <w:w w:val="94"/>
              </w:rPr>
              <w:t>Amount of</w:t>
            </w:r>
          </w:p>
        </w:tc>
        <w:tc>
          <w:tcPr>
            <w:tcW w:w="100" w:type="dxa"/>
            <w:vAlign w:val="bottom"/>
          </w:tcPr>
          <w:p>
            <w:pPr>
              <w:spacing w:after="0"/>
              <w:rPr>
                <w:sz w:val="13"/>
                <w:szCs w:val="13"/>
                <w:color w:val="auto"/>
              </w:rPr>
            </w:pPr>
          </w:p>
        </w:tc>
        <w:tc>
          <w:tcPr>
            <w:tcW w:w="14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0"/>
              </w:rPr>
              <w:t>Percentage of</w:t>
            </w:r>
          </w:p>
        </w:tc>
        <w:tc>
          <w:tcPr>
            <w:tcW w:w="180" w:type="dxa"/>
            <w:vAlign w:val="bottom"/>
          </w:tcPr>
          <w:p>
            <w:pPr>
              <w:spacing w:after="0"/>
              <w:rPr>
                <w:sz w:val="13"/>
                <w:szCs w:val="13"/>
                <w:color w:val="auto"/>
              </w:rPr>
            </w:pPr>
          </w:p>
        </w:tc>
        <w:tc>
          <w:tcPr>
            <w:tcW w:w="940" w:type="dxa"/>
            <w:vAlign w:val="bottom"/>
            <w:vMerge w:val="restart"/>
          </w:tcPr>
          <w:p>
            <w:pPr>
              <w:jc w:val="center"/>
              <w:ind w:right="95"/>
              <w:spacing w:after="0"/>
              <w:rPr>
                <w:sz w:val="20"/>
                <w:szCs w:val="20"/>
                <w:color w:val="auto"/>
              </w:rPr>
            </w:pPr>
            <w:r>
              <w:rPr>
                <w:rFonts w:ascii="Arial" w:cs="Arial" w:eastAsia="Arial" w:hAnsi="Arial"/>
                <w:sz w:val="14"/>
                <w:szCs w:val="14"/>
                <w:b w:val="1"/>
                <w:bCs w:val="1"/>
                <w:color w:val="auto"/>
                <w:w w:val="93"/>
              </w:rPr>
              <w:t>Defaulted</w:t>
            </w:r>
          </w:p>
        </w:tc>
        <w:tc>
          <w:tcPr>
            <w:tcW w:w="120" w:type="dxa"/>
            <w:vAlign w:val="bottom"/>
          </w:tcPr>
          <w:p>
            <w:pPr>
              <w:spacing w:after="0"/>
              <w:rPr>
                <w:sz w:val="13"/>
                <w:szCs w:val="13"/>
                <w:color w:val="auto"/>
              </w:rPr>
            </w:pPr>
          </w:p>
        </w:tc>
        <w:tc>
          <w:tcPr>
            <w:tcW w:w="13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85"/>
              </w:rPr>
              <w:t>Reserves as a</w:t>
            </w:r>
          </w:p>
        </w:tc>
        <w:tc>
          <w:tcPr>
            <w:tcW w:w="0" w:type="dxa"/>
            <w:vAlign w:val="bottom"/>
          </w:tcPr>
          <w:p>
            <w:pPr>
              <w:spacing w:after="0"/>
              <w:rPr>
                <w:sz w:val="1"/>
                <w:szCs w:val="1"/>
                <w:color w:val="auto"/>
              </w:rPr>
            </w:pPr>
          </w:p>
        </w:tc>
      </w:tr>
      <w:tr>
        <w:trPr>
          <w:trHeight w:val="149"/>
        </w:trPr>
        <w:tc>
          <w:tcPr>
            <w:tcW w:w="35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vMerge w:val="restart"/>
          </w:tcPr>
          <w:p>
            <w:pPr>
              <w:spacing w:after="0"/>
              <w:rPr>
                <w:sz w:val="12"/>
                <w:szCs w:val="12"/>
                <w:color w:val="auto"/>
              </w:rPr>
            </w:pPr>
          </w:p>
        </w:tc>
        <w:tc>
          <w:tcPr>
            <w:tcW w:w="12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Policies in</w:t>
            </w:r>
          </w:p>
        </w:tc>
        <w:tc>
          <w:tcPr>
            <w:tcW w:w="14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Policies in</w:t>
            </w:r>
          </w:p>
        </w:tc>
        <w:tc>
          <w:tcPr>
            <w:tcW w:w="16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Percentage of</w:t>
            </w:r>
          </w:p>
        </w:tc>
        <w:tc>
          <w:tcPr>
            <w:tcW w:w="0" w:type="dxa"/>
            <w:vAlign w:val="bottom"/>
          </w:tcPr>
          <w:p>
            <w:pPr>
              <w:spacing w:after="0"/>
              <w:rPr>
                <w:sz w:val="1"/>
                <w:szCs w:val="1"/>
                <w:color w:val="auto"/>
              </w:rPr>
            </w:pPr>
          </w:p>
        </w:tc>
      </w:tr>
      <w:tr>
        <w:trPr>
          <w:trHeight w:val="192"/>
        </w:trPr>
        <w:tc>
          <w:tcPr>
            <w:tcW w:w="35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Default</w:t>
            </w: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Default</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89"/>
              </w:rPr>
              <w:t>Reserves</w:t>
            </w: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Reserves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rPr>
              <w:t>RIF</w:t>
            </w:r>
          </w:p>
        </w:tc>
        <w:tc>
          <w:tcPr>
            <w:tcW w:w="12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Defaulted RIF</w:t>
            </w:r>
          </w:p>
        </w:tc>
        <w:tc>
          <w:tcPr>
            <w:tcW w:w="0" w:type="dxa"/>
            <w:vAlign w:val="bottom"/>
          </w:tcPr>
          <w:p>
            <w:pPr>
              <w:spacing w:after="0"/>
              <w:rPr>
                <w:sz w:val="1"/>
                <w:szCs w:val="1"/>
                <w:color w:val="auto"/>
              </w:rPr>
            </w:pPr>
          </w:p>
        </w:tc>
      </w:tr>
      <w:tr>
        <w:trPr>
          <w:trHeight w:val="250"/>
        </w:trPr>
        <w:tc>
          <w:tcPr>
            <w:tcW w:w="3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Missed payments:</w:t>
            </w: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40" w:type="dxa"/>
            <w:vAlign w:val="bottom"/>
            <w:gridSpan w:val="2"/>
          </w:tcPr>
          <w:p>
            <w:pPr>
              <w:ind w:left="280"/>
              <w:spacing w:after="0"/>
              <w:rPr>
                <w:sz w:val="20"/>
                <w:szCs w:val="20"/>
                <w:color w:val="auto"/>
              </w:rPr>
            </w:pPr>
            <w:r>
              <w:rPr>
                <w:rFonts w:ascii="Arial" w:cs="Arial" w:eastAsia="Arial" w:hAnsi="Arial"/>
                <w:sz w:val="18"/>
                <w:szCs w:val="18"/>
                <w:color w:val="auto"/>
              </w:rPr>
              <w:t>Three payments or less</w:t>
            </w: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505</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4,639</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28,519</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Four to eleven payments</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426</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9,689</w:t>
            </w:r>
          </w:p>
        </w:tc>
        <w:tc>
          <w:tcPr>
            <w:tcW w:w="1420" w:type="dxa"/>
            <w:vAlign w:val="bottom"/>
            <w:tcBorders>
              <w:bottom w:val="single" w:sz="8" w:color="CCEEFF"/>
            </w:tcBorders>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23,147</w:t>
            </w:r>
          </w:p>
        </w:tc>
        <w:tc>
          <w:tcPr>
            <w:tcW w:w="144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43"/>
        </w:trPr>
        <w:tc>
          <w:tcPr>
            <w:tcW w:w="3640" w:type="dxa"/>
            <w:vAlign w:val="bottom"/>
            <w:gridSpan w:val="2"/>
          </w:tcPr>
          <w:p>
            <w:pPr>
              <w:ind w:left="280"/>
              <w:spacing w:after="0"/>
              <w:rPr>
                <w:sz w:val="20"/>
                <w:szCs w:val="20"/>
                <w:color w:val="auto"/>
              </w:rPr>
            </w:pPr>
            <w:r>
              <w:rPr>
                <w:rFonts w:ascii="Arial" w:cs="Arial" w:eastAsia="Arial" w:hAnsi="Arial"/>
                <w:sz w:val="18"/>
                <w:szCs w:val="18"/>
                <w:color w:val="auto"/>
              </w:rPr>
              <w:t>Twelve or more payments</w:t>
            </w: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1"/>
                <w:szCs w:val="21"/>
                <w:color w:val="auto"/>
              </w:rPr>
            </w:pPr>
          </w:p>
        </w:tc>
        <w:tc>
          <w:tcPr>
            <w:tcW w:w="1320" w:type="dxa"/>
            <w:vAlign w:val="bottom"/>
          </w:tcPr>
          <w:p>
            <w:pPr>
              <w:jc w:val="right"/>
              <w:ind w:right="97"/>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3,438</w:t>
            </w:r>
          </w:p>
        </w:tc>
        <w:tc>
          <w:tcPr>
            <w:tcW w:w="1420" w:type="dxa"/>
            <w:vAlign w:val="bottom"/>
            <w:gridSpan w:val="2"/>
          </w:tcPr>
          <w:p>
            <w:pPr>
              <w:jc w:val="right"/>
              <w:ind w:right="102"/>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5,217</w:t>
            </w:r>
          </w:p>
        </w:tc>
        <w:tc>
          <w:tcPr>
            <w:tcW w:w="1440" w:type="dxa"/>
            <w:vAlign w:val="bottom"/>
            <w:gridSpan w:val="2"/>
          </w:tcPr>
          <w:p>
            <w:pPr>
              <w:jc w:val="right"/>
              <w:ind w:right="108"/>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Pending claims</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1,029</w:t>
            </w:r>
          </w:p>
        </w:tc>
        <w:tc>
          <w:tcPr>
            <w:tcW w:w="1420" w:type="dxa"/>
            <w:vAlign w:val="bottom"/>
            <w:tcBorders>
              <w:bottom w:val="single" w:sz="8" w:color="CCEEFF"/>
            </w:tcBorders>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1,202</w:t>
            </w:r>
          </w:p>
        </w:tc>
        <w:tc>
          <w:tcPr>
            <w:tcW w:w="144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97"/>
        </w:trPr>
        <w:tc>
          <w:tcPr>
            <w:tcW w:w="3640" w:type="dxa"/>
            <w:vAlign w:val="bottom"/>
            <w:tcBorders>
              <w:bottom w:val="single" w:sz="8" w:color="CCEEFF"/>
            </w:tcBorders>
            <w:gridSpan w:val="2"/>
          </w:tcPr>
          <w:p>
            <w:pPr>
              <w:ind w:left="500"/>
              <w:spacing w:after="0"/>
              <w:rPr>
                <w:sz w:val="20"/>
                <w:szCs w:val="20"/>
                <w:color w:val="auto"/>
              </w:rPr>
            </w:pPr>
            <w:r>
              <w:rPr>
                <w:rFonts w:ascii="Arial" w:cs="Arial" w:eastAsia="Arial" w:hAnsi="Arial"/>
                <w:sz w:val="18"/>
                <w:szCs w:val="18"/>
                <w:color w:val="auto"/>
              </w:rPr>
              <w:t>Total case reserves</w:t>
            </w:r>
          </w:p>
        </w:tc>
        <w:tc>
          <w:tcPr>
            <w:tcW w:w="112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1,060</w:t>
            </w:r>
          </w:p>
        </w:tc>
        <w:tc>
          <w:tcPr>
            <w:tcW w:w="100" w:type="dxa"/>
            <w:vAlign w:val="bottom"/>
            <w:tcBorders>
              <w:bottom w:val="single" w:sz="8" w:color="CCEEFF"/>
            </w:tcBorders>
          </w:tcPr>
          <w:p>
            <w:pPr>
              <w:spacing w:after="0"/>
              <w:rPr>
                <w:sz w:val="24"/>
                <w:szCs w:val="24"/>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CCEEFF"/>
            </w:tcBorders>
          </w:tcPr>
          <w:p>
            <w:pPr>
              <w:spacing w:after="0"/>
              <w:rPr>
                <w:sz w:val="24"/>
                <w:szCs w:val="24"/>
                <w:color w:val="auto"/>
              </w:rPr>
            </w:pPr>
          </w:p>
        </w:tc>
        <w:tc>
          <w:tcPr>
            <w:tcW w:w="880" w:type="dxa"/>
            <w:vAlign w:val="bottom"/>
            <w:tcBorders>
              <w:top w:val="single" w:sz="8" w:color="auto"/>
              <w:bottom w:val="single" w:sz="8" w:color="CCEEFF"/>
            </w:tcBorders>
          </w:tcPr>
          <w:p>
            <w:pPr>
              <w:jc w:val="right"/>
              <w:ind w:right="35"/>
              <w:spacing w:after="0"/>
              <w:rPr>
                <w:sz w:val="20"/>
                <w:szCs w:val="20"/>
                <w:color w:val="auto"/>
              </w:rPr>
            </w:pPr>
            <w:r>
              <w:rPr>
                <w:rFonts w:ascii="Arial" w:cs="Arial" w:eastAsia="Arial" w:hAnsi="Arial"/>
                <w:sz w:val="18"/>
                <w:szCs w:val="18"/>
                <w:color w:val="auto"/>
              </w:rPr>
              <w:t>18,795</w:t>
            </w:r>
          </w:p>
        </w:tc>
        <w:tc>
          <w:tcPr>
            <w:tcW w:w="100" w:type="dxa"/>
            <w:vAlign w:val="bottom"/>
            <w:tcBorders>
              <w:bottom w:val="single" w:sz="8" w:color="CCEEFF"/>
            </w:tcBorders>
          </w:tcPr>
          <w:p>
            <w:pPr>
              <w:spacing w:after="0"/>
              <w:rPr>
                <w:sz w:val="24"/>
                <w:szCs w:val="24"/>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58,085</w:t>
            </w:r>
          </w:p>
        </w:tc>
        <w:tc>
          <w:tcPr>
            <w:tcW w:w="1440" w:type="dxa"/>
            <w:vAlign w:val="bottom"/>
            <w:tcBorders>
              <w:bottom w:val="single" w:sz="8" w:color="CCEEFF"/>
            </w:tcBorders>
            <w:gridSpan w:val="2"/>
          </w:tcPr>
          <w:p>
            <w:pPr>
              <w:jc w:val="right"/>
              <w:ind w:right="108"/>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0"/>
        </w:trPr>
        <w:tc>
          <w:tcPr>
            <w:tcW w:w="3640" w:type="dxa"/>
            <w:vAlign w:val="bottom"/>
            <w:tcBorders>
              <w:bottom w:val="single" w:sz="8" w:color="CCEEFF"/>
            </w:tcBorders>
            <w:gridSpan w:val="2"/>
            <w:shd w:val="clear" w:color="auto" w:fill="CCEEFF"/>
          </w:tcPr>
          <w:p>
            <w:pPr>
              <w:ind w:left="40"/>
              <w:spacing w:after="0" w:line="203" w:lineRule="exact"/>
              <w:rPr>
                <w:sz w:val="20"/>
                <w:szCs w:val="20"/>
                <w:color w:val="auto"/>
              </w:rPr>
            </w:pPr>
            <w:r>
              <w:rPr>
                <w:rFonts w:ascii="Arial" w:cs="Arial" w:eastAsia="Arial" w:hAnsi="Arial"/>
                <w:sz w:val="18"/>
                <w:szCs w:val="18"/>
                <w:color w:val="auto"/>
              </w:rPr>
              <w:t>IBNR</w:t>
            </w:r>
          </w:p>
        </w:tc>
        <w:tc>
          <w:tcPr>
            <w:tcW w:w="1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35"/>
              <w:spacing w:after="0" w:line="203" w:lineRule="exact"/>
              <w:rPr>
                <w:sz w:val="20"/>
                <w:szCs w:val="20"/>
                <w:color w:val="auto"/>
              </w:rPr>
            </w:pPr>
            <w:r>
              <w:rPr>
                <w:rFonts w:ascii="Arial" w:cs="Arial" w:eastAsia="Arial" w:hAnsi="Arial"/>
                <w:sz w:val="18"/>
                <w:szCs w:val="18"/>
                <w:color w:val="auto"/>
              </w:rPr>
              <w:t>1,410</w:t>
            </w:r>
          </w:p>
        </w:tc>
        <w:tc>
          <w:tcPr>
            <w:tcW w:w="10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640" w:type="dxa"/>
            <w:vAlign w:val="bottom"/>
            <w:gridSpan w:val="2"/>
          </w:tcPr>
          <w:p>
            <w:pPr>
              <w:ind w:left="40"/>
              <w:spacing w:after="0"/>
              <w:rPr>
                <w:sz w:val="20"/>
                <w:szCs w:val="20"/>
                <w:color w:val="auto"/>
              </w:rPr>
            </w:pPr>
            <w:r>
              <w:rPr>
                <w:rFonts w:ascii="Arial" w:cs="Arial" w:eastAsia="Arial" w:hAnsi="Arial"/>
                <w:sz w:val="18"/>
                <w:szCs w:val="18"/>
                <w:color w:val="auto"/>
              </w:rPr>
              <w:t>LAE and other</w:t>
            </w: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265</w:t>
            </w: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6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Total reserves for losses and LAE</w:t>
            </w: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20,470</w:t>
            </w:r>
          </w:p>
        </w:tc>
        <w:tc>
          <w:tcPr>
            <w:tcW w:w="1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3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4"/>
          </w:tcPr>
          <w:p>
            <w:pPr>
              <w:ind w:left="460"/>
              <w:spacing w:after="0"/>
              <w:rPr>
                <w:sz w:val="20"/>
                <w:szCs w:val="20"/>
                <w:color w:val="auto"/>
              </w:rPr>
            </w:pPr>
            <w:r>
              <w:rPr>
                <w:rFonts w:ascii="Arial" w:cs="Arial" w:eastAsia="Arial" w:hAnsi="Arial"/>
                <w:sz w:val="14"/>
                <w:szCs w:val="14"/>
                <w:b w:val="1"/>
                <w:bCs w:val="1"/>
                <w:color w:val="auto"/>
              </w:rPr>
              <w:t>As of March 31, 2015</w:t>
            </w: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3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7"/>
              </w:rPr>
              <w:t>Number of</w:t>
            </w:r>
          </w:p>
        </w:tc>
        <w:tc>
          <w:tcPr>
            <w:tcW w:w="142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0"/>
              </w:rPr>
              <w:t>Percentage of</w:t>
            </w:r>
          </w:p>
        </w:tc>
        <w:tc>
          <w:tcPr>
            <w:tcW w:w="160" w:type="dxa"/>
            <w:vAlign w:val="bottom"/>
          </w:tcPr>
          <w:p>
            <w:pPr>
              <w:spacing w:after="0"/>
              <w:rPr>
                <w:sz w:val="13"/>
                <w:szCs w:val="13"/>
                <w:color w:val="auto"/>
              </w:rPr>
            </w:pPr>
          </w:p>
        </w:tc>
        <w:tc>
          <w:tcPr>
            <w:tcW w:w="880" w:type="dxa"/>
            <w:vAlign w:val="bottom"/>
            <w:vMerge w:val="restart"/>
          </w:tcPr>
          <w:p>
            <w:pPr>
              <w:jc w:val="center"/>
              <w:ind w:right="55"/>
              <w:spacing w:after="0"/>
              <w:rPr>
                <w:sz w:val="20"/>
                <w:szCs w:val="20"/>
                <w:color w:val="auto"/>
              </w:rPr>
            </w:pPr>
            <w:r>
              <w:rPr>
                <w:rFonts w:ascii="Arial" w:cs="Arial" w:eastAsia="Arial" w:hAnsi="Arial"/>
                <w:sz w:val="14"/>
                <w:szCs w:val="14"/>
                <w:b w:val="1"/>
                <w:bCs w:val="1"/>
                <w:color w:val="auto"/>
                <w:w w:val="94"/>
              </w:rPr>
              <w:t>Amount of</w:t>
            </w:r>
          </w:p>
        </w:tc>
        <w:tc>
          <w:tcPr>
            <w:tcW w:w="100" w:type="dxa"/>
            <w:vAlign w:val="bottom"/>
          </w:tcPr>
          <w:p>
            <w:pPr>
              <w:spacing w:after="0"/>
              <w:rPr>
                <w:sz w:val="13"/>
                <w:szCs w:val="13"/>
                <w:color w:val="auto"/>
              </w:rPr>
            </w:pPr>
          </w:p>
        </w:tc>
        <w:tc>
          <w:tcPr>
            <w:tcW w:w="14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0"/>
              </w:rPr>
              <w:t>Percentage of</w:t>
            </w:r>
          </w:p>
        </w:tc>
        <w:tc>
          <w:tcPr>
            <w:tcW w:w="180" w:type="dxa"/>
            <w:vAlign w:val="bottom"/>
          </w:tcPr>
          <w:p>
            <w:pPr>
              <w:spacing w:after="0"/>
              <w:rPr>
                <w:sz w:val="13"/>
                <w:szCs w:val="13"/>
                <w:color w:val="auto"/>
              </w:rPr>
            </w:pPr>
          </w:p>
        </w:tc>
        <w:tc>
          <w:tcPr>
            <w:tcW w:w="940" w:type="dxa"/>
            <w:vAlign w:val="bottom"/>
            <w:vMerge w:val="restart"/>
          </w:tcPr>
          <w:p>
            <w:pPr>
              <w:jc w:val="center"/>
              <w:ind w:right="95"/>
              <w:spacing w:after="0"/>
              <w:rPr>
                <w:sz w:val="20"/>
                <w:szCs w:val="20"/>
                <w:color w:val="auto"/>
              </w:rPr>
            </w:pPr>
            <w:r>
              <w:rPr>
                <w:rFonts w:ascii="Arial" w:cs="Arial" w:eastAsia="Arial" w:hAnsi="Arial"/>
                <w:sz w:val="14"/>
                <w:szCs w:val="14"/>
                <w:b w:val="1"/>
                <w:bCs w:val="1"/>
                <w:color w:val="auto"/>
                <w:w w:val="93"/>
              </w:rPr>
              <w:t>Defaulted</w:t>
            </w:r>
          </w:p>
        </w:tc>
        <w:tc>
          <w:tcPr>
            <w:tcW w:w="120" w:type="dxa"/>
            <w:vAlign w:val="bottom"/>
          </w:tcPr>
          <w:p>
            <w:pPr>
              <w:spacing w:after="0"/>
              <w:rPr>
                <w:sz w:val="13"/>
                <w:szCs w:val="13"/>
                <w:color w:val="auto"/>
              </w:rPr>
            </w:pPr>
          </w:p>
        </w:tc>
        <w:tc>
          <w:tcPr>
            <w:tcW w:w="13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85"/>
              </w:rPr>
              <w:t>Reserves as a</w:t>
            </w:r>
          </w:p>
        </w:tc>
        <w:tc>
          <w:tcPr>
            <w:tcW w:w="0" w:type="dxa"/>
            <w:vAlign w:val="bottom"/>
          </w:tcPr>
          <w:p>
            <w:pPr>
              <w:spacing w:after="0"/>
              <w:rPr>
                <w:sz w:val="1"/>
                <w:szCs w:val="1"/>
                <w:color w:val="auto"/>
              </w:rPr>
            </w:pPr>
          </w:p>
        </w:tc>
      </w:tr>
      <w:tr>
        <w:trPr>
          <w:trHeight w:val="149"/>
        </w:trPr>
        <w:tc>
          <w:tcPr>
            <w:tcW w:w="35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vMerge w:val="restart"/>
          </w:tcPr>
          <w:p>
            <w:pPr>
              <w:spacing w:after="0"/>
              <w:rPr>
                <w:sz w:val="12"/>
                <w:szCs w:val="12"/>
                <w:color w:val="auto"/>
              </w:rPr>
            </w:pPr>
          </w:p>
        </w:tc>
        <w:tc>
          <w:tcPr>
            <w:tcW w:w="12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Policies in</w:t>
            </w:r>
          </w:p>
        </w:tc>
        <w:tc>
          <w:tcPr>
            <w:tcW w:w="14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Policies in</w:t>
            </w:r>
          </w:p>
        </w:tc>
        <w:tc>
          <w:tcPr>
            <w:tcW w:w="16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Percentage of</w:t>
            </w:r>
          </w:p>
        </w:tc>
        <w:tc>
          <w:tcPr>
            <w:tcW w:w="0" w:type="dxa"/>
            <w:vAlign w:val="bottom"/>
          </w:tcPr>
          <w:p>
            <w:pPr>
              <w:spacing w:after="0"/>
              <w:rPr>
                <w:sz w:val="1"/>
                <w:szCs w:val="1"/>
                <w:color w:val="auto"/>
              </w:rPr>
            </w:pPr>
          </w:p>
        </w:tc>
      </w:tr>
      <w:tr>
        <w:trPr>
          <w:trHeight w:val="192"/>
        </w:trPr>
        <w:tc>
          <w:tcPr>
            <w:tcW w:w="35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Default</w:t>
            </w: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Default</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89"/>
              </w:rPr>
              <w:t>Reserves</w:t>
            </w: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Reserves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rPr>
              <w:t>RIF</w:t>
            </w:r>
          </w:p>
        </w:tc>
        <w:tc>
          <w:tcPr>
            <w:tcW w:w="12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Defaulted RIF</w:t>
            </w:r>
          </w:p>
        </w:tc>
        <w:tc>
          <w:tcPr>
            <w:tcW w:w="0" w:type="dxa"/>
            <w:vAlign w:val="bottom"/>
          </w:tcPr>
          <w:p>
            <w:pPr>
              <w:spacing w:after="0"/>
              <w:rPr>
                <w:sz w:val="1"/>
                <w:szCs w:val="1"/>
                <w:color w:val="auto"/>
              </w:rPr>
            </w:pPr>
          </w:p>
        </w:tc>
      </w:tr>
      <w:tr>
        <w:trPr>
          <w:trHeight w:val="250"/>
        </w:trPr>
        <w:tc>
          <w:tcPr>
            <w:tcW w:w="3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Missed payments:</w:t>
            </w: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40" w:type="dxa"/>
            <w:vAlign w:val="bottom"/>
            <w:gridSpan w:val="2"/>
          </w:tcPr>
          <w:p>
            <w:pPr>
              <w:ind w:left="280"/>
              <w:spacing w:after="0"/>
              <w:rPr>
                <w:sz w:val="20"/>
                <w:szCs w:val="20"/>
                <w:color w:val="auto"/>
              </w:rPr>
            </w:pPr>
            <w:r>
              <w:rPr>
                <w:rFonts w:ascii="Arial" w:cs="Arial" w:eastAsia="Arial" w:hAnsi="Arial"/>
                <w:sz w:val="18"/>
                <w:szCs w:val="18"/>
                <w:color w:val="auto"/>
              </w:rPr>
              <w:t>Three payments or less</w:t>
            </w: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2,246</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12,782</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3640" w:type="dxa"/>
            <w:vAlign w:val="bottom"/>
            <w:gridSpan w:val="2"/>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Four to eleven payments</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216</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5,045</w:t>
            </w:r>
          </w:p>
        </w:tc>
        <w:tc>
          <w:tcPr>
            <w:tcW w:w="1420" w:type="dxa"/>
            <w:vAlign w:val="bottom"/>
            <w:tcBorders>
              <w:bottom w:val="single" w:sz="8" w:color="CCEEFF"/>
            </w:tcBorders>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55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11,195</w:t>
            </w:r>
          </w:p>
        </w:tc>
        <w:tc>
          <w:tcPr>
            <w:tcW w:w="144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43"/>
        </w:trPr>
        <w:tc>
          <w:tcPr>
            <w:tcW w:w="3640" w:type="dxa"/>
            <w:vAlign w:val="bottom"/>
            <w:gridSpan w:val="2"/>
          </w:tcPr>
          <w:p>
            <w:pPr>
              <w:ind w:left="280"/>
              <w:spacing w:after="0"/>
              <w:rPr>
                <w:sz w:val="20"/>
                <w:szCs w:val="20"/>
                <w:color w:val="auto"/>
              </w:rPr>
            </w:pPr>
            <w:r>
              <w:rPr>
                <w:rFonts w:ascii="Arial" w:cs="Arial" w:eastAsia="Arial" w:hAnsi="Arial"/>
                <w:sz w:val="18"/>
                <w:szCs w:val="18"/>
                <w:color w:val="auto"/>
              </w:rPr>
              <w:t>Twelve or more payments</w:t>
            </w: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1320" w:type="dxa"/>
            <w:vAlign w:val="bottom"/>
          </w:tcPr>
          <w:p>
            <w:pPr>
              <w:jc w:val="right"/>
              <w:ind w:right="97"/>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1,658</w:t>
            </w:r>
          </w:p>
        </w:tc>
        <w:tc>
          <w:tcPr>
            <w:tcW w:w="1420" w:type="dxa"/>
            <w:vAlign w:val="bottom"/>
            <w:gridSpan w:val="2"/>
          </w:tcPr>
          <w:p>
            <w:pPr>
              <w:jc w:val="right"/>
              <w:ind w:right="102"/>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2,241</w:t>
            </w:r>
          </w:p>
        </w:tc>
        <w:tc>
          <w:tcPr>
            <w:tcW w:w="1440" w:type="dxa"/>
            <w:vAlign w:val="bottom"/>
            <w:gridSpan w:val="2"/>
          </w:tcPr>
          <w:p>
            <w:pPr>
              <w:jc w:val="right"/>
              <w:ind w:right="108"/>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7"/>
        </w:trPr>
        <w:tc>
          <w:tcPr>
            <w:tcW w:w="3640" w:type="dxa"/>
            <w:vAlign w:val="bottom"/>
            <w:gridSpan w:val="2"/>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Pending claims</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261</w:t>
            </w:r>
          </w:p>
        </w:tc>
        <w:tc>
          <w:tcPr>
            <w:tcW w:w="1420" w:type="dxa"/>
            <w:vAlign w:val="bottom"/>
            <w:tcBorders>
              <w:bottom w:val="single" w:sz="8" w:color="CCEEFF"/>
            </w:tcBorders>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257</w:t>
            </w:r>
          </w:p>
        </w:tc>
        <w:tc>
          <w:tcPr>
            <w:tcW w:w="144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97"/>
        </w:trPr>
        <w:tc>
          <w:tcPr>
            <w:tcW w:w="3640" w:type="dxa"/>
            <w:vAlign w:val="bottom"/>
            <w:tcBorders>
              <w:bottom w:val="single" w:sz="8" w:color="CCEEFF"/>
            </w:tcBorders>
            <w:gridSpan w:val="2"/>
          </w:tcPr>
          <w:p>
            <w:pPr>
              <w:ind w:left="500"/>
              <w:spacing w:after="0"/>
              <w:rPr>
                <w:sz w:val="20"/>
                <w:szCs w:val="20"/>
                <w:color w:val="auto"/>
              </w:rPr>
            </w:pPr>
            <w:r>
              <w:rPr>
                <w:rFonts w:ascii="Arial" w:cs="Arial" w:eastAsia="Arial" w:hAnsi="Arial"/>
                <w:sz w:val="18"/>
                <w:szCs w:val="18"/>
                <w:color w:val="auto"/>
              </w:rPr>
              <w:t>Total case reserves</w:t>
            </w:r>
          </w:p>
        </w:tc>
        <w:tc>
          <w:tcPr>
            <w:tcW w:w="112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505</w:t>
            </w:r>
          </w:p>
        </w:tc>
        <w:tc>
          <w:tcPr>
            <w:tcW w:w="100" w:type="dxa"/>
            <w:vAlign w:val="bottom"/>
            <w:tcBorders>
              <w:bottom w:val="single" w:sz="8" w:color="CCEEFF"/>
            </w:tcBorders>
          </w:tcPr>
          <w:p>
            <w:pPr>
              <w:spacing w:after="0"/>
              <w:rPr>
                <w:sz w:val="24"/>
                <w:szCs w:val="24"/>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CCEEFF"/>
            </w:tcBorders>
          </w:tcPr>
          <w:p>
            <w:pPr>
              <w:spacing w:after="0"/>
              <w:rPr>
                <w:sz w:val="24"/>
                <w:szCs w:val="24"/>
                <w:color w:val="auto"/>
              </w:rPr>
            </w:pPr>
          </w:p>
        </w:tc>
        <w:tc>
          <w:tcPr>
            <w:tcW w:w="880" w:type="dxa"/>
            <w:vAlign w:val="bottom"/>
            <w:tcBorders>
              <w:top w:val="single" w:sz="8" w:color="auto"/>
              <w:bottom w:val="single" w:sz="8" w:color="CCEEFF"/>
            </w:tcBorders>
          </w:tcPr>
          <w:p>
            <w:pPr>
              <w:jc w:val="right"/>
              <w:ind w:right="35"/>
              <w:spacing w:after="0"/>
              <w:rPr>
                <w:sz w:val="20"/>
                <w:szCs w:val="20"/>
                <w:color w:val="auto"/>
              </w:rPr>
            </w:pPr>
            <w:r>
              <w:rPr>
                <w:rFonts w:ascii="Arial" w:cs="Arial" w:eastAsia="Arial" w:hAnsi="Arial"/>
                <w:sz w:val="18"/>
                <w:szCs w:val="18"/>
                <w:color w:val="auto"/>
              </w:rPr>
              <w:t>9,210</w:t>
            </w:r>
          </w:p>
        </w:tc>
        <w:tc>
          <w:tcPr>
            <w:tcW w:w="100" w:type="dxa"/>
            <w:vAlign w:val="bottom"/>
            <w:tcBorders>
              <w:bottom w:val="single" w:sz="8" w:color="CCEEFF"/>
            </w:tcBorders>
          </w:tcPr>
          <w:p>
            <w:pPr>
              <w:spacing w:after="0"/>
              <w:rPr>
                <w:sz w:val="24"/>
                <w:szCs w:val="24"/>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26,475</w:t>
            </w:r>
          </w:p>
        </w:tc>
        <w:tc>
          <w:tcPr>
            <w:tcW w:w="1440" w:type="dxa"/>
            <w:vAlign w:val="bottom"/>
            <w:tcBorders>
              <w:bottom w:val="single" w:sz="8" w:color="CCEEFF"/>
            </w:tcBorders>
            <w:gridSpan w:val="2"/>
          </w:tcPr>
          <w:p>
            <w:pPr>
              <w:jc w:val="right"/>
              <w:ind w:right="108"/>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0"/>
        </w:trPr>
        <w:tc>
          <w:tcPr>
            <w:tcW w:w="3640" w:type="dxa"/>
            <w:vAlign w:val="bottom"/>
            <w:tcBorders>
              <w:bottom w:val="single" w:sz="8" w:color="CCEEFF"/>
            </w:tcBorders>
            <w:gridSpan w:val="2"/>
            <w:shd w:val="clear" w:color="auto" w:fill="CCEEFF"/>
          </w:tcPr>
          <w:p>
            <w:pPr>
              <w:ind w:left="40"/>
              <w:spacing w:after="0" w:line="203" w:lineRule="exact"/>
              <w:rPr>
                <w:sz w:val="20"/>
                <w:szCs w:val="20"/>
                <w:color w:val="auto"/>
              </w:rPr>
            </w:pPr>
            <w:r>
              <w:rPr>
                <w:rFonts w:ascii="Arial" w:cs="Arial" w:eastAsia="Arial" w:hAnsi="Arial"/>
                <w:sz w:val="18"/>
                <w:szCs w:val="18"/>
                <w:color w:val="auto"/>
              </w:rPr>
              <w:t>IBNR</w:t>
            </w:r>
          </w:p>
        </w:tc>
        <w:tc>
          <w:tcPr>
            <w:tcW w:w="1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35"/>
              <w:spacing w:after="0" w:line="203" w:lineRule="exact"/>
              <w:rPr>
                <w:sz w:val="20"/>
                <w:szCs w:val="20"/>
                <w:color w:val="auto"/>
              </w:rPr>
            </w:pPr>
            <w:r>
              <w:rPr>
                <w:rFonts w:ascii="Arial" w:cs="Arial" w:eastAsia="Arial" w:hAnsi="Arial"/>
                <w:sz w:val="18"/>
                <w:szCs w:val="18"/>
                <w:color w:val="auto"/>
              </w:rPr>
              <w:t>691</w:t>
            </w:r>
          </w:p>
        </w:tc>
        <w:tc>
          <w:tcPr>
            <w:tcW w:w="10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640" w:type="dxa"/>
            <w:vAlign w:val="bottom"/>
            <w:gridSpan w:val="2"/>
          </w:tcPr>
          <w:p>
            <w:pPr>
              <w:ind w:left="40"/>
              <w:spacing w:after="0"/>
              <w:rPr>
                <w:sz w:val="20"/>
                <w:szCs w:val="20"/>
                <w:color w:val="auto"/>
              </w:rPr>
            </w:pPr>
            <w:r>
              <w:rPr>
                <w:rFonts w:ascii="Arial" w:cs="Arial" w:eastAsia="Arial" w:hAnsi="Arial"/>
                <w:sz w:val="18"/>
                <w:szCs w:val="18"/>
                <w:color w:val="auto"/>
              </w:rPr>
              <w:t>LAE and other</w:t>
            </w: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40" w:type="dxa"/>
            <w:vAlign w:val="bottom"/>
            <w:tcBorders>
              <w:bottom w:val="single" w:sz="8" w:color="CCEEFF"/>
            </w:tcBorders>
            <w:gridSpan w:val="2"/>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6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Total reserves for losses and LAE</w:t>
            </w: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10,065</w:t>
            </w:r>
          </w:p>
        </w:tc>
        <w:tc>
          <w:tcPr>
            <w:tcW w:w="1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During the three months ended March 31, 2016, the provision for losses and LAE was $3.7 million, comprised of $5.1 million of current year losses partially offset by $1.3 million of favorable prior years’ loss development. During the three months ended March 31, 2015, the provision for losses and LAE was $2.0 million, comprised of $2.7 million of current year losses partially offset by $0.7 million of favorable prior years’ loss development. In both periods, the prior years’ loss development was the result of a re-estimation of amounts ultimately to be paid on prior year defaults in the default inventory, including the impact of previously identified defaults that cured.</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includes additional information about our claims paid and claim severity as of the dates indicated:</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60" w:type="dxa"/>
            <w:vAlign w:val="bottom"/>
          </w:tcPr>
          <w:p>
            <w:pPr>
              <w:spacing w:after="0"/>
              <w:rPr>
                <w:sz w:val="16"/>
                <w:szCs w:val="16"/>
                <w:color w:val="auto"/>
              </w:rPr>
            </w:pPr>
          </w:p>
        </w:tc>
        <w:tc>
          <w:tcPr>
            <w:tcW w:w="4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140" w:type="dxa"/>
            <w:vAlign w:val="bottom"/>
            <w:gridSpan w:val="5"/>
          </w:tcPr>
          <w:p>
            <w:pPr>
              <w:ind w:left="340"/>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36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in thousands)</w:t>
            </w:r>
          </w:p>
        </w:tc>
        <w:tc>
          <w:tcPr>
            <w:tcW w:w="41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260" w:type="dxa"/>
            <w:vAlign w:val="bottom"/>
            <w:tcBorders>
              <w:top w:val="single" w:sz="8" w:color="auto"/>
              <w:bottom w:val="single" w:sz="8" w:color="auto"/>
            </w:tcBorders>
          </w:tcPr>
          <w:p>
            <w:pPr>
              <w:jc w:val="right"/>
              <w:ind w:right="597"/>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bottom w:val="single" w:sz="8" w:color="CCEEFF"/>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260" w:type="dxa"/>
            <w:vAlign w:val="bottom"/>
            <w:tcBorders>
              <w:top w:val="single" w:sz="8" w:color="auto"/>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Number of claims paid</w:t>
            </w:r>
          </w:p>
        </w:tc>
        <w:tc>
          <w:tcPr>
            <w:tcW w:w="4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Amount of claims paid</w:t>
            </w:r>
          </w:p>
        </w:tc>
        <w:tc>
          <w:tcPr>
            <w:tcW w:w="462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97"/>
              <w:spacing w:after="0"/>
              <w:rPr>
                <w:sz w:val="20"/>
                <w:szCs w:val="20"/>
                <w:color w:val="auto"/>
              </w:rPr>
            </w:pPr>
            <w:r>
              <w:rPr>
                <w:rFonts w:ascii="Arial" w:cs="Arial" w:eastAsia="Arial" w:hAnsi="Arial"/>
                <w:sz w:val="18"/>
                <w:szCs w:val="18"/>
                <w:color w:val="auto"/>
              </w:rPr>
              <w:t>998</w:t>
            </w:r>
          </w:p>
        </w:tc>
        <w:tc>
          <w:tcPr>
            <w:tcW w:w="12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14"/>
              <w:spacing w:after="0"/>
              <w:rPr>
                <w:sz w:val="20"/>
                <w:szCs w:val="20"/>
                <w:color w:val="auto"/>
              </w:rPr>
            </w:pPr>
            <w:r>
              <w:rPr>
                <w:rFonts w:ascii="Arial" w:cs="Arial" w:eastAsia="Arial" w:hAnsi="Arial"/>
                <w:sz w:val="18"/>
                <w:szCs w:val="18"/>
                <w:color w:val="auto"/>
              </w:rPr>
              <w:t>349</w:t>
            </w:r>
          </w:p>
        </w:tc>
        <w:tc>
          <w:tcPr>
            <w:tcW w:w="100" w:type="dxa"/>
            <w:vAlign w:val="bottom"/>
          </w:tcPr>
          <w:p>
            <w:pPr>
              <w:spacing w:after="0"/>
              <w:rPr>
                <w:sz w:val="21"/>
                <w:szCs w:val="21"/>
                <w:color w:val="auto"/>
              </w:rPr>
            </w:pPr>
          </w:p>
        </w:tc>
      </w:tr>
      <w:tr>
        <w:trPr>
          <w:trHeight w:val="27"/>
        </w:trPr>
        <w:tc>
          <w:tcPr>
            <w:tcW w:w="3660" w:type="dxa"/>
            <w:vAlign w:val="bottom"/>
          </w:tcPr>
          <w:p>
            <w:pPr>
              <w:spacing w:after="0"/>
              <w:rPr>
                <w:sz w:val="2"/>
                <w:szCs w:val="2"/>
                <w:color w:val="auto"/>
              </w:rPr>
            </w:pPr>
          </w:p>
        </w:tc>
        <w:tc>
          <w:tcPr>
            <w:tcW w:w="4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Claim severity</w:t>
            </w:r>
          </w:p>
        </w:tc>
        <w:tc>
          <w:tcPr>
            <w:tcW w:w="4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675"/>
        </w:trPr>
        <w:tc>
          <w:tcPr>
            <w:tcW w:w="3660" w:type="dxa"/>
            <w:vAlign w:val="bottom"/>
          </w:tcPr>
          <w:p>
            <w:pPr>
              <w:spacing w:after="0"/>
              <w:rPr>
                <w:sz w:val="24"/>
                <w:szCs w:val="24"/>
                <w:color w:val="auto"/>
              </w:rPr>
            </w:pPr>
          </w:p>
        </w:tc>
        <w:tc>
          <w:tcPr>
            <w:tcW w:w="4120" w:type="dxa"/>
            <w:vAlign w:val="bottom"/>
          </w:tcPr>
          <w:p>
            <w:pPr>
              <w:jc w:val="right"/>
              <w:ind w:right="189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Underwriting and Operating Expenses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Following are the components of our other underwriting and operating expenses for the periods indicated:</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7"/>
          </w:tcPr>
          <w:p>
            <w:pPr>
              <w:jc w:val="right"/>
              <w:ind w:right="180"/>
              <w:spacing w:after="0"/>
              <w:rPr>
                <w:sz w:val="20"/>
                <w:szCs w:val="20"/>
                <w:color w:val="auto"/>
              </w:rPr>
            </w:pPr>
            <w:r>
              <w:rPr>
                <w:rFonts w:ascii="Arial" w:cs="Arial" w:eastAsia="Arial" w:hAnsi="Arial"/>
                <w:sz w:val="14"/>
                <w:szCs w:val="14"/>
                <w:b w:val="1"/>
                <w:bCs w:val="1"/>
                <w:color w:val="auto"/>
              </w:rPr>
              <w:t>Three Months Ended March 31,</w:t>
            </w:r>
          </w:p>
        </w:tc>
        <w:tc>
          <w:tcPr>
            <w:tcW w:w="760" w:type="dxa"/>
            <w:vAlign w:val="bottom"/>
            <w:tcBorders>
              <w:bottom w:val="single" w:sz="8" w:color="auto"/>
            </w:tcBorders>
          </w:tcPr>
          <w:p>
            <w:pPr>
              <w:spacing w:after="0"/>
              <w:rPr>
                <w:sz w:val="16"/>
                <w:szCs w:val="16"/>
                <w:color w:val="auto"/>
              </w:rPr>
            </w:pPr>
          </w:p>
        </w:tc>
      </w:tr>
      <w:tr>
        <w:trPr>
          <w:trHeight w:val="264"/>
        </w:trPr>
        <w:tc>
          <w:tcPr>
            <w:tcW w:w="7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2016</w:t>
            </w:r>
          </w:p>
        </w:tc>
        <w:tc>
          <w:tcPr>
            <w:tcW w:w="7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2015</w:t>
            </w:r>
          </w:p>
        </w:tc>
        <w:tc>
          <w:tcPr>
            <w:tcW w:w="760" w:type="dxa"/>
            <w:vAlign w:val="bottom"/>
            <w:tcBorders>
              <w:bottom w:val="single" w:sz="8" w:color="auto"/>
            </w:tcBorders>
          </w:tcPr>
          <w:p>
            <w:pPr>
              <w:spacing w:after="0"/>
              <w:rPr>
                <w:sz w:val="22"/>
                <w:szCs w:val="22"/>
                <w:color w:val="auto"/>
              </w:rPr>
            </w:pPr>
          </w:p>
        </w:tc>
      </w:tr>
      <w:tr>
        <w:trPr>
          <w:trHeight w:val="264"/>
        </w:trPr>
        <w:tc>
          <w:tcPr>
            <w:tcW w:w="74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in thousands)</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w:t>
            </w:r>
          </w:p>
        </w:tc>
      </w:tr>
      <w:tr>
        <w:trPr>
          <w:trHeight w:val="250"/>
        </w:trPr>
        <w:tc>
          <w:tcPr>
            <w:tcW w:w="7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Compensation and benefits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20,306</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18,186</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r>
      <w:tr>
        <w:trPr>
          <w:trHeight w:val="243"/>
        </w:trPr>
        <w:tc>
          <w:tcPr>
            <w:tcW w:w="7540" w:type="dxa"/>
            <w:vAlign w:val="bottom"/>
            <w:gridSpan w:val="2"/>
          </w:tcPr>
          <w:p>
            <w:pPr>
              <w:ind w:left="4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1"/>
                <w:szCs w:val="21"/>
                <w:color w:val="auto"/>
              </w:rPr>
            </w:pPr>
          </w:p>
        </w:tc>
        <w:tc>
          <w:tcPr>
            <w:tcW w:w="760" w:type="dxa"/>
            <w:vAlign w:val="bottom"/>
          </w:tcPr>
          <w:p>
            <w:pPr>
              <w:jc w:val="right"/>
              <w:ind w:right="39"/>
              <w:spacing w:after="0"/>
              <w:rPr>
                <w:sz w:val="20"/>
                <w:szCs w:val="20"/>
                <w:color w:val="auto"/>
              </w:rPr>
            </w:pPr>
            <w:r>
              <w:rPr>
                <w:rFonts w:ascii="Arial" w:cs="Arial" w:eastAsia="Arial" w:hAnsi="Arial"/>
                <w:sz w:val="18"/>
                <w:szCs w:val="18"/>
                <w:color w:val="auto"/>
              </w:rPr>
              <w:t>11,082</w:t>
            </w:r>
          </w:p>
        </w:tc>
        <w:tc>
          <w:tcPr>
            <w:tcW w:w="100" w:type="dxa"/>
            <w:vAlign w:val="bottom"/>
          </w:tcPr>
          <w:p>
            <w:pPr>
              <w:spacing w:after="0"/>
              <w:rPr>
                <w:sz w:val="21"/>
                <w:szCs w:val="21"/>
                <w:color w:val="auto"/>
              </w:rPr>
            </w:pPr>
          </w:p>
        </w:tc>
        <w:tc>
          <w:tcPr>
            <w:tcW w:w="760" w:type="dxa"/>
            <w:vAlign w:val="bottom"/>
          </w:tcPr>
          <w:p>
            <w:pPr>
              <w:jc w:val="right"/>
              <w:ind w:right="94"/>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jc w:val="right"/>
              <w:ind w:right="37"/>
              <w:spacing w:after="0"/>
              <w:rPr>
                <w:sz w:val="20"/>
                <w:szCs w:val="20"/>
                <w:color w:val="auto"/>
              </w:rPr>
            </w:pPr>
            <w:r>
              <w:rPr>
                <w:rFonts w:ascii="Arial" w:cs="Arial" w:eastAsia="Arial" w:hAnsi="Arial"/>
                <w:sz w:val="18"/>
                <w:szCs w:val="18"/>
                <w:color w:val="auto"/>
              </w:rPr>
              <w:t>9,312</w:t>
            </w:r>
          </w:p>
        </w:tc>
        <w:tc>
          <w:tcPr>
            <w:tcW w:w="100" w:type="dxa"/>
            <w:vAlign w:val="bottom"/>
          </w:tcPr>
          <w:p>
            <w:pPr>
              <w:spacing w:after="0"/>
              <w:rPr>
                <w:sz w:val="21"/>
                <w:szCs w:val="21"/>
                <w:color w:val="auto"/>
              </w:rPr>
            </w:pPr>
          </w:p>
        </w:tc>
        <w:tc>
          <w:tcPr>
            <w:tcW w:w="760" w:type="dxa"/>
            <w:vAlign w:val="bottom"/>
          </w:tcPr>
          <w:p>
            <w:pPr>
              <w:jc w:val="right"/>
              <w:ind w:right="94"/>
              <w:spacing w:after="0"/>
              <w:rPr>
                <w:sz w:val="20"/>
                <w:szCs w:val="20"/>
                <w:color w:val="auto"/>
              </w:rPr>
            </w:pPr>
            <w:r>
              <w:rPr>
                <w:rFonts w:ascii="Arial" w:cs="Arial" w:eastAsia="Arial" w:hAnsi="Arial"/>
                <w:sz w:val="18"/>
                <w:szCs w:val="18"/>
                <w:color w:val="auto"/>
              </w:rPr>
              <w:t>34</w:t>
            </w:r>
          </w:p>
        </w:tc>
      </w:tr>
      <w:tr>
        <w:trPr>
          <w:trHeight w:val="27"/>
        </w:trPr>
        <w:tc>
          <w:tcPr>
            <w:tcW w:w="74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69"/>
        </w:trPr>
        <w:tc>
          <w:tcPr>
            <w:tcW w:w="74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31,388</w:t>
            </w: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27,498</w:t>
            </w: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7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7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43"/>
        </w:trPr>
        <w:tc>
          <w:tcPr>
            <w:tcW w:w="75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Number of employees at end of period</w:t>
            </w:r>
          </w:p>
        </w:tc>
        <w:tc>
          <w:tcPr>
            <w:tcW w:w="26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357</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339</w:t>
            </w:r>
          </w:p>
        </w:tc>
      </w:tr>
      <w:tr>
        <w:trPr>
          <w:trHeight w:val="27"/>
        </w:trPr>
        <w:tc>
          <w:tcPr>
            <w:tcW w:w="74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significant factors contributing to the change in other underwriting and operating expenses are:</w:t>
      </w:r>
    </w:p>
    <w:p>
      <w:pPr>
        <w:spacing w:after="0" w:line="225" w:lineRule="exact"/>
        <w:rPr>
          <w:sz w:val="20"/>
          <w:szCs w:val="20"/>
          <w:color w:val="auto"/>
        </w:rPr>
      </w:pPr>
    </w:p>
    <w:p>
      <w:pPr>
        <w:ind w:left="660" w:right="360" w:hanging="328"/>
        <w:spacing w:after="0" w:line="312"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Compensation and benefits increased primarily due to the increase in our workforce to 357 at March 31, 2016 from 332 at January 1, 2015. Additional employees were hired to support the growth in our business, particularly in our sales organization, as well as our underwriting and customer service teams. Compensation and benefits includes salaries, wages and bonus, stock compensation expense, benefits and payroll taxes.</w:t>
      </w:r>
    </w:p>
    <w:p>
      <w:pPr>
        <w:spacing w:after="0" w:line="146" w:lineRule="exact"/>
        <w:rPr>
          <w:rFonts w:ascii="Arial" w:cs="Arial" w:eastAsia="Arial" w:hAnsi="Arial"/>
          <w:sz w:val="16"/>
          <w:szCs w:val="16"/>
          <w:color w:val="auto"/>
        </w:rPr>
      </w:pPr>
    </w:p>
    <w:p>
      <w:pPr>
        <w:ind w:left="660" w:right="4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Other expenses increased as a result of the continued expansion of our business. Other expenses include premium taxes, travel, marketing, hardware, software, rent, depreciation and amortization and other facilities expenses.</w:t>
      </w:r>
    </w:p>
    <w:p>
      <w:pPr>
        <w:spacing w:after="0" w:line="170"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Our subsidiaries in the United States file a consolidated U.S. Federal income tax return. Our income tax expense was $19.4 million and $15.7 million for the three months ended March 31, 2016 and 2015, respectively. Our effective tax rate was 28.8% and 31.0% for the three months ended March 31, 2016 and 2015, respectively. For interim reporting periods, we use an annualized effective tax rate method required under GAAP to calculate the income tax provision. For 2016, we expect the proportion of our consolidated earnings generated in Bermuda to increase as a result of insurance and reinsurance contracts executed with Freddie Mac and Fannie Mae and the quota share reinsurance agreement between Essent Guaranty and Essent Re. Bermuda does not have a corporate income tax.</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sources of funds consist primarily of:</w:t>
      </w:r>
    </w:p>
    <w:p>
      <w:pPr>
        <w:spacing w:after="0" w:line="225"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investment portfolio and interest income on the portfolio;</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net premiums that we will receive from our existing IIF as well as policies that we write in the future;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issuance of capital shares.</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Our obligations consist primarily of:</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claim payments under our policies;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other costs and operating expenses of our business.</w:t>
      </w:r>
    </w:p>
    <w:p>
      <w:pPr>
        <w:spacing w:after="0" w:line="225" w:lineRule="exact"/>
        <w:rPr>
          <w:sz w:val="20"/>
          <w:szCs w:val="20"/>
          <w:color w:val="auto"/>
        </w:rPr>
      </w:pPr>
    </w:p>
    <w:p>
      <w:pPr>
        <w:jc w:val="both"/>
        <w:ind w:right="840" w:firstLine="648"/>
        <w:spacing w:after="0" w:line="342" w:lineRule="auto"/>
        <w:rPr>
          <w:sz w:val="20"/>
          <w:szCs w:val="20"/>
          <w:color w:val="auto"/>
        </w:rPr>
      </w:pPr>
      <w:r>
        <w:rPr>
          <w:rFonts w:ascii="Arial" w:cs="Arial" w:eastAsia="Arial" w:hAnsi="Arial"/>
          <w:sz w:val="16"/>
          <w:szCs w:val="16"/>
          <w:color w:val="auto"/>
        </w:rPr>
        <w:t>As of March 31, 2016, we had substantial liquidity with cash of $28.2 million, short-term investments of $83.5 million and fixed maturity investments of $1.3 billion, and had no debt outstanding. At March 31, 2016, net cash and investments at the holding company was $70.7 million.</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Management believes that the Company has sufficient liquidity available both at the holding company and in its insurance and other operating subsidiaries to meet its operating cash needs and obligations and committed capital expenditures for the next 12 months.</w:t>
      </w:r>
    </w:p>
    <w:p>
      <w:pPr>
        <w:spacing w:after="0" w:line="170"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On April 19, 2016, Essent Group Ltd., and its subsidiaries Essent Irish Intermediate Holdings Limited and Essent US Holdings, Inc. entered into a three-year, secured revolving credit facility with a committed capacity of $200 million (the “Facility”). Borrowings under the Facility may be used for working capital and general corporate purposes, including, without limitation, capital contributions to Essent’s insurance and reinsurance subsidiaries. Borrowings will accrue interest at a floating rate tied to a standard short-term borrowing index, selected at the company’s option, plus an applicable margin. The applicable margin is based on the senior unsecured debt rating or long-term issuer rating of Essent Group Ltd. to the extent available, or the insurer financial strength rating of Essent Guaranty. A fee is due quarterly on the average daily amount of the undrawn revolving commitment. The obligations under the Facility are secured by certain assets of Essent Group Ltd., excluding the stock and assets of its insurance and reinsurance subsidiaries. As of the date of this Quarterly Report, no amounts have been borrowed under the Facility.</w:t>
      </w:r>
    </w:p>
    <w:p>
      <w:pPr>
        <w:spacing w:after="0" w:line="179"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While the Company and all of its subsidiaries are expected to have sufficient liquidity to meet all their expected obligations, additional capital may be required to meet any new capital requirements that are adopted by regulatory authorities or the GSEs, or to provide additional capital related to the growth of our risk in force in our mortgage insurance portfolio, or to fund new business initiatives including the insurance activities of Essent Re.</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the operating subsidiary level, liquidity could be impacted by any one of the following factors:</w:t>
      </w:r>
    </w:p>
    <w:p>
      <w:pPr>
        <w:spacing w:after="0" w:line="225"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significant decline in the value of our investments;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inability to sell investment assets to provide cash to fund operating needs;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decline in expected revenues generated from operations;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 in expected claim payments related to our IIF;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 in operating expenses.</w:t>
      </w:r>
    </w:p>
    <w:p>
      <w:pPr>
        <w:spacing w:after="0" w:line="225"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Our U.S. insurance subsidiaries are subject to certain capital and dividend rules and regulations prescribed by jurisdictions in which they are authorized to operate and the GSEs. Under the insurance laws of the Commonwealth of Pennsylvania, the insurance subsidiaries may pay dividends during any twelve-month period in an amount equal to the greater of (i) 10% of the preceding year-end statutory policyholders' surplus or (ii) the preceding year’s statutory net income. The Pennsylvania statute also requires that dividends and other distributions be paid out of positive unassigned surplus without prior approval. At March 31, 2016, Essent Guaranty had negative unassigned surplus of approximately $33.1 million and therefore would require prior approval by the Pennsylvania Insurance Commissioner to make any dividend payment or other distributions in 2016. Essent Guaranty has paid no dividends since its inception. Essent PA had unassigned surplus of approximately $5.5 million as of March 31, 2016. During the three months ended March 31, 2016, Essent PA paid to its parent company, Essent US Holdings, Inc., a $3.75 million dividend. Essent Re is subject to certain dividend restrictions as prescribed by the Bermuda Monetary Authority and under certain agreements with counterparties. In connection with a quota share reinsurance agreement with Essent Guaranty, Essent Re has agreed to maintain a minimum total equity of $100 million. As of March 31, 2016, Essent Re had total equity of $233.3 million. At March 31, 2016, our insurance subsidiaries were in compliance with these rules, regulations and agreements. In connection with its insurance and reinsurance activities, Essent Re is required to maintain assets in trusts for the benefit of its contractual counterparties. See Note 3 to our condensed consolidated financial statements.</w:t>
      </w: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125" w:right="27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consolidated cash flows from operating, investing and financing activities: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3320" w:type="dxa"/>
            <w:vAlign w:val="bottom"/>
            <w:tcBorders>
              <w:bottom w:val="single" w:sz="8" w:color="auto"/>
            </w:tcBorders>
            <w:gridSpan w:val="4"/>
          </w:tcPr>
          <w:p>
            <w:pPr>
              <w:jc w:val="right"/>
              <w:ind w:right="794"/>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75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76"/>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2015</w:t>
            </w:r>
          </w:p>
        </w:tc>
      </w:tr>
      <w:tr>
        <w:trPr>
          <w:trHeight w:val="250"/>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67,492</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47,180</w:t>
            </w:r>
          </w:p>
        </w:tc>
      </w:tr>
      <w:tr>
        <w:trPr>
          <w:trHeight w:val="243"/>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Net cash used in investing activities</w:t>
            </w: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(61,054)</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(46,443)</w:t>
            </w:r>
          </w:p>
        </w:tc>
      </w:tr>
      <w:tr>
        <w:trPr>
          <w:trHeight w:val="27"/>
        </w:trPr>
        <w:tc>
          <w:tcPr>
            <w:tcW w:w="7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cash used in financing activities</w:t>
            </w: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(2,838)</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(3,246)</w:t>
            </w:r>
          </w:p>
        </w:tc>
      </w:tr>
      <w:tr>
        <w:trPr>
          <w:trHeight w:val="257"/>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Net increase (decrease) in cash</w:t>
            </w: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3,600</w:t>
            </w:r>
          </w:p>
        </w:tc>
        <w:tc>
          <w:tcPr>
            <w:tcW w:w="12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(2,509)</w:t>
            </w:r>
          </w:p>
        </w:tc>
      </w:tr>
      <w:tr>
        <w:trPr>
          <w:trHeight w:val="20"/>
        </w:trPr>
        <w:tc>
          <w:tcPr>
            <w:tcW w:w="7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ind w:right="320" w:firstLine="648"/>
        <w:spacing w:after="0" w:line="264" w:lineRule="auto"/>
        <w:rPr>
          <w:sz w:val="20"/>
          <w:szCs w:val="20"/>
          <w:color w:val="auto"/>
        </w:rPr>
      </w:pPr>
      <w:r>
        <w:rPr>
          <w:rFonts w:ascii="Arial" w:cs="Arial" w:eastAsia="Arial" w:hAnsi="Arial"/>
          <w:sz w:val="18"/>
          <w:szCs w:val="18"/>
          <w:color w:val="auto"/>
        </w:rPr>
        <w:t>Cash flow provided by operating activities totaled $67.5 million for the three months ended March 31, 2016 as compared to $47.2 million for the three months ended March 31, 2015. The increase in cash flow from operating activities of $20.3 million in 2016 was primarily a result of increases in premiums collected and net investment income, partially offset by increases in expenses paid.</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ind w:right="280" w:firstLine="648"/>
        <w:spacing w:after="0" w:line="342" w:lineRule="auto"/>
        <w:rPr>
          <w:sz w:val="20"/>
          <w:szCs w:val="20"/>
          <w:color w:val="auto"/>
        </w:rPr>
      </w:pPr>
      <w:r>
        <w:rPr>
          <w:rFonts w:ascii="Arial" w:cs="Arial" w:eastAsia="Arial" w:hAnsi="Arial"/>
          <w:sz w:val="16"/>
          <w:szCs w:val="16"/>
          <w:color w:val="auto"/>
        </w:rPr>
        <w:t>Cash flow used in investing activities totaled $61.1 million for the three months ended March 31, 2016 as compared to $46.4 million for the three months ended March 31, 2015. The increase in cash flow used in investing activities primarily related to investing cash flows from the business.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ind w:right="400" w:firstLine="648"/>
        <w:spacing w:after="0" w:line="342" w:lineRule="auto"/>
        <w:rPr>
          <w:sz w:val="20"/>
          <w:szCs w:val="20"/>
          <w:color w:val="auto"/>
        </w:rPr>
      </w:pPr>
      <w:r>
        <w:rPr>
          <w:rFonts w:ascii="Arial" w:cs="Arial" w:eastAsia="Arial" w:hAnsi="Arial"/>
          <w:sz w:val="16"/>
          <w:szCs w:val="16"/>
          <w:color w:val="auto"/>
        </w:rPr>
        <w:t>Cash flow used in financing activities totaled $2.8 million for the three months ended March 31, 2016, as compared to $3.2 million for the three months ended March 31, 2015. The decrease in cash flow used in financing activities was primarily related to the payment of offering costs in 2015.</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Insurance Company Capital</w:t>
      </w:r>
    </w:p>
    <w:p>
      <w:pPr>
        <w:spacing w:after="0" w:line="225" w:lineRule="exact"/>
        <w:rPr>
          <w:sz w:val="20"/>
          <w:szCs w:val="20"/>
          <w:color w:val="auto"/>
        </w:rPr>
      </w:pPr>
    </w:p>
    <w:p>
      <w:pPr>
        <w:ind w:right="120" w:firstLine="648"/>
        <w:spacing w:after="0" w:line="271" w:lineRule="auto"/>
        <w:rPr>
          <w:sz w:val="20"/>
          <w:szCs w:val="20"/>
          <w:color w:val="auto"/>
        </w:rPr>
      </w:pPr>
      <w:r>
        <w:rPr>
          <w:rFonts w:ascii="Arial" w:cs="Arial" w:eastAsia="Arial" w:hAnsi="Arial"/>
          <w:sz w:val="17"/>
          <w:szCs w:val="17"/>
          <w:color w:val="auto"/>
        </w:rPr>
        <w:t>We compute a risk-to-capital ratio for our U.S. insurance companies on a separate company statutory basis, as well as for our combined insurance operations. The risk-to-capital ratio is our net risk in force divided by our statutory capital. Our net risk in force represents risk in force net of reinsurance ceded, if any, and net of exposures on policies for which loss reserves have been established. Statutory capital consists primarily of statutory policyholders’ surplus (which increases as a result of statutory net income and decreases as a result of statutory net loss and dividends paid), plus the statutory contingency reserve. The statutory contingency reserve is reported as a liability on the statutory balance sheet. A mortgage insurance company is required to make annual contributions to the contingency reserve of 50% of net premiums earned. These contributions must generally be maintained for a period of ten years. However, with regulatory approval, a mortgage insurance company may make early withdrawals from the contingency reserve when incurred losses exceed 35% of net premiums earned in a calendar year.</w:t>
      </w:r>
    </w:p>
    <w:p>
      <w:pPr>
        <w:spacing w:after="0" w:line="179" w:lineRule="exact"/>
        <w:rPr>
          <w:sz w:val="20"/>
          <w:szCs w:val="20"/>
          <w:color w:val="auto"/>
        </w:rPr>
      </w:pPr>
    </w:p>
    <w:p>
      <w:pPr>
        <w:ind w:right="860" w:firstLine="648"/>
        <w:spacing w:after="0" w:line="277" w:lineRule="auto"/>
        <w:rPr>
          <w:sz w:val="20"/>
          <w:szCs w:val="20"/>
          <w:color w:val="auto"/>
        </w:rPr>
      </w:pPr>
      <w:r>
        <w:rPr>
          <w:rFonts w:ascii="Arial" w:cs="Arial" w:eastAsia="Arial" w:hAnsi="Arial"/>
          <w:sz w:val="18"/>
          <w:szCs w:val="18"/>
          <w:color w:val="auto"/>
        </w:rPr>
        <w:t>During the three months ended March 31, 2016 and 2015, no capital contributions were made by Essent Group Ltd. to our U.S. insurance subsidiaries.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combined risk-to-capital calculation for our U.S. insurance subsidiaries as of March 31, 2016 is as follows:</w:t>
      </w:r>
    </w:p>
    <w:p>
      <w:pPr>
        <w:spacing w:after="0" w:line="379"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Combined statutory capital:</w:t>
      </w:r>
    </w:p>
    <w:p>
      <w:pPr>
        <w:spacing w:after="0" w:line="4"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 in thousands)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392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Policyholders’ surplus</w:t>
            </w:r>
          </w:p>
        </w:tc>
        <w:tc>
          <w:tcPr>
            <w:tcW w:w="5980" w:type="dxa"/>
            <w:vAlign w:val="bottom"/>
            <w:tcBorders>
              <w:top w:val="single" w:sz="8" w:color="auto"/>
              <w:bottom w:val="single" w:sz="8" w:color="CCEEFF"/>
            </w:tcBorders>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577,845</w:t>
            </w:r>
          </w:p>
        </w:tc>
        <w:tc>
          <w:tcPr>
            <w:tcW w:w="0" w:type="dxa"/>
            <w:vAlign w:val="bottom"/>
          </w:tcPr>
          <w:p>
            <w:pPr>
              <w:spacing w:after="0"/>
              <w:rPr>
                <w:sz w:val="1"/>
                <w:szCs w:val="1"/>
                <w:color w:val="auto"/>
              </w:rPr>
            </w:pPr>
          </w:p>
        </w:tc>
      </w:tr>
      <w:tr>
        <w:trPr>
          <w:trHeight w:val="243"/>
        </w:trPr>
        <w:tc>
          <w:tcPr>
            <w:tcW w:w="3920" w:type="dxa"/>
            <w:vAlign w:val="bottom"/>
          </w:tcPr>
          <w:p>
            <w:pPr>
              <w:ind w:left="40"/>
              <w:spacing w:after="0"/>
              <w:rPr>
                <w:sz w:val="20"/>
                <w:szCs w:val="20"/>
                <w:color w:val="auto"/>
              </w:rPr>
            </w:pPr>
            <w:r>
              <w:rPr>
                <w:rFonts w:ascii="Arial" w:cs="Arial" w:eastAsia="Arial" w:hAnsi="Arial"/>
                <w:sz w:val="18"/>
                <w:szCs w:val="18"/>
                <w:color w:val="auto"/>
              </w:rPr>
              <w:t>Contingency reserves</w:t>
            </w:r>
          </w:p>
        </w:tc>
        <w:tc>
          <w:tcPr>
            <w:tcW w:w="54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382,961</w:t>
            </w:r>
          </w:p>
        </w:tc>
        <w:tc>
          <w:tcPr>
            <w:tcW w:w="0" w:type="dxa"/>
            <w:vAlign w:val="bottom"/>
          </w:tcPr>
          <w:p>
            <w:pPr>
              <w:spacing w:after="0"/>
              <w:rPr>
                <w:sz w:val="1"/>
                <w:szCs w:val="1"/>
                <w:color w:val="auto"/>
              </w:rPr>
            </w:pPr>
          </w:p>
        </w:tc>
      </w:tr>
      <w:tr>
        <w:trPr>
          <w:trHeight w:val="27"/>
        </w:trPr>
        <w:tc>
          <w:tcPr>
            <w:tcW w:w="3920" w:type="dxa"/>
            <w:vAlign w:val="bottom"/>
            <w:tcBorders>
              <w:bottom w:val="single" w:sz="8" w:color="CCEEFF"/>
            </w:tcBorders>
          </w:tcPr>
          <w:p>
            <w:pPr>
              <w:spacing w:after="0"/>
              <w:rPr>
                <w:sz w:val="2"/>
                <w:szCs w:val="2"/>
                <w:color w:val="auto"/>
              </w:rPr>
            </w:pPr>
          </w:p>
        </w:tc>
        <w:tc>
          <w:tcPr>
            <w:tcW w:w="54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Combined statutory capital</w:t>
            </w:r>
          </w:p>
        </w:tc>
        <w:tc>
          <w:tcPr>
            <w:tcW w:w="54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960,806</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920" w:type="dxa"/>
            <w:vAlign w:val="bottom"/>
          </w:tcPr>
          <w:p>
            <w:pPr>
              <w:ind w:left="40"/>
              <w:spacing w:after="0"/>
              <w:rPr>
                <w:sz w:val="20"/>
                <w:szCs w:val="20"/>
                <w:color w:val="auto"/>
              </w:rPr>
            </w:pPr>
            <w:r>
              <w:rPr>
                <w:rFonts w:ascii="Arial" w:cs="Arial" w:eastAsia="Arial" w:hAnsi="Arial"/>
                <w:sz w:val="18"/>
                <w:szCs w:val="18"/>
                <w:color w:val="auto"/>
              </w:rPr>
              <w:t>Combined net risk in force</w:t>
            </w:r>
          </w:p>
        </w:tc>
        <w:tc>
          <w:tcPr>
            <w:tcW w:w="598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14,254,342</w:t>
            </w:r>
          </w:p>
        </w:tc>
        <w:tc>
          <w:tcPr>
            <w:tcW w:w="0" w:type="dxa"/>
            <w:vAlign w:val="bottom"/>
          </w:tcPr>
          <w:p>
            <w:pPr>
              <w:spacing w:after="0"/>
              <w:rPr>
                <w:sz w:val="1"/>
                <w:szCs w:val="1"/>
                <w:color w:val="auto"/>
              </w:rPr>
            </w:pPr>
          </w:p>
        </w:tc>
      </w:tr>
      <w:tr>
        <w:trPr>
          <w:trHeight w:val="27"/>
        </w:trPr>
        <w:tc>
          <w:tcPr>
            <w:tcW w:w="3920" w:type="dxa"/>
            <w:vAlign w:val="bottom"/>
            <w:tcBorders>
              <w:bottom w:val="single" w:sz="8" w:color="CCEEFF"/>
            </w:tcBorders>
          </w:tcPr>
          <w:p>
            <w:pPr>
              <w:spacing w:after="0"/>
              <w:rPr>
                <w:sz w:val="2"/>
                <w:szCs w:val="2"/>
                <w:color w:val="auto"/>
              </w:rPr>
            </w:pPr>
          </w:p>
        </w:tc>
        <w:tc>
          <w:tcPr>
            <w:tcW w:w="54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Combined risk-to-capital ratio</w:t>
            </w:r>
          </w:p>
        </w:tc>
        <w:tc>
          <w:tcPr>
            <w:tcW w:w="54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14.8:1</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5480" w:type="dxa"/>
            <w:vAlign w:val="bottom"/>
            <w:vMerge w:val="restart"/>
          </w:tcPr>
          <w:p>
            <w:pPr>
              <w:jc w:val="right"/>
              <w:ind w:right="3510"/>
              <w:spacing w:after="0"/>
              <w:rPr>
                <w:sz w:val="20"/>
                <w:szCs w:val="20"/>
                <w:color w:val="auto"/>
              </w:rPr>
            </w:pPr>
            <w:r>
              <w:rPr>
                <w:rFonts w:ascii="Arial" w:cs="Arial" w:eastAsia="Arial" w:hAnsi="Arial"/>
                <w:sz w:val="18"/>
                <w:szCs w:val="18"/>
                <w:color w:val="auto"/>
              </w:rPr>
              <w:t>30</w:t>
            </w:r>
          </w:p>
        </w:tc>
        <w:tc>
          <w:tcPr>
            <w:tcW w:w="5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920" w:type="dxa"/>
            <w:vAlign w:val="bottom"/>
          </w:tcPr>
          <w:p>
            <w:pPr>
              <w:spacing w:after="0"/>
              <w:rPr>
                <w:sz w:val="24"/>
                <w:szCs w:val="24"/>
                <w:color w:val="auto"/>
              </w:rPr>
            </w:pPr>
          </w:p>
        </w:tc>
        <w:tc>
          <w:tcPr>
            <w:tcW w:w="548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60" w:firstLine="648"/>
        <w:spacing w:after="0" w:line="297" w:lineRule="auto"/>
        <w:rPr>
          <w:sz w:val="20"/>
          <w:szCs w:val="20"/>
          <w:color w:val="auto"/>
        </w:rPr>
      </w:pPr>
      <w:r>
        <w:rPr>
          <w:rFonts w:ascii="Arial" w:cs="Arial" w:eastAsia="Arial" w:hAnsi="Arial"/>
          <w:sz w:val="16"/>
          <w:szCs w:val="16"/>
          <w:color w:val="auto"/>
        </w:rPr>
        <w:t>For additional information regarding regulatory capital, see Note 11 to our condensed consolidated financial statements. Our combined statutory capital equals the sum of statutory capital of Essent Guaranty plus Essent PA, after eliminating the impact of intercompany transactions. The combined risk-to-capital ratio equals the sum of the net risk in force of Essent Guaranty and Essent PA divided by combined statutory capital. The information above has been derived from the annual and quarterly statements of our insurance subsidiaries, which have been prepared in conformity with accounting practices prescribed or permitted by the Pennsylvania Insurance Department. Such practices vary from accounting principles generally accepted in the United States.</w:t>
      </w:r>
    </w:p>
    <w:p>
      <w:pPr>
        <w:spacing w:after="0" w:line="158" w:lineRule="exact"/>
        <w:rPr>
          <w:sz w:val="20"/>
          <w:szCs w:val="20"/>
          <w:color w:val="auto"/>
        </w:rPr>
      </w:pPr>
    </w:p>
    <w:p>
      <w:pPr>
        <w:jc w:val="both"/>
        <w:ind w:right="80" w:firstLine="648"/>
        <w:spacing w:after="0" w:line="286" w:lineRule="auto"/>
        <w:rPr>
          <w:sz w:val="20"/>
          <w:szCs w:val="20"/>
          <w:color w:val="auto"/>
        </w:rPr>
      </w:pPr>
      <w:r>
        <w:rPr>
          <w:rFonts w:ascii="Arial" w:cs="Arial" w:eastAsia="Arial" w:hAnsi="Arial"/>
          <w:sz w:val="17"/>
          <w:szCs w:val="17"/>
          <w:color w:val="auto"/>
        </w:rPr>
        <w:t>Beginning in 2014, Essent Re entered into risk-share insurance and reinsurance transactions with Freddie Mac and Fannie Mae. In 2014, Essent Re also executed a quota share reinsurance transaction with Essent Guaranty to reinsure 25% of Essent Guaranty’s GSE-eligible NIW effective July 1, 2014. As of March 31, 2016, Essent Re had total stockholders’ equity of $233.3 million and net risk in force of $2.7 billion.</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Financial Strength Ratings</w:t>
      </w:r>
    </w:p>
    <w:p>
      <w:pPr>
        <w:spacing w:after="0" w:line="22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insurer financial strength rating of Essent Guaranty, our principal mortgage insurance subsidiary, is Baa2 with a stable outlook by Moody's and BBB+ with a stable outlook by S&amp;P.</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Private Mortgage Insurer Eligibility Requirements</w:t>
      </w:r>
    </w:p>
    <w:p>
      <w:pPr>
        <w:spacing w:after="0" w:line="225"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Effective December 31, 2015, Fannie Mae and Freddie Mac, at the direction of the FHFA, implemented new coordinated Private Mortgage Insurer Eligibility Requirements, which we refer to as the "PMIERs." The PMIERs represent the standards by which private mortgage insurers are eligible to provide mortgage insurance on loans owned or guaranteed by Fannie Mae and Freddie Mac. The PMIERs include financial strength requirements incorporating a risk-based framework that require approved insurers to have a sufficient level of liquid assets from which to pay claims. The PMIERs also include enhanced operational performance expectations and define remedial actions that apply should an approved insurer fail to comply with these requirements. As of March 31, 2016, Essent Guaranty, our GSE-approved mortgage insurance company, was in compliance with the PMIERs.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Stockholders’ Equity</w:t>
      </w:r>
    </w:p>
    <w:p>
      <w:pPr>
        <w:spacing w:after="0" w:line="225"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As of March 31, 2016, stockholders’ equity was $1.2 billion compared to $1.1 billion as of December 31, 2015. This increase was primarily due to net income generated in 2016.</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Investments</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total fair value of our investment portfolio was $1.4 billion as of March 31, 2016 and $1.3 billion as of December 31, 2015. In addition, our total cash was $28.2 million as of March 31, 2016, compared to $24.6 million as of December 31, 2015.</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Investment Portfolio by Asset Class</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20" w:type="dxa"/>
            <w:vAlign w:val="bottom"/>
            <w:gridSpan w:val="3"/>
          </w:tcPr>
          <w:p>
            <w:pPr>
              <w:ind w:left="40"/>
              <w:spacing w:after="0"/>
              <w:rPr>
                <w:sz w:val="20"/>
                <w:szCs w:val="20"/>
                <w:color w:val="auto"/>
              </w:rPr>
            </w:pPr>
            <w:r>
              <w:rPr>
                <w:rFonts w:ascii="Arial" w:cs="Arial" w:eastAsia="Arial" w:hAnsi="Arial"/>
                <w:sz w:val="14"/>
                <w:szCs w:val="14"/>
                <w:b w:val="1"/>
                <w:bCs w:val="1"/>
                <w:color w:val="auto"/>
              </w:rPr>
              <w:t>Asset Class</w:t>
            </w:r>
          </w:p>
        </w:tc>
        <w:tc>
          <w:tcPr>
            <w:tcW w:w="32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March 31, 2016</w:t>
            </w:r>
          </w:p>
        </w:tc>
        <w:tc>
          <w:tcPr>
            <w:tcW w:w="12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3"/>
          </w:tcPr>
          <w:p>
            <w:pPr>
              <w:ind w:left="960"/>
              <w:spacing w:after="0"/>
              <w:rPr>
                <w:sz w:val="20"/>
                <w:szCs w:val="20"/>
                <w:color w:val="auto"/>
              </w:rPr>
            </w:pPr>
            <w:r>
              <w:rPr>
                <w:rFonts w:ascii="Arial" w:cs="Arial" w:eastAsia="Arial" w:hAnsi="Arial"/>
                <w:sz w:val="14"/>
                <w:szCs w:val="14"/>
                <w:b w:val="1"/>
                <w:bCs w:val="1"/>
                <w:color w:val="auto"/>
                <w:w w:val="93"/>
              </w:rPr>
              <w:t>December 31, 2015</w:t>
            </w: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8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Fair Value</w:t>
            </w:r>
          </w:p>
        </w:tc>
        <w:tc>
          <w:tcPr>
            <w:tcW w:w="100" w:type="dxa"/>
            <w:vAlign w:val="bottom"/>
            <w:tcBorders>
              <w:bottom w:val="single" w:sz="8" w:color="CCEEFF"/>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32"/>
              <w:spacing w:after="0"/>
              <w:rPr>
                <w:sz w:val="20"/>
                <w:szCs w:val="20"/>
                <w:color w:val="auto"/>
              </w:rPr>
            </w:pPr>
            <w:r>
              <w:rPr>
                <w:rFonts w:ascii="Arial" w:cs="Arial" w:eastAsia="Arial" w:hAnsi="Arial"/>
                <w:sz w:val="14"/>
                <w:szCs w:val="14"/>
                <w:b w:val="1"/>
                <w:bCs w:val="1"/>
                <w:color w:val="auto"/>
              </w:rPr>
              <w:t>Percent</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Fair Value</w:t>
            </w:r>
          </w:p>
        </w:tc>
        <w:tc>
          <w:tcPr>
            <w:tcW w:w="12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632"/>
              <w:spacing w:after="0"/>
              <w:rPr>
                <w:sz w:val="20"/>
                <w:szCs w:val="20"/>
                <w:color w:val="auto"/>
              </w:rPr>
            </w:pPr>
            <w:r>
              <w:rPr>
                <w:rFonts w:ascii="Arial" w:cs="Arial" w:eastAsia="Arial" w:hAnsi="Arial"/>
                <w:sz w:val="14"/>
                <w:szCs w:val="14"/>
                <w:b w:val="1"/>
                <w:bCs w:val="1"/>
                <w:color w:val="auto"/>
                <w:w w:val="93"/>
              </w:rPr>
              <w:t>Percent</w:t>
            </w:r>
          </w:p>
        </w:tc>
        <w:tc>
          <w:tcPr>
            <w:tcW w:w="0" w:type="dxa"/>
            <w:vAlign w:val="bottom"/>
          </w:tcPr>
          <w:p>
            <w:pPr>
              <w:spacing w:after="0"/>
              <w:rPr>
                <w:sz w:val="1"/>
                <w:szCs w:val="1"/>
                <w:color w:val="auto"/>
              </w:rPr>
            </w:pPr>
          </w:p>
        </w:tc>
      </w:tr>
      <w:tr>
        <w:trPr>
          <w:trHeight w:val="250"/>
        </w:trPr>
        <w:tc>
          <w:tcPr>
            <w:tcW w:w="39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U.S. Treasury securities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211,780</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177,607</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43"/>
        </w:trPr>
        <w:tc>
          <w:tcPr>
            <w:tcW w:w="3920" w:type="dxa"/>
            <w:vAlign w:val="bottom"/>
            <w:gridSpan w:val="3"/>
          </w:tcPr>
          <w:p>
            <w:pPr>
              <w:ind w:left="40"/>
              <w:spacing w:after="0"/>
              <w:rPr>
                <w:sz w:val="20"/>
                <w:szCs w:val="20"/>
                <w:color w:val="auto"/>
              </w:rPr>
            </w:pPr>
            <w:r>
              <w:rPr>
                <w:rFonts w:ascii="Arial" w:cs="Arial" w:eastAsia="Arial" w:hAnsi="Arial"/>
                <w:sz w:val="18"/>
                <w:szCs w:val="18"/>
                <w:color w:val="auto"/>
              </w:rPr>
              <w:t>U.S. agency securities</w:t>
            </w:r>
          </w:p>
        </w:tc>
        <w:tc>
          <w:tcPr>
            <w:tcW w:w="320" w:type="dxa"/>
            <w:vAlign w:val="bottom"/>
          </w:tcPr>
          <w:p>
            <w:pPr>
              <w:spacing w:after="0"/>
              <w:rPr>
                <w:sz w:val="21"/>
                <w:szCs w:val="21"/>
                <w:color w:val="auto"/>
              </w:rPr>
            </w:pPr>
          </w:p>
        </w:tc>
        <w:tc>
          <w:tcPr>
            <w:tcW w:w="1380" w:type="dxa"/>
            <w:vAlign w:val="bottom"/>
          </w:tcPr>
          <w:p>
            <w:pPr>
              <w:jc w:val="right"/>
              <w:ind w:right="33"/>
              <w:spacing w:after="0"/>
              <w:rPr>
                <w:sz w:val="20"/>
                <w:szCs w:val="20"/>
                <w:color w:val="auto"/>
              </w:rPr>
            </w:pPr>
            <w:r>
              <w:rPr>
                <w:rFonts w:ascii="Arial" w:cs="Arial" w:eastAsia="Arial" w:hAnsi="Arial"/>
                <w:sz w:val="18"/>
                <w:szCs w:val="18"/>
                <w:color w:val="auto"/>
              </w:rPr>
              <w:t>14,657</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80" w:type="dxa"/>
            <w:vAlign w:val="bottom"/>
          </w:tcPr>
          <w:p>
            <w:pPr>
              <w:jc w:val="right"/>
              <w:ind w:right="132"/>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13,782</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20" w:type="dxa"/>
            <w:vAlign w:val="bottom"/>
          </w:tcPr>
          <w:p>
            <w:pPr>
              <w:jc w:val="right"/>
              <w:ind w:right="132"/>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2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U.S. agency mortgage-backed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178,003</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13.0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159,602</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43"/>
        </w:trPr>
        <w:tc>
          <w:tcPr>
            <w:tcW w:w="3920" w:type="dxa"/>
            <w:vAlign w:val="bottom"/>
            <w:gridSpan w:val="3"/>
          </w:tcPr>
          <w:p>
            <w:pPr>
              <w:ind w:left="40"/>
              <w:spacing w:after="0"/>
              <w:rPr>
                <w:sz w:val="20"/>
                <w:szCs w:val="20"/>
                <w:color w:val="auto"/>
              </w:rPr>
            </w:pPr>
            <w:r>
              <w:rPr>
                <w:rFonts w:ascii="Arial" w:cs="Arial" w:eastAsia="Arial" w:hAnsi="Arial"/>
                <w:sz w:val="18"/>
                <w:szCs w:val="18"/>
                <w:color w:val="auto"/>
              </w:rPr>
              <w:t>Municipal debt securities(1)</w:t>
            </w:r>
          </w:p>
        </w:tc>
        <w:tc>
          <w:tcPr>
            <w:tcW w:w="320" w:type="dxa"/>
            <w:vAlign w:val="bottom"/>
          </w:tcPr>
          <w:p>
            <w:pPr>
              <w:spacing w:after="0"/>
              <w:rPr>
                <w:sz w:val="21"/>
                <w:szCs w:val="21"/>
                <w:color w:val="auto"/>
              </w:rPr>
            </w:pPr>
          </w:p>
        </w:tc>
        <w:tc>
          <w:tcPr>
            <w:tcW w:w="1380" w:type="dxa"/>
            <w:vAlign w:val="bottom"/>
          </w:tcPr>
          <w:p>
            <w:pPr>
              <w:jc w:val="right"/>
              <w:ind w:right="33"/>
              <w:spacing w:after="0"/>
              <w:rPr>
                <w:sz w:val="20"/>
                <w:szCs w:val="20"/>
                <w:color w:val="auto"/>
              </w:rPr>
            </w:pPr>
            <w:r>
              <w:rPr>
                <w:rFonts w:ascii="Arial" w:cs="Arial" w:eastAsia="Arial" w:hAnsi="Arial"/>
                <w:sz w:val="18"/>
                <w:szCs w:val="18"/>
                <w:color w:val="auto"/>
              </w:rPr>
              <w:t>304,111</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80" w:type="dxa"/>
            <w:vAlign w:val="bottom"/>
          </w:tcPr>
          <w:p>
            <w:pPr>
              <w:jc w:val="right"/>
              <w:ind w:right="132"/>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279,828</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20" w:type="dxa"/>
            <w:vAlign w:val="bottom"/>
          </w:tcPr>
          <w:p>
            <w:pPr>
              <w:jc w:val="right"/>
              <w:ind w:right="132"/>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7"/>
        </w:trPr>
        <w:tc>
          <w:tcPr>
            <w:tcW w:w="2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Corporate debt securities(2)</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416,688</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30.4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396,732</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43"/>
        </w:trPr>
        <w:tc>
          <w:tcPr>
            <w:tcW w:w="3920" w:type="dxa"/>
            <w:vAlign w:val="bottom"/>
            <w:gridSpan w:val="3"/>
          </w:tcPr>
          <w:p>
            <w:pPr>
              <w:ind w:left="40"/>
              <w:spacing w:after="0"/>
              <w:rPr>
                <w:sz w:val="20"/>
                <w:szCs w:val="20"/>
                <w:color w:val="auto"/>
              </w:rPr>
            </w:pPr>
            <w:r>
              <w:rPr>
                <w:rFonts w:ascii="Arial" w:cs="Arial" w:eastAsia="Arial" w:hAnsi="Arial"/>
                <w:sz w:val="18"/>
                <w:szCs w:val="18"/>
                <w:color w:val="auto"/>
              </w:rPr>
              <w:t>Mortgage-backed securities</w:t>
            </w:r>
          </w:p>
        </w:tc>
        <w:tc>
          <w:tcPr>
            <w:tcW w:w="320" w:type="dxa"/>
            <w:vAlign w:val="bottom"/>
          </w:tcPr>
          <w:p>
            <w:pPr>
              <w:spacing w:after="0"/>
              <w:rPr>
                <w:sz w:val="21"/>
                <w:szCs w:val="21"/>
                <w:color w:val="auto"/>
              </w:rPr>
            </w:pPr>
          </w:p>
        </w:tc>
        <w:tc>
          <w:tcPr>
            <w:tcW w:w="1380" w:type="dxa"/>
            <w:vAlign w:val="bottom"/>
          </w:tcPr>
          <w:p>
            <w:pPr>
              <w:jc w:val="right"/>
              <w:ind w:right="33"/>
              <w:spacing w:after="0"/>
              <w:rPr>
                <w:sz w:val="20"/>
                <w:szCs w:val="20"/>
                <w:color w:val="auto"/>
              </w:rPr>
            </w:pPr>
            <w:r>
              <w:rPr>
                <w:rFonts w:ascii="Arial" w:cs="Arial" w:eastAsia="Arial" w:hAnsi="Arial"/>
                <w:sz w:val="18"/>
                <w:szCs w:val="18"/>
                <w:color w:val="auto"/>
              </w:rPr>
              <w:t>53,046</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80" w:type="dxa"/>
            <w:vAlign w:val="bottom"/>
          </w:tcPr>
          <w:p>
            <w:pPr>
              <w:jc w:val="right"/>
              <w:ind w:right="132"/>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55,356</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20" w:type="dxa"/>
            <w:vAlign w:val="bottom"/>
          </w:tcPr>
          <w:p>
            <w:pPr>
              <w:jc w:val="right"/>
              <w:ind w:right="132"/>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7"/>
        </w:trPr>
        <w:tc>
          <w:tcPr>
            <w:tcW w:w="2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Asset-backed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121,729</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126,629</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43"/>
        </w:trPr>
        <w:tc>
          <w:tcPr>
            <w:tcW w:w="3920" w:type="dxa"/>
            <w:vAlign w:val="bottom"/>
            <w:gridSpan w:val="3"/>
          </w:tcPr>
          <w:p>
            <w:pPr>
              <w:ind w:left="40"/>
              <w:spacing w:after="0"/>
              <w:rPr>
                <w:sz w:val="20"/>
                <w:szCs w:val="20"/>
                <w:color w:val="auto"/>
              </w:rPr>
            </w:pPr>
            <w:r>
              <w:rPr>
                <w:rFonts w:ascii="Arial" w:cs="Arial" w:eastAsia="Arial" w:hAnsi="Arial"/>
                <w:sz w:val="18"/>
                <w:szCs w:val="18"/>
                <w:color w:val="auto"/>
              </w:rPr>
              <w:t>Money market funds</w:t>
            </w:r>
          </w:p>
        </w:tc>
        <w:tc>
          <w:tcPr>
            <w:tcW w:w="320" w:type="dxa"/>
            <w:vAlign w:val="bottom"/>
          </w:tcPr>
          <w:p>
            <w:pPr>
              <w:spacing w:after="0"/>
              <w:rPr>
                <w:sz w:val="21"/>
                <w:szCs w:val="21"/>
                <w:color w:val="auto"/>
              </w:rPr>
            </w:pPr>
          </w:p>
        </w:tc>
        <w:tc>
          <w:tcPr>
            <w:tcW w:w="1380" w:type="dxa"/>
            <w:vAlign w:val="bottom"/>
          </w:tcPr>
          <w:p>
            <w:pPr>
              <w:jc w:val="right"/>
              <w:ind w:right="33"/>
              <w:spacing w:after="0"/>
              <w:rPr>
                <w:sz w:val="20"/>
                <w:szCs w:val="20"/>
                <w:color w:val="auto"/>
              </w:rPr>
            </w:pPr>
            <w:r>
              <w:rPr>
                <w:rFonts w:ascii="Arial" w:cs="Arial" w:eastAsia="Arial" w:hAnsi="Arial"/>
                <w:sz w:val="18"/>
                <w:szCs w:val="18"/>
                <w:color w:val="auto"/>
              </w:rPr>
              <w:t>68,488</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80" w:type="dxa"/>
            <w:vAlign w:val="bottom"/>
          </w:tcPr>
          <w:p>
            <w:pPr>
              <w:jc w:val="right"/>
              <w:ind w:right="132"/>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67,098</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20" w:type="dxa"/>
            <w:vAlign w:val="bottom"/>
          </w:tcPr>
          <w:p>
            <w:pPr>
              <w:jc w:val="right"/>
              <w:ind w:right="132"/>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7"/>
        </w:trPr>
        <w:tc>
          <w:tcPr>
            <w:tcW w:w="224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9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Total Investments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3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1,368,502</w:t>
            </w: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1,276,634</w:t>
            </w:r>
          </w:p>
        </w:tc>
        <w:tc>
          <w:tcPr>
            <w:tcW w:w="1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100.0%</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2240" w:type="dxa"/>
            <w:vAlign w:val="bottom"/>
            <w:tcBorders>
              <w:bottom w:val="single" w:sz="8" w:color="auto"/>
            </w:tcBorders>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100" w:type="dxa"/>
            <w:vAlign w:val="bottom"/>
            <w:gridSpan w:val="3"/>
            <w:vMerge w:val="restart"/>
          </w:tcPr>
          <w:p>
            <w:pPr>
              <w:jc w:val="right"/>
              <w:ind w:right="540"/>
              <w:spacing w:after="0"/>
              <w:rPr>
                <w:sz w:val="20"/>
                <w:szCs w:val="20"/>
                <w:color w:val="auto"/>
              </w:rPr>
            </w:pPr>
            <w:r>
              <w:rPr>
                <w:rFonts w:ascii="Arial" w:cs="Arial" w:eastAsia="Arial" w:hAnsi="Arial"/>
                <w:sz w:val="18"/>
                <w:szCs w:val="18"/>
                <w:color w:val="auto"/>
              </w:rPr>
              <w:t>31</w:t>
            </w: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3"/>
        </w:trPr>
        <w:tc>
          <w:tcPr>
            <w:tcW w:w="22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100" w:type="dxa"/>
            <w:vAlign w:val="bottom"/>
            <w:gridSpan w:val="3"/>
            <w:vMerge w:val="continue"/>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2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5"/>
              </w:rPr>
              <w:t>March 31,</w:t>
            </w:r>
          </w:p>
        </w:tc>
        <w:tc>
          <w:tcPr>
            <w:tcW w:w="14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276"/>
        </w:trPr>
        <w:tc>
          <w:tcPr>
            <w:tcW w:w="220" w:type="dxa"/>
            <w:vAlign w:val="bottom"/>
          </w:tcPr>
          <w:p>
            <w:pPr>
              <w:spacing w:after="0"/>
              <w:rPr>
                <w:sz w:val="24"/>
                <w:szCs w:val="24"/>
                <w:color w:val="auto"/>
              </w:rPr>
            </w:pPr>
          </w:p>
        </w:tc>
        <w:tc>
          <w:tcPr>
            <w:tcW w:w="422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2"/>
              </w:rPr>
              <w:t>(1) The following table summarizes municipal debt securities as of :</w:t>
            </w:r>
          </w:p>
        </w:tc>
        <w:tc>
          <w:tcPr>
            <w:tcW w:w="1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960" w:type="dxa"/>
            <w:vAlign w:val="bottom"/>
            <w:tcBorders>
              <w:bottom w:val="single" w:sz="8" w:color="auto"/>
            </w:tcBorders>
          </w:tcPr>
          <w:p>
            <w:pPr>
              <w:jc w:val="center"/>
              <w:ind w:left="221"/>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2015</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20" w:type="dxa"/>
            <w:vAlign w:val="bottom"/>
          </w:tcPr>
          <w:p>
            <w:pPr>
              <w:spacing w:after="0"/>
              <w:rPr>
                <w:sz w:val="21"/>
                <w:szCs w:val="21"/>
                <w:color w:val="auto"/>
              </w:rPr>
            </w:pPr>
          </w:p>
        </w:tc>
        <w:tc>
          <w:tcPr>
            <w:tcW w:w="3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Special revenue bonds</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67.8%</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70.4%</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20" w:type="dxa"/>
            <w:vAlign w:val="bottom"/>
          </w:tcPr>
          <w:p>
            <w:pPr>
              <w:spacing w:after="0"/>
              <w:rPr>
                <w:sz w:val="21"/>
                <w:szCs w:val="21"/>
                <w:color w:val="auto"/>
              </w:rPr>
            </w:pPr>
          </w:p>
        </w:tc>
        <w:tc>
          <w:tcPr>
            <w:tcW w:w="3820" w:type="dxa"/>
            <w:vAlign w:val="bottom"/>
            <w:gridSpan w:val="2"/>
          </w:tcPr>
          <w:p>
            <w:pPr>
              <w:ind w:left="20"/>
              <w:spacing w:after="0"/>
              <w:rPr>
                <w:sz w:val="20"/>
                <w:szCs w:val="20"/>
                <w:color w:val="auto"/>
              </w:rPr>
            </w:pPr>
            <w:r>
              <w:rPr>
                <w:rFonts w:ascii="Arial" w:cs="Arial" w:eastAsia="Arial" w:hAnsi="Arial"/>
                <w:sz w:val="18"/>
                <w:szCs w:val="18"/>
                <w:color w:val="auto"/>
              </w:rPr>
              <w:t>General obligation bonds</w:t>
            </w:r>
          </w:p>
        </w:tc>
        <w:tc>
          <w:tcPr>
            <w:tcW w:w="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700" w:type="dxa"/>
            <w:vAlign w:val="bottom"/>
            <w:gridSpan w:val="5"/>
          </w:tcPr>
          <w:p>
            <w:pPr>
              <w:jc w:val="right"/>
              <w:ind w:right="200"/>
              <w:spacing w:after="0"/>
              <w:rPr>
                <w:sz w:val="20"/>
                <w:szCs w:val="20"/>
                <w:color w:val="auto"/>
              </w:rPr>
            </w:pPr>
            <w:r>
              <w:rPr>
                <w:rFonts w:ascii="Arial" w:cs="Arial" w:eastAsia="Arial" w:hAnsi="Arial"/>
                <w:sz w:val="18"/>
                <w:szCs w:val="18"/>
                <w:color w:val="auto"/>
              </w:rPr>
              <w:t>27.5</w:t>
            </w:r>
          </w:p>
        </w:tc>
        <w:tc>
          <w:tcPr>
            <w:tcW w:w="100" w:type="dxa"/>
            <w:vAlign w:val="bottom"/>
          </w:tcPr>
          <w:p>
            <w:pPr>
              <w:spacing w:after="0"/>
              <w:rPr>
                <w:sz w:val="21"/>
                <w:szCs w:val="21"/>
                <w:color w:val="auto"/>
              </w:rPr>
            </w:pPr>
          </w:p>
        </w:tc>
        <w:tc>
          <w:tcPr>
            <w:tcW w:w="1300" w:type="dxa"/>
            <w:vAlign w:val="bottom"/>
          </w:tcPr>
          <w:p>
            <w:pPr>
              <w:jc w:val="right"/>
              <w:ind w:right="113"/>
              <w:spacing w:after="0"/>
              <w:rPr>
                <w:sz w:val="20"/>
                <w:szCs w:val="20"/>
                <w:color w:val="auto"/>
              </w:rPr>
            </w:pPr>
            <w:r>
              <w:rPr>
                <w:rFonts w:ascii="Arial" w:cs="Arial" w:eastAsia="Arial" w:hAnsi="Arial"/>
                <w:sz w:val="18"/>
                <w:szCs w:val="18"/>
                <w:color w:val="auto"/>
              </w:rPr>
              <w:t>24.5</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3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0" w:type="dxa"/>
            <w:vAlign w:val="bottom"/>
          </w:tcPr>
          <w:p>
            <w:pPr>
              <w:spacing w:after="0"/>
              <w:rPr>
                <w:sz w:val="21"/>
                <w:szCs w:val="21"/>
                <w:color w:val="auto"/>
              </w:rPr>
            </w:pPr>
          </w:p>
        </w:tc>
        <w:tc>
          <w:tcPr>
            <w:tcW w:w="3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Certificate of participation bonds</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5"/>
            <w:shd w:val="clear" w:color="auto" w:fill="CCEEFF"/>
          </w:tcPr>
          <w:p>
            <w:pPr>
              <w:jc w:val="right"/>
              <w:ind w:right="200"/>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4.0</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20" w:type="dxa"/>
            <w:vAlign w:val="bottom"/>
          </w:tcPr>
          <w:p>
            <w:pPr>
              <w:spacing w:after="0"/>
              <w:rPr>
                <w:sz w:val="21"/>
                <w:szCs w:val="21"/>
                <w:color w:val="auto"/>
              </w:rPr>
            </w:pPr>
          </w:p>
        </w:tc>
        <w:tc>
          <w:tcPr>
            <w:tcW w:w="3820" w:type="dxa"/>
            <w:vAlign w:val="bottom"/>
            <w:gridSpan w:val="2"/>
          </w:tcPr>
          <w:p>
            <w:pPr>
              <w:ind w:left="20"/>
              <w:spacing w:after="0"/>
              <w:rPr>
                <w:sz w:val="20"/>
                <w:szCs w:val="20"/>
                <w:color w:val="auto"/>
              </w:rPr>
            </w:pPr>
            <w:r>
              <w:rPr>
                <w:rFonts w:ascii="Arial" w:cs="Arial" w:eastAsia="Arial" w:hAnsi="Arial"/>
                <w:sz w:val="18"/>
                <w:szCs w:val="18"/>
                <w:color w:val="auto"/>
              </w:rPr>
              <w:t>Tax allocation bonds</w:t>
            </w:r>
          </w:p>
        </w:tc>
        <w:tc>
          <w:tcPr>
            <w:tcW w:w="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700" w:type="dxa"/>
            <w:vAlign w:val="bottom"/>
            <w:gridSpan w:val="5"/>
          </w:tcPr>
          <w:p>
            <w:pPr>
              <w:jc w:val="right"/>
              <w:ind w:right="20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300" w:type="dxa"/>
            <w:vAlign w:val="bottom"/>
          </w:tcPr>
          <w:p>
            <w:pPr>
              <w:jc w:val="right"/>
              <w:ind w:right="113"/>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37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20" w:type="dxa"/>
            <w:vAlign w:val="bottom"/>
          </w:tcPr>
          <w:p>
            <w:pPr>
              <w:spacing w:after="0"/>
              <w:rPr>
                <w:sz w:val="22"/>
                <w:szCs w:val="22"/>
                <w:color w:val="auto"/>
              </w:rPr>
            </w:pPr>
          </w:p>
        </w:tc>
        <w:tc>
          <w:tcPr>
            <w:tcW w:w="38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4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gridSpan w:val="2"/>
            <w:shd w:val="clear" w:color="auto" w:fill="CCEEFF"/>
          </w:tcPr>
          <w:p>
            <w:pPr>
              <w:spacing w:after="0"/>
              <w:rPr>
                <w:sz w:val="22"/>
                <w:szCs w:val="22"/>
                <w:color w:val="auto"/>
              </w:rPr>
            </w:pPr>
          </w:p>
        </w:tc>
        <w:tc>
          <w:tcPr>
            <w:tcW w:w="1280" w:type="dxa"/>
            <w:vAlign w:val="bottom"/>
            <w:tcBorders>
              <w:bottom w:val="single" w:sz="8" w:color="auto"/>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2"/>
        </w:trPr>
        <w:tc>
          <w:tcPr>
            <w:tcW w:w="2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5"/>
              </w:rPr>
              <w:t>March 31,</w:t>
            </w:r>
          </w:p>
        </w:tc>
        <w:tc>
          <w:tcPr>
            <w:tcW w:w="14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276"/>
        </w:trPr>
        <w:tc>
          <w:tcPr>
            <w:tcW w:w="220" w:type="dxa"/>
            <w:vAlign w:val="bottom"/>
          </w:tcPr>
          <w:p>
            <w:pPr>
              <w:spacing w:after="0"/>
              <w:rPr>
                <w:sz w:val="24"/>
                <w:szCs w:val="24"/>
                <w:color w:val="auto"/>
              </w:rPr>
            </w:pPr>
          </w:p>
        </w:tc>
        <w:tc>
          <w:tcPr>
            <w:tcW w:w="422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3"/>
              </w:rPr>
              <w:t>(2) The following table summarizes corporate debt securities as of :</w:t>
            </w:r>
          </w:p>
        </w:tc>
        <w:tc>
          <w:tcPr>
            <w:tcW w:w="1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960" w:type="dxa"/>
            <w:vAlign w:val="bottom"/>
            <w:tcBorders>
              <w:bottom w:val="single" w:sz="8" w:color="auto"/>
            </w:tcBorders>
          </w:tcPr>
          <w:p>
            <w:pPr>
              <w:jc w:val="center"/>
              <w:ind w:left="221"/>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2015</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20" w:type="dxa"/>
            <w:vAlign w:val="bottom"/>
          </w:tcPr>
          <w:p>
            <w:pPr>
              <w:spacing w:after="0"/>
              <w:rPr>
                <w:sz w:val="21"/>
                <w:szCs w:val="21"/>
                <w:color w:val="auto"/>
              </w:rPr>
            </w:pPr>
          </w:p>
        </w:tc>
        <w:tc>
          <w:tcPr>
            <w:tcW w:w="3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Financial</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42.2%</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20" w:type="dxa"/>
            <w:vAlign w:val="bottom"/>
          </w:tcPr>
          <w:p>
            <w:pPr>
              <w:spacing w:after="0"/>
              <w:rPr>
                <w:sz w:val="21"/>
                <w:szCs w:val="21"/>
                <w:color w:val="auto"/>
              </w:rPr>
            </w:pPr>
          </w:p>
        </w:tc>
        <w:tc>
          <w:tcPr>
            <w:tcW w:w="3820" w:type="dxa"/>
            <w:vAlign w:val="bottom"/>
            <w:gridSpan w:val="2"/>
          </w:tcPr>
          <w:p>
            <w:pPr>
              <w:ind w:left="20"/>
              <w:spacing w:after="0"/>
              <w:rPr>
                <w:sz w:val="20"/>
                <w:szCs w:val="20"/>
                <w:color w:val="auto"/>
              </w:rPr>
            </w:pPr>
            <w:r>
              <w:rPr>
                <w:rFonts w:ascii="Arial" w:cs="Arial" w:eastAsia="Arial" w:hAnsi="Arial"/>
                <w:sz w:val="18"/>
                <w:szCs w:val="18"/>
                <w:color w:val="auto"/>
              </w:rPr>
              <w:t>Consumer, non-cyclical</w:t>
            </w:r>
          </w:p>
        </w:tc>
        <w:tc>
          <w:tcPr>
            <w:tcW w:w="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700" w:type="dxa"/>
            <w:vAlign w:val="bottom"/>
            <w:gridSpan w:val="5"/>
          </w:tcPr>
          <w:p>
            <w:pPr>
              <w:jc w:val="right"/>
              <w:ind w:right="200"/>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21"/>
                <w:szCs w:val="21"/>
                <w:color w:val="auto"/>
              </w:rPr>
            </w:pPr>
          </w:p>
        </w:tc>
        <w:tc>
          <w:tcPr>
            <w:tcW w:w="1300" w:type="dxa"/>
            <w:vAlign w:val="bottom"/>
          </w:tcPr>
          <w:p>
            <w:pPr>
              <w:jc w:val="right"/>
              <w:ind w:right="113"/>
              <w:spacing w:after="0"/>
              <w:rPr>
                <w:sz w:val="20"/>
                <w:szCs w:val="20"/>
                <w:color w:val="auto"/>
              </w:rPr>
            </w:pPr>
            <w:r>
              <w:rPr>
                <w:rFonts w:ascii="Arial" w:cs="Arial" w:eastAsia="Arial" w:hAnsi="Arial"/>
                <w:sz w:val="18"/>
                <w:szCs w:val="18"/>
                <w:color w:val="auto"/>
              </w:rPr>
              <w:t>14.8</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3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0" w:type="dxa"/>
            <w:vAlign w:val="bottom"/>
          </w:tcPr>
          <w:p>
            <w:pPr>
              <w:spacing w:after="0"/>
              <w:rPr>
                <w:sz w:val="21"/>
                <w:szCs w:val="21"/>
                <w:color w:val="auto"/>
              </w:rPr>
            </w:pPr>
          </w:p>
        </w:tc>
        <w:tc>
          <w:tcPr>
            <w:tcW w:w="3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Energy</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5"/>
            <w:shd w:val="clear" w:color="auto" w:fill="CCEEFF"/>
          </w:tcPr>
          <w:p>
            <w:pPr>
              <w:jc w:val="right"/>
              <w:ind w:right="200"/>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9.0</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20" w:type="dxa"/>
            <w:vAlign w:val="bottom"/>
          </w:tcPr>
          <w:p>
            <w:pPr>
              <w:spacing w:after="0"/>
              <w:rPr>
                <w:sz w:val="21"/>
                <w:szCs w:val="21"/>
                <w:color w:val="auto"/>
              </w:rPr>
            </w:pPr>
          </w:p>
        </w:tc>
        <w:tc>
          <w:tcPr>
            <w:tcW w:w="3820" w:type="dxa"/>
            <w:vAlign w:val="bottom"/>
            <w:gridSpan w:val="2"/>
          </w:tcPr>
          <w:p>
            <w:pPr>
              <w:ind w:left="20"/>
              <w:spacing w:after="0"/>
              <w:rPr>
                <w:sz w:val="20"/>
                <w:szCs w:val="20"/>
                <w:color w:val="auto"/>
              </w:rPr>
            </w:pPr>
            <w:r>
              <w:rPr>
                <w:rFonts w:ascii="Arial" w:cs="Arial" w:eastAsia="Arial" w:hAnsi="Arial"/>
                <w:sz w:val="18"/>
                <w:szCs w:val="18"/>
                <w:color w:val="auto"/>
              </w:rPr>
              <w:t>Communications</w:t>
            </w:r>
          </w:p>
        </w:tc>
        <w:tc>
          <w:tcPr>
            <w:tcW w:w="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700" w:type="dxa"/>
            <w:vAlign w:val="bottom"/>
            <w:gridSpan w:val="5"/>
          </w:tcPr>
          <w:p>
            <w:pPr>
              <w:jc w:val="right"/>
              <w:ind w:right="200"/>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1"/>
                <w:szCs w:val="21"/>
                <w:color w:val="auto"/>
              </w:rPr>
            </w:pPr>
          </w:p>
        </w:tc>
        <w:tc>
          <w:tcPr>
            <w:tcW w:w="1300" w:type="dxa"/>
            <w:vAlign w:val="bottom"/>
          </w:tcPr>
          <w:p>
            <w:pPr>
              <w:jc w:val="right"/>
              <w:ind w:right="113"/>
              <w:spacing w:after="0"/>
              <w:rPr>
                <w:sz w:val="20"/>
                <w:szCs w:val="20"/>
                <w:color w:val="auto"/>
              </w:rPr>
            </w:pPr>
            <w:r>
              <w:rPr>
                <w:rFonts w:ascii="Arial" w:cs="Arial" w:eastAsia="Arial" w:hAnsi="Arial"/>
                <w:sz w:val="18"/>
                <w:szCs w:val="18"/>
                <w:color w:val="auto"/>
              </w:rPr>
              <w:t>7.1</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3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0" w:type="dxa"/>
            <w:vAlign w:val="bottom"/>
          </w:tcPr>
          <w:p>
            <w:pPr>
              <w:spacing w:after="0"/>
              <w:rPr>
                <w:sz w:val="21"/>
                <w:szCs w:val="21"/>
                <w:color w:val="auto"/>
              </w:rPr>
            </w:pPr>
          </w:p>
        </w:tc>
        <w:tc>
          <w:tcPr>
            <w:tcW w:w="3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Industrial</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5"/>
            <w:shd w:val="clear" w:color="auto" w:fill="CCEEFF"/>
          </w:tcPr>
          <w:p>
            <w:pPr>
              <w:jc w:val="right"/>
              <w:ind w:right="200"/>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5.2</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20" w:type="dxa"/>
            <w:vAlign w:val="bottom"/>
          </w:tcPr>
          <w:p>
            <w:pPr>
              <w:spacing w:after="0"/>
              <w:rPr>
                <w:sz w:val="21"/>
                <w:szCs w:val="21"/>
                <w:color w:val="auto"/>
              </w:rPr>
            </w:pPr>
          </w:p>
        </w:tc>
        <w:tc>
          <w:tcPr>
            <w:tcW w:w="3820" w:type="dxa"/>
            <w:vAlign w:val="bottom"/>
            <w:gridSpan w:val="2"/>
          </w:tcPr>
          <w:p>
            <w:pPr>
              <w:ind w:left="20"/>
              <w:spacing w:after="0"/>
              <w:rPr>
                <w:sz w:val="20"/>
                <w:szCs w:val="20"/>
                <w:color w:val="auto"/>
              </w:rPr>
            </w:pPr>
            <w:r>
              <w:rPr>
                <w:rFonts w:ascii="Arial" w:cs="Arial" w:eastAsia="Arial" w:hAnsi="Arial"/>
                <w:sz w:val="18"/>
                <w:szCs w:val="18"/>
                <w:color w:val="auto"/>
              </w:rPr>
              <w:t>Consumer, cyclical</w:t>
            </w:r>
          </w:p>
        </w:tc>
        <w:tc>
          <w:tcPr>
            <w:tcW w:w="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700" w:type="dxa"/>
            <w:vAlign w:val="bottom"/>
            <w:gridSpan w:val="5"/>
          </w:tcPr>
          <w:p>
            <w:pPr>
              <w:jc w:val="right"/>
              <w:ind w:right="200"/>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1300" w:type="dxa"/>
            <w:vAlign w:val="bottom"/>
          </w:tcPr>
          <w:p>
            <w:pPr>
              <w:jc w:val="right"/>
              <w:ind w:right="113"/>
              <w:spacing w:after="0"/>
              <w:rPr>
                <w:sz w:val="20"/>
                <w:szCs w:val="20"/>
                <w:color w:val="auto"/>
              </w:rPr>
            </w:pPr>
            <w:r>
              <w:rPr>
                <w:rFonts w:ascii="Arial" w:cs="Arial" w:eastAsia="Arial" w:hAnsi="Arial"/>
                <w:sz w:val="18"/>
                <w:szCs w:val="18"/>
                <w:color w:val="auto"/>
              </w:rPr>
              <w:t>6.2</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3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0" w:type="dxa"/>
            <w:vAlign w:val="bottom"/>
          </w:tcPr>
          <w:p>
            <w:pPr>
              <w:spacing w:after="0"/>
              <w:rPr>
                <w:sz w:val="21"/>
                <w:szCs w:val="21"/>
                <w:color w:val="auto"/>
              </w:rPr>
            </w:pPr>
          </w:p>
        </w:tc>
        <w:tc>
          <w:tcPr>
            <w:tcW w:w="3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Utilities</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5"/>
            <w:shd w:val="clear" w:color="auto" w:fill="CCEEFF"/>
          </w:tcPr>
          <w:p>
            <w:pPr>
              <w:jc w:val="right"/>
              <w:ind w:right="200"/>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5.0</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20" w:type="dxa"/>
            <w:vAlign w:val="bottom"/>
          </w:tcPr>
          <w:p>
            <w:pPr>
              <w:spacing w:after="0"/>
              <w:rPr>
                <w:sz w:val="21"/>
                <w:szCs w:val="21"/>
                <w:color w:val="auto"/>
              </w:rPr>
            </w:pPr>
          </w:p>
        </w:tc>
        <w:tc>
          <w:tcPr>
            <w:tcW w:w="3820" w:type="dxa"/>
            <w:vAlign w:val="bottom"/>
            <w:gridSpan w:val="2"/>
          </w:tcPr>
          <w:p>
            <w:pPr>
              <w:ind w:left="20"/>
              <w:spacing w:after="0"/>
              <w:rPr>
                <w:sz w:val="20"/>
                <w:szCs w:val="20"/>
                <w:color w:val="auto"/>
              </w:rPr>
            </w:pPr>
            <w:r>
              <w:rPr>
                <w:rFonts w:ascii="Arial" w:cs="Arial" w:eastAsia="Arial" w:hAnsi="Arial"/>
                <w:sz w:val="18"/>
                <w:szCs w:val="18"/>
                <w:color w:val="auto"/>
              </w:rPr>
              <w:t>Basic materials</w:t>
            </w:r>
          </w:p>
        </w:tc>
        <w:tc>
          <w:tcPr>
            <w:tcW w:w="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700" w:type="dxa"/>
            <w:vAlign w:val="bottom"/>
            <w:gridSpan w:val="5"/>
          </w:tcPr>
          <w:p>
            <w:pPr>
              <w:jc w:val="right"/>
              <w:ind w:right="200"/>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1300" w:type="dxa"/>
            <w:vAlign w:val="bottom"/>
          </w:tcPr>
          <w:p>
            <w:pPr>
              <w:jc w:val="right"/>
              <w:ind w:right="113"/>
              <w:spacing w:after="0"/>
              <w:rPr>
                <w:sz w:val="20"/>
                <w:szCs w:val="20"/>
                <w:color w:val="auto"/>
              </w:rPr>
            </w:pPr>
            <w:r>
              <w:rPr>
                <w:rFonts w:ascii="Arial" w:cs="Arial" w:eastAsia="Arial" w:hAnsi="Arial"/>
                <w:sz w:val="18"/>
                <w:szCs w:val="18"/>
                <w:color w:val="auto"/>
              </w:rPr>
              <w:t>4.0</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3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20" w:type="dxa"/>
            <w:vAlign w:val="bottom"/>
          </w:tcPr>
          <w:p>
            <w:pPr>
              <w:spacing w:after="0"/>
              <w:rPr>
                <w:sz w:val="23"/>
                <w:szCs w:val="23"/>
                <w:color w:val="auto"/>
              </w:rPr>
            </w:pPr>
          </w:p>
        </w:tc>
        <w:tc>
          <w:tcPr>
            <w:tcW w:w="3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Technology</w:t>
            </w:r>
          </w:p>
        </w:tc>
        <w:tc>
          <w:tcPr>
            <w:tcW w:w="4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gridSpan w:val="2"/>
            <w:shd w:val="clear" w:color="auto" w:fill="CCEEFF"/>
          </w:tcPr>
          <w:p>
            <w:pPr>
              <w:spacing w:after="0"/>
              <w:rPr>
                <w:sz w:val="23"/>
                <w:szCs w:val="23"/>
                <w:color w:val="auto"/>
              </w:rPr>
            </w:pPr>
          </w:p>
        </w:tc>
        <w:tc>
          <w:tcPr>
            <w:tcW w:w="128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3.8</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220" w:type="dxa"/>
            <w:vAlign w:val="bottom"/>
          </w:tcPr>
          <w:p>
            <w:pPr>
              <w:spacing w:after="0"/>
              <w:rPr>
                <w:sz w:val="22"/>
                <w:szCs w:val="22"/>
                <w:color w:val="auto"/>
              </w:rPr>
            </w:pPr>
          </w:p>
        </w:tc>
        <w:tc>
          <w:tcPr>
            <w:tcW w:w="3820" w:type="dxa"/>
            <w:vAlign w:val="bottom"/>
            <w:gridSpan w:val="2"/>
          </w:tcPr>
          <w:p>
            <w:pPr>
              <w:ind w:left="140"/>
              <w:spacing w:after="0"/>
              <w:rPr>
                <w:sz w:val="20"/>
                <w:szCs w:val="20"/>
                <w:color w:val="auto"/>
              </w:rPr>
            </w:pPr>
            <w:r>
              <w:rPr>
                <w:rFonts w:ascii="Arial" w:cs="Arial" w:eastAsia="Arial" w:hAnsi="Arial"/>
                <w:sz w:val="18"/>
                <w:szCs w:val="18"/>
                <w:color w:val="auto"/>
              </w:rPr>
              <w:t>Total</w:t>
            </w:r>
          </w:p>
        </w:tc>
        <w:tc>
          <w:tcPr>
            <w:tcW w:w="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20" w:type="dxa"/>
            <w:vAlign w:val="bottom"/>
            <w:gridSpan w:val="2"/>
          </w:tcPr>
          <w:p>
            <w:pPr>
              <w:spacing w:after="0"/>
              <w:rPr>
                <w:sz w:val="22"/>
                <w:szCs w:val="22"/>
                <w:color w:val="auto"/>
              </w:rPr>
            </w:pPr>
          </w:p>
        </w:tc>
        <w:tc>
          <w:tcPr>
            <w:tcW w:w="1280" w:type="dxa"/>
            <w:vAlign w:val="bottom"/>
            <w:tcBorders>
              <w:top w:val="single" w:sz="8" w:color="auto"/>
              <w:bottom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2"/>
                <w:szCs w:val="22"/>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380" w:type="dxa"/>
            <w:vAlign w:val="bottom"/>
            <w:gridSpan w:val="5"/>
            <w:vMerge w:val="restart"/>
          </w:tcPr>
          <w:p>
            <w:pPr>
              <w:ind w:left="80"/>
              <w:spacing w:after="0"/>
              <w:rPr>
                <w:sz w:val="20"/>
                <w:szCs w:val="20"/>
                <w:color w:val="auto"/>
              </w:rPr>
            </w:pPr>
            <w:r>
              <w:rPr>
                <w:rFonts w:ascii="Arial" w:cs="Arial" w:eastAsia="Arial" w:hAnsi="Arial"/>
                <w:sz w:val="18"/>
                <w:szCs w:val="18"/>
                <w:b w:val="1"/>
                <w:bCs w:val="1"/>
                <w:color w:val="auto"/>
              </w:rPr>
              <w:t>Investment Portfolio by Rating</w:t>
            </w: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2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380" w:type="dxa"/>
            <w:vAlign w:val="bottom"/>
            <w:gridSpan w:val="5"/>
            <w:vMerge w:val="continue"/>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5"/>
        </w:trPr>
        <w:tc>
          <w:tcPr>
            <w:tcW w:w="4040" w:type="dxa"/>
            <w:vAlign w:val="bottom"/>
            <w:gridSpan w:val="3"/>
          </w:tcPr>
          <w:p>
            <w:pPr>
              <w:ind w:left="40"/>
              <w:spacing w:after="0"/>
              <w:rPr>
                <w:sz w:val="20"/>
                <w:szCs w:val="20"/>
                <w:color w:val="auto"/>
              </w:rPr>
            </w:pPr>
            <w:r>
              <w:rPr>
                <w:rFonts w:ascii="Arial" w:cs="Arial" w:eastAsia="Arial" w:hAnsi="Arial"/>
                <w:sz w:val="14"/>
                <w:szCs w:val="14"/>
                <w:b w:val="1"/>
                <w:bCs w:val="1"/>
                <w:color w:val="auto"/>
              </w:rPr>
              <w:t>Rating(1)</w:t>
            </w:r>
          </w:p>
        </w:tc>
        <w:tc>
          <w:tcPr>
            <w:tcW w:w="40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3"/>
          </w:tcPr>
          <w:p>
            <w:pPr>
              <w:ind w:left="980"/>
              <w:spacing w:after="0"/>
              <w:rPr>
                <w:sz w:val="20"/>
                <w:szCs w:val="20"/>
                <w:color w:val="auto"/>
              </w:rPr>
            </w:pPr>
            <w:r>
              <w:rPr>
                <w:rFonts w:ascii="Arial" w:cs="Arial" w:eastAsia="Arial" w:hAnsi="Arial"/>
                <w:sz w:val="14"/>
                <w:szCs w:val="14"/>
                <w:b w:val="1"/>
                <w:bCs w:val="1"/>
                <w:color w:val="auto"/>
              </w:rPr>
              <w:t>March 31, 2016</w:t>
            </w:r>
          </w:p>
        </w:tc>
        <w:tc>
          <w:tcPr>
            <w:tcW w:w="12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6"/>
          </w:tcPr>
          <w:p>
            <w:pPr>
              <w:jc w:val="right"/>
              <w:ind w:right="1200"/>
              <w:spacing w:after="0"/>
              <w:rPr>
                <w:sz w:val="20"/>
                <w:szCs w:val="20"/>
                <w:color w:val="auto"/>
              </w:rPr>
            </w:pPr>
            <w:r>
              <w:rPr>
                <w:rFonts w:ascii="Arial" w:cs="Arial" w:eastAsia="Arial" w:hAnsi="Arial"/>
                <w:sz w:val="14"/>
                <w:szCs w:val="14"/>
                <w:b w:val="1"/>
                <w:bCs w:val="1"/>
                <w:color w:val="auto"/>
              </w:rPr>
              <w:t>December 31, 2015</w:t>
            </w:r>
          </w:p>
        </w:tc>
        <w:tc>
          <w:tcPr>
            <w:tcW w:w="0" w:type="dxa"/>
            <w:vAlign w:val="bottom"/>
          </w:tcPr>
          <w:p>
            <w:pPr>
              <w:spacing w:after="0"/>
              <w:rPr>
                <w:sz w:val="1"/>
                <w:szCs w:val="1"/>
                <w:color w:val="auto"/>
              </w:rPr>
            </w:pPr>
          </w:p>
        </w:tc>
      </w:tr>
      <w:tr>
        <w:trPr>
          <w:trHeight w:val="264"/>
        </w:trPr>
        <w:tc>
          <w:tcPr>
            <w:tcW w:w="39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 in thousands)</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Fair Value</w:t>
            </w:r>
          </w:p>
        </w:tc>
        <w:tc>
          <w:tcPr>
            <w:tcW w:w="100" w:type="dxa"/>
            <w:vAlign w:val="bottom"/>
            <w:tcBorders>
              <w:bottom w:val="single" w:sz="8" w:color="CCEEFF"/>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631"/>
              <w:spacing w:after="0"/>
              <w:rPr>
                <w:sz w:val="20"/>
                <w:szCs w:val="20"/>
                <w:color w:val="auto"/>
              </w:rPr>
            </w:pPr>
            <w:r>
              <w:rPr>
                <w:rFonts w:ascii="Arial" w:cs="Arial" w:eastAsia="Arial" w:hAnsi="Arial"/>
                <w:sz w:val="14"/>
                <w:szCs w:val="14"/>
                <w:b w:val="1"/>
                <w:bCs w:val="1"/>
                <w:color w:val="auto"/>
              </w:rPr>
              <w:t>Percent</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3"/>
          </w:tcPr>
          <w:p>
            <w:pPr>
              <w:jc w:val="right"/>
              <w:ind w:right="441"/>
              <w:spacing w:after="0"/>
              <w:rPr>
                <w:sz w:val="20"/>
                <w:szCs w:val="20"/>
                <w:color w:val="auto"/>
              </w:rPr>
            </w:pPr>
            <w:r>
              <w:rPr>
                <w:rFonts w:ascii="Arial" w:cs="Arial" w:eastAsia="Arial" w:hAnsi="Arial"/>
                <w:sz w:val="14"/>
                <w:szCs w:val="14"/>
                <w:b w:val="1"/>
                <w:bCs w:val="1"/>
                <w:color w:val="auto"/>
              </w:rPr>
              <w:t>Fair Value</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gridSpan w:val="2"/>
          </w:tcPr>
          <w:p>
            <w:pPr>
              <w:spacing w:after="0"/>
              <w:rPr>
                <w:sz w:val="22"/>
                <w:szCs w:val="22"/>
                <w:color w:val="auto"/>
              </w:rPr>
            </w:pPr>
          </w:p>
        </w:tc>
        <w:tc>
          <w:tcPr>
            <w:tcW w:w="1480" w:type="dxa"/>
            <w:vAlign w:val="bottom"/>
            <w:tcBorders>
              <w:bottom w:val="single" w:sz="8" w:color="auto"/>
            </w:tcBorders>
            <w:gridSpan w:val="2"/>
          </w:tcPr>
          <w:p>
            <w:pPr>
              <w:jc w:val="right"/>
              <w:ind w:right="66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50"/>
        </w:trPr>
        <w:tc>
          <w:tcPr>
            <w:tcW w:w="40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Aaa</w:t>
            </w: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615,547</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gridSpan w:val="3"/>
            <w:shd w:val="clear" w:color="auto" w:fill="CCEEFF"/>
          </w:tcPr>
          <w:p>
            <w:pPr>
              <w:jc w:val="right"/>
              <w:ind w:right="41"/>
              <w:spacing w:after="0"/>
              <w:rPr>
                <w:sz w:val="20"/>
                <w:szCs w:val="20"/>
                <w:color w:val="auto"/>
              </w:rPr>
            </w:pPr>
            <w:r>
              <w:rPr>
                <w:rFonts w:ascii="Arial" w:cs="Arial" w:eastAsia="Arial" w:hAnsi="Arial"/>
                <w:sz w:val="18"/>
                <w:szCs w:val="18"/>
                <w:color w:val="auto"/>
              </w:rPr>
              <w:t>554,789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43"/>
        </w:trPr>
        <w:tc>
          <w:tcPr>
            <w:tcW w:w="4040" w:type="dxa"/>
            <w:vAlign w:val="bottom"/>
            <w:gridSpan w:val="3"/>
          </w:tcPr>
          <w:p>
            <w:pPr>
              <w:ind w:left="40"/>
              <w:spacing w:after="0"/>
              <w:rPr>
                <w:sz w:val="20"/>
                <w:szCs w:val="20"/>
                <w:color w:val="auto"/>
              </w:rPr>
            </w:pPr>
            <w:r>
              <w:rPr>
                <w:rFonts w:ascii="Arial" w:cs="Arial" w:eastAsia="Arial" w:hAnsi="Arial"/>
                <w:sz w:val="18"/>
                <w:szCs w:val="18"/>
                <w:color w:val="auto"/>
              </w:rPr>
              <w:t>Aa1</w:t>
            </w:r>
          </w:p>
        </w:tc>
        <w:tc>
          <w:tcPr>
            <w:tcW w:w="4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78,904</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60" w:type="dxa"/>
            <w:vAlign w:val="bottom"/>
          </w:tcPr>
          <w:p>
            <w:pPr>
              <w:jc w:val="right"/>
              <w:ind w:right="131"/>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gridSpan w:val="3"/>
          </w:tcPr>
          <w:p>
            <w:pPr>
              <w:jc w:val="right"/>
              <w:ind w:right="41"/>
              <w:spacing w:after="0"/>
              <w:rPr>
                <w:sz w:val="20"/>
                <w:szCs w:val="20"/>
                <w:color w:val="auto"/>
              </w:rPr>
            </w:pPr>
            <w:r>
              <w:rPr>
                <w:rFonts w:ascii="Arial" w:cs="Arial" w:eastAsia="Arial" w:hAnsi="Arial"/>
                <w:sz w:val="18"/>
                <w:szCs w:val="18"/>
                <w:color w:val="auto"/>
              </w:rPr>
              <w:t>74,322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5.8</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9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Aa2</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89,150</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3"/>
            <w:shd w:val="clear" w:color="auto" w:fill="CCEEFF"/>
          </w:tcPr>
          <w:p>
            <w:pPr>
              <w:jc w:val="right"/>
              <w:ind w:right="41"/>
              <w:spacing w:after="0"/>
              <w:rPr>
                <w:sz w:val="20"/>
                <w:szCs w:val="20"/>
                <w:color w:val="auto"/>
              </w:rPr>
            </w:pPr>
            <w:r>
              <w:rPr>
                <w:rFonts w:ascii="Arial" w:cs="Arial" w:eastAsia="Arial" w:hAnsi="Arial"/>
                <w:sz w:val="18"/>
                <w:szCs w:val="18"/>
                <w:color w:val="auto"/>
              </w:rPr>
              <w:t>89,533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40" w:type="dxa"/>
            <w:vAlign w:val="bottom"/>
            <w:gridSpan w:val="3"/>
          </w:tcPr>
          <w:p>
            <w:pPr>
              <w:ind w:left="40"/>
              <w:spacing w:after="0"/>
              <w:rPr>
                <w:sz w:val="20"/>
                <w:szCs w:val="20"/>
                <w:color w:val="auto"/>
              </w:rPr>
            </w:pPr>
            <w:r>
              <w:rPr>
                <w:rFonts w:ascii="Arial" w:cs="Arial" w:eastAsia="Arial" w:hAnsi="Arial"/>
                <w:sz w:val="18"/>
                <w:szCs w:val="18"/>
                <w:color w:val="auto"/>
              </w:rPr>
              <w:t>Aa3</w:t>
            </w:r>
          </w:p>
        </w:tc>
        <w:tc>
          <w:tcPr>
            <w:tcW w:w="4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78,764</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60" w:type="dxa"/>
            <w:vAlign w:val="bottom"/>
          </w:tcPr>
          <w:p>
            <w:pPr>
              <w:jc w:val="right"/>
              <w:ind w:right="131"/>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gridSpan w:val="3"/>
          </w:tcPr>
          <w:p>
            <w:pPr>
              <w:jc w:val="right"/>
              <w:ind w:right="41"/>
              <w:spacing w:after="0"/>
              <w:rPr>
                <w:sz w:val="20"/>
                <w:szCs w:val="20"/>
                <w:color w:val="auto"/>
              </w:rPr>
            </w:pPr>
            <w:r>
              <w:rPr>
                <w:rFonts w:ascii="Arial" w:cs="Arial" w:eastAsia="Arial" w:hAnsi="Arial"/>
                <w:sz w:val="18"/>
                <w:szCs w:val="18"/>
                <w:color w:val="auto"/>
              </w:rPr>
              <w:t>68,587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5.4</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9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A1</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128,057</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3"/>
            <w:shd w:val="clear" w:color="auto" w:fill="CCEEFF"/>
          </w:tcPr>
          <w:p>
            <w:pPr>
              <w:jc w:val="right"/>
              <w:ind w:right="41"/>
              <w:spacing w:after="0"/>
              <w:rPr>
                <w:sz w:val="20"/>
                <w:szCs w:val="20"/>
                <w:color w:val="auto"/>
              </w:rPr>
            </w:pPr>
            <w:r>
              <w:rPr>
                <w:rFonts w:ascii="Arial" w:cs="Arial" w:eastAsia="Arial" w:hAnsi="Arial"/>
                <w:sz w:val="18"/>
                <w:szCs w:val="18"/>
                <w:color w:val="auto"/>
              </w:rPr>
              <w:t>126,920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40" w:type="dxa"/>
            <w:vAlign w:val="bottom"/>
            <w:gridSpan w:val="3"/>
          </w:tcPr>
          <w:p>
            <w:pPr>
              <w:ind w:left="40"/>
              <w:spacing w:after="0"/>
              <w:rPr>
                <w:sz w:val="20"/>
                <w:szCs w:val="20"/>
                <w:color w:val="auto"/>
              </w:rPr>
            </w:pPr>
            <w:r>
              <w:rPr>
                <w:rFonts w:ascii="Arial" w:cs="Arial" w:eastAsia="Arial" w:hAnsi="Arial"/>
                <w:sz w:val="18"/>
                <w:szCs w:val="18"/>
                <w:color w:val="auto"/>
              </w:rPr>
              <w:t>A2</w:t>
            </w:r>
          </w:p>
        </w:tc>
        <w:tc>
          <w:tcPr>
            <w:tcW w:w="4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119,931</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60" w:type="dxa"/>
            <w:vAlign w:val="bottom"/>
          </w:tcPr>
          <w:p>
            <w:pPr>
              <w:jc w:val="right"/>
              <w:ind w:right="131"/>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gridSpan w:val="3"/>
          </w:tcPr>
          <w:p>
            <w:pPr>
              <w:jc w:val="right"/>
              <w:ind w:right="41"/>
              <w:spacing w:after="0"/>
              <w:rPr>
                <w:sz w:val="20"/>
                <w:szCs w:val="20"/>
                <w:color w:val="auto"/>
              </w:rPr>
            </w:pPr>
            <w:r>
              <w:rPr>
                <w:rFonts w:ascii="Arial" w:cs="Arial" w:eastAsia="Arial" w:hAnsi="Arial"/>
                <w:sz w:val="18"/>
                <w:szCs w:val="18"/>
                <w:color w:val="auto"/>
              </w:rPr>
              <w:t>122,745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9.6</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9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A3</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91,674</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3"/>
            <w:shd w:val="clear" w:color="auto" w:fill="CCEEFF"/>
          </w:tcPr>
          <w:p>
            <w:pPr>
              <w:jc w:val="right"/>
              <w:ind w:right="41"/>
              <w:spacing w:after="0"/>
              <w:rPr>
                <w:sz w:val="20"/>
                <w:szCs w:val="20"/>
                <w:color w:val="auto"/>
              </w:rPr>
            </w:pPr>
            <w:r>
              <w:rPr>
                <w:rFonts w:ascii="Arial" w:cs="Arial" w:eastAsia="Arial" w:hAnsi="Arial"/>
                <w:sz w:val="18"/>
                <w:szCs w:val="18"/>
                <w:color w:val="auto"/>
              </w:rPr>
              <w:t>87,781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40" w:type="dxa"/>
            <w:vAlign w:val="bottom"/>
            <w:gridSpan w:val="3"/>
          </w:tcPr>
          <w:p>
            <w:pPr>
              <w:ind w:left="40"/>
              <w:spacing w:after="0"/>
              <w:rPr>
                <w:sz w:val="20"/>
                <w:szCs w:val="20"/>
                <w:color w:val="auto"/>
              </w:rPr>
            </w:pPr>
            <w:r>
              <w:rPr>
                <w:rFonts w:ascii="Arial" w:cs="Arial" w:eastAsia="Arial" w:hAnsi="Arial"/>
                <w:sz w:val="18"/>
                <w:szCs w:val="18"/>
                <w:color w:val="auto"/>
              </w:rPr>
              <w:t>Baa1</w:t>
            </w:r>
          </w:p>
        </w:tc>
        <w:tc>
          <w:tcPr>
            <w:tcW w:w="4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89,159</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60" w:type="dxa"/>
            <w:vAlign w:val="bottom"/>
          </w:tcPr>
          <w:p>
            <w:pPr>
              <w:jc w:val="right"/>
              <w:ind w:right="131"/>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gridSpan w:val="3"/>
          </w:tcPr>
          <w:p>
            <w:pPr>
              <w:jc w:val="right"/>
              <w:ind w:right="41"/>
              <w:spacing w:after="0"/>
              <w:rPr>
                <w:sz w:val="20"/>
                <w:szCs w:val="20"/>
                <w:color w:val="auto"/>
              </w:rPr>
            </w:pPr>
            <w:r>
              <w:rPr>
                <w:rFonts w:ascii="Arial" w:cs="Arial" w:eastAsia="Arial" w:hAnsi="Arial"/>
                <w:sz w:val="18"/>
                <w:szCs w:val="18"/>
                <w:color w:val="auto"/>
              </w:rPr>
              <w:t>80,137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6.3</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9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Baa2</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59,140</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3"/>
            <w:shd w:val="clear" w:color="auto" w:fill="CCEEFF"/>
          </w:tcPr>
          <w:p>
            <w:pPr>
              <w:jc w:val="right"/>
              <w:ind w:right="41"/>
              <w:spacing w:after="0"/>
              <w:rPr>
                <w:sz w:val="20"/>
                <w:szCs w:val="20"/>
                <w:color w:val="auto"/>
              </w:rPr>
            </w:pPr>
            <w:r>
              <w:rPr>
                <w:rFonts w:ascii="Arial" w:cs="Arial" w:eastAsia="Arial" w:hAnsi="Arial"/>
                <w:sz w:val="18"/>
                <w:szCs w:val="18"/>
                <w:color w:val="auto"/>
              </w:rPr>
              <w:t>51,528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40" w:type="dxa"/>
            <w:vAlign w:val="bottom"/>
            <w:gridSpan w:val="3"/>
          </w:tcPr>
          <w:p>
            <w:pPr>
              <w:ind w:left="40"/>
              <w:spacing w:after="0"/>
              <w:rPr>
                <w:sz w:val="20"/>
                <w:szCs w:val="20"/>
                <w:color w:val="auto"/>
              </w:rPr>
            </w:pPr>
            <w:r>
              <w:rPr>
                <w:rFonts w:ascii="Arial" w:cs="Arial" w:eastAsia="Arial" w:hAnsi="Arial"/>
                <w:sz w:val="18"/>
                <w:szCs w:val="18"/>
                <w:color w:val="auto"/>
              </w:rPr>
              <w:t>Baa3</w:t>
            </w:r>
          </w:p>
        </w:tc>
        <w:tc>
          <w:tcPr>
            <w:tcW w:w="4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15,112</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60" w:type="dxa"/>
            <w:vAlign w:val="bottom"/>
          </w:tcPr>
          <w:p>
            <w:pPr>
              <w:jc w:val="right"/>
              <w:ind w:right="131"/>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gridSpan w:val="3"/>
          </w:tcPr>
          <w:p>
            <w:pPr>
              <w:jc w:val="right"/>
              <w:ind w:right="41"/>
              <w:spacing w:after="0"/>
              <w:rPr>
                <w:sz w:val="20"/>
                <w:szCs w:val="20"/>
                <w:color w:val="auto"/>
              </w:rPr>
            </w:pPr>
            <w:r>
              <w:rPr>
                <w:rFonts w:ascii="Arial" w:cs="Arial" w:eastAsia="Arial" w:hAnsi="Arial"/>
                <w:sz w:val="18"/>
                <w:szCs w:val="18"/>
                <w:color w:val="auto"/>
              </w:rPr>
              <w:t>19,662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9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Below Baa3</w:t>
            </w:r>
          </w:p>
        </w:tc>
        <w:tc>
          <w:tcPr>
            <w:tcW w:w="4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3,064</w:t>
            </w:r>
          </w:p>
        </w:tc>
        <w:tc>
          <w:tcPr>
            <w:tcW w:w="1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3"/>
            <w:shd w:val="clear" w:color="auto" w:fill="CCEEFF"/>
          </w:tcPr>
          <w:p>
            <w:pPr>
              <w:jc w:val="right"/>
              <w:ind w:right="41"/>
              <w:spacing w:after="0"/>
              <w:rPr>
                <w:sz w:val="20"/>
                <w:szCs w:val="20"/>
                <w:color w:val="auto"/>
              </w:rPr>
            </w:pPr>
            <w:r>
              <w:rPr>
                <w:rFonts w:ascii="Arial" w:cs="Arial" w:eastAsia="Arial" w:hAnsi="Arial"/>
                <w:sz w:val="18"/>
                <w:szCs w:val="18"/>
                <w:color w:val="auto"/>
              </w:rPr>
              <w:t>630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4040" w:type="dxa"/>
            <w:vAlign w:val="bottom"/>
            <w:gridSpan w:val="3"/>
          </w:tcPr>
          <w:p>
            <w:pPr>
              <w:ind w:left="40"/>
              <w:spacing w:after="0"/>
              <w:rPr>
                <w:sz w:val="20"/>
                <w:szCs w:val="20"/>
                <w:color w:val="auto"/>
              </w:rPr>
            </w:pPr>
            <w:r>
              <w:rPr>
                <w:rFonts w:ascii="Arial" w:cs="Arial" w:eastAsia="Arial" w:hAnsi="Arial"/>
                <w:sz w:val="18"/>
                <w:szCs w:val="18"/>
                <w:b w:val="1"/>
                <w:bCs w:val="1"/>
                <w:color w:val="auto"/>
              </w:rPr>
              <w:t>Total Investments</w:t>
            </w: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12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1,368,502</w:t>
            </w:r>
          </w:p>
        </w:tc>
        <w:tc>
          <w:tcPr>
            <w:tcW w:w="100" w:type="dxa"/>
            <w:vAlign w:val="bottom"/>
          </w:tcPr>
          <w:p>
            <w:pPr>
              <w:spacing w:after="0"/>
              <w:rPr>
                <w:sz w:val="22"/>
                <w:szCs w:val="22"/>
                <w:color w:val="auto"/>
              </w:rPr>
            </w:pPr>
          </w:p>
        </w:tc>
        <w:tc>
          <w:tcPr>
            <w:tcW w:w="640" w:type="dxa"/>
            <w:vAlign w:val="bottom"/>
            <w:tcBorders>
              <w:top w:val="single" w:sz="8" w:color="auto"/>
              <w:bottom w:val="single" w:sz="8" w:color="auto"/>
            </w:tcBorders>
          </w:tcPr>
          <w:p>
            <w:pPr>
              <w:spacing w:after="0"/>
              <w:rPr>
                <w:sz w:val="22"/>
                <w:szCs w:val="22"/>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100.0%</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380" w:type="dxa"/>
            <w:vAlign w:val="bottom"/>
            <w:tcBorders>
              <w:top w:val="single" w:sz="8" w:color="auto"/>
              <w:bottom w:val="single" w:sz="8" w:color="auto"/>
            </w:tcBorders>
            <w:gridSpan w:val="3"/>
          </w:tcPr>
          <w:p>
            <w:pPr>
              <w:jc w:val="right"/>
              <w:ind w:right="41"/>
              <w:spacing w:after="0"/>
              <w:rPr>
                <w:sz w:val="20"/>
                <w:szCs w:val="20"/>
                <w:color w:val="auto"/>
              </w:rPr>
            </w:pPr>
            <w:r>
              <w:rPr>
                <w:rFonts w:ascii="Arial" w:cs="Arial" w:eastAsia="Arial" w:hAnsi="Arial"/>
                <w:sz w:val="18"/>
                <w:szCs w:val="18"/>
                <w:b w:val="1"/>
                <w:bCs w:val="1"/>
                <w:color w:val="auto"/>
              </w:rPr>
              <w:t>1,276,634</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48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8"/>
                <w:szCs w:val="18"/>
                <w:b w:val="1"/>
                <w:bCs w:val="1"/>
                <w:color w:val="auto"/>
              </w:rPr>
              <w:t>100.0%</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5620" w:right="3920" w:hanging="5288"/>
        <w:spacing w:after="0" w:line="810" w:lineRule="auto"/>
        <w:tabs>
          <w:tab w:leader="none" w:pos="652"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ratings issued by Moody’s, if available. S&amp;P rating utilized if Moody’s not available.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-885825</wp:posOffset>
            </wp:positionV>
            <wp:extent cx="14147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Investment Portfolio by Effective Duration</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940" w:type="dxa"/>
            <w:vAlign w:val="bottom"/>
            <w:gridSpan w:val="2"/>
          </w:tcPr>
          <w:p>
            <w:pPr>
              <w:ind w:left="40"/>
              <w:spacing w:after="0"/>
              <w:rPr>
                <w:sz w:val="20"/>
                <w:szCs w:val="20"/>
                <w:color w:val="auto"/>
              </w:rPr>
            </w:pPr>
            <w:r>
              <w:rPr>
                <w:rFonts w:ascii="Arial" w:cs="Arial" w:eastAsia="Arial" w:hAnsi="Arial"/>
                <w:sz w:val="14"/>
                <w:szCs w:val="14"/>
                <w:b w:val="1"/>
                <w:bCs w:val="1"/>
                <w:color w:val="auto"/>
              </w:rPr>
              <w:t>Effective Duration</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3"/>
          </w:tcPr>
          <w:p>
            <w:pPr>
              <w:ind w:left="1220"/>
              <w:spacing w:after="0"/>
              <w:rPr>
                <w:sz w:val="20"/>
                <w:szCs w:val="20"/>
                <w:color w:val="auto"/>
              </w:rPr>
            </w:pPr>
            <w:r>
              <w:rPr>
                <w:rFonts w:ascii="Arial" w:cs="Arial" w:eastAsia="Arial" w:hAnsi="Arial"/>
                <w:sz w:val="14"/>
                <w:szCs w:val="14"/>
                <w:b w:val="1"/>
                <w:bCs w:val="1"/>
                <w:color w:val="auto"/>
              </w:rPr>
              <w:t>March 31, 2016</w:t>
            </w: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7"/>
          </w:tcPr>
          <w:p>
            <w:pPr>
              <w:spacing w:after="0"/>
              <w:rPr>
                <w:sz w:val="20"/>
                <w:szCs w:val="20"/>
                <w:color w:val="auto"/>
              </w:rPr>
            </w:pPr>
            <w:r>
              <w:rPr>
                <w:rFonts w:ascii="Arial" w:cs="Arial" w:eastAsia="Arial" w:hAnsi="Arial"/>
                <w:sz w:val="14"/>
                <w:szCs w:val="14"/>
                <w:b w:val="1"/>
                <w:bCs w:val="1"/>
                <w:color w:val="auto"/>
              </w:rPr>
              <w:t>December 31, 2015</w:t>
            </w: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9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 in thousands)</w:t>
            </w:r>
          </w:p>
        </w:tc>
        <w:tc>
          <w:tcPr>
            <w:tcW w:w="1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Fair Value</w:t>
            </w:r>
          </w:p>
        </w:tc>
        <w:tc>
          <w:tcPr>
            <w:tcW w:w="12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Percent</w:t>
            </w:r>
          </w:p>
        </w:tc>
        <w:tc>
          <w:tcPr>
            <w:tcW w:w="6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gridSpan w:val="2"/>
          </w:tcPr>
          <w:p>
            <w:pPr>
              <w:jc w:val="right"/>
              <w:ind w:right="152"/>
              <w:spacing w:after="0"/>
              <w:rPr>
                <w:sz w:val="20"/>
                <w:szCs w:val="20"/>
                <w:color w:val="auto"/>
              </w:rPr>
            </w:pPr>
            <w:r>
              <w:rPr>
                <w:rFonts w:ascii="Arial" w:cs="Arial" w:eastAsia="Arial" w:hAnsi="Arial"/>
                <w:sz w:val="14"/>
                <w:szCs w:val="14"/>
                <w:b w:val="1"/>
                <w:bCs w:val="1"/>
                <w:color w:val="auto"/>
              </w:rPr>
              <w:t>Fair Value</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gridSpan w:val="3"/>
          </w:tcPr>
          <w:p>
            <w:pPr>
              <w:ind w:left="820"/>
              <w:spacing w:after="0"/>
              <w:rPr>
                <w:sz w:val="20"/>
                <w:szCs w:val="20"/>
                <w:color w:val="auto"/>
              </w:rPr>
            </w:pPr>
            <w:r>
              <w:rPr>
                <w:rFonts w:ascii="Arial" w:cs="Arial" w:eastAsia="Arial" w:hAnsi="Arial"/>
                <w:sz w:val="14"/>
                <w:szCs w:val="14"/>
                <w:b w:val="1"/>
                <w:bCs w:val="1"/>
                <w:color w:val="auto"/>
                <w:w w:val="97"/>
              </w:rPr>
              <w:t>Percent</w:t>
            </w:r>
          </w:p>
        </w:tc>
        <w:tc>
          <w:tcPr>
            <w:tcW w:w="7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&lt; 1 Year</w:t>
            </w:r>
          </w:p>
        </w:tc>
        <w:tc>
          <w:tcPr>
            <w:tcW w:w="640" w:type="dxa"/>
            <w:vAlign w:val="bottom"/>
            <w:tcBorders>
              <w:bottom w:val="single" w:sz="8" w:color="CCEEFF"/>
            </w:tcBorders>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263,443</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540" w:type="dxa"/>
            <w:vAlign w:val="bottom"/>
            <w:tcBorders>
              <w:bottom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235,001</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43"/>
        </w:trPr>
        <w:tc>
          <w:tcPr>
            <w:tcW w:w="2940" w:type="dxa"/>
            <w:vAlign w:val="bottom"/>
            <w:gridSpan w:val="2"/>
          </w:tcPr>
          <w:p>
            <w:pPr>
              <w:ind w:left="40"/>
              <w:spacing w:after="0"/>
              <w:rPr>
                <w:sz w:val="20"/>
                <w:szCs w:val="20"/>
                <w:color w:val="auto"/>
              </w:rPr>
            </w:pPr>
            <w:r>
              <w:rPr>
                <w:rFonts w:ascii="Arial" w:cs="Arial" w:eastAsia="Arial" w:hAnsi="Arial"/>
                <w:sz w:val="18"/>
                <w:szCs w:val="18"/>
                <w:color w:val="auto"/>
              </w:rPr>
              <w:t>1 to &lt; 2 Years</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60" w:type="dxa"/>
            <w:vAlign w:val="bottom"/>
          </w:tcPr>
          <w:p>
            <w:pPr>
              <w:jc w:val="right"/>
              <w:ind w:right="15"/>
              <w:spacing w:after="0"/>
              <w:rPr>
                <w:sz w:val="20"/>
                <w:szCs w:val="20"/>
                <w:color w:val="auto"/>
              </w:rPr>
            </w:pPr>
            <w:r>
              <w:rPr>
                <w:rFonts w:ascii="Arial" w:cs="Arial" w:eastAsia="Arial" w:hAnsi="Arial"/>
                <w:sz w:val="18"/>
                <w:szCs w:val="18"/>
                <w:color w:val="auto"/>
              </w:rPr>
              <w:t>186,162</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jc w:val="right"/>
              <w:ind w:right="112"/>
              <w:spacing w:after="0"/>
              <w:rPr>
                <w:sz w:val="20"/>
                <w:szCs w:val="20"/>
                <w:color w:val="auto"/>
              </w:rPr>
            </w:pPr>
            <w:r>
              <w:rPr>
                <w:rFonts w:ascii="Arial" w:cs="Arial" w:eastAsia="Arial" w:hAnsi="Arial"/>
                <w:sz w:val="18"/>
                <w:szCs w:val="18"/>
                <w:color w:val="auto"/>
              </w:rPr>
              <w:t>13.6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gridSpan w:val="4"/>
          </w:tcPr>
          <w:p>
            <w:pPr>
              <w:jc w:val="right"/>
              <w:ind w:right="120"/>
              <w:spacing w:after="0"/>
              <w:rPr>
                <w:sz w:val="20"/>
                <w:szCs w:val="20"/>
                <w:color w:val="auto"/>
              </w:rPr>
            </w:pPr>
            <w:r>
              <w:rPr>
                <w:rFonts w:ascii="Arial" w:cs="Arial" w:eastAsia="Arial" w:hAnsi="Arial"/>
                <w:sz w:val="18"/>
                <w:szCs w:val="18"/>
                <w:color w:val="auto"/>
              </w:rPr>
              <w:t>141,995</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132"/>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7"/>
        </w:trPr>
        <w:tc>
          <w:tcPr>
            <w:tcW w:w="2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 to &lt; 3 Years</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188,098</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13.7</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214,274</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43"/>
        </w:trPr>
        <w:tc>
          <w:tcPr>
            <w:tcW w:w="2940" w:type="dxa"/>
            <w:vAlign w:val="bottom"/>
            <w:gridSpan w:val="2"/>
          </w:tcPr>
          <w:p>
            <w:pPr>
              <w:ind w:left="40"/>
              <w:spacing w:after="0"/>
              <w:rPr>
                <w:sz w:val="20"/>
                <w:szCs w:val="20"/>
                <w:color w:val="auto"/>
              </w:rPr>
            </w:pPr>
            <w:r>
              <w:rPr>
                <w:rFonts w:ascii="Arial" w:cs="Arial" w:eastAsia="Arial" w:hAnsi="Arial"/>
                <w:sz w:val="18"/>
                <w:szCs w:val="18"/>
                <w:color w:val="auto"/>
              </w:rPr>
              <w:t>3 to &lt; 4 Years</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60" w:type="dxa"/>
            <w:vAlign w:val="bottom"/>
          </w:tcPr>
          <w:p>
            <w:pPr>
              <w:jc w:val="right"/>
              <w:ind w:right="15"/>
              <w:spacing w:after="0"/>
              <w:rPr>
                <w:sz w:val="20"/>
                <w:szCs w:val="20"/>
                <w:color w:val="auto"/>
              </w:rPr>
            </w:pPr>
            <w:r>
              <w:rPr>
                <w:rFonts w:ascii="Arial" w:cs="Arial" w:eastAsia="Arial" w:hAnsi="Arial"/>
                <w:sz w:val="18"/>
                <w:szCs w:val="18"/>
                <w:color w:val="auto"/>
              </w:rPr>
              <w:t>125,607</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jc w:val="right"/>
              <w:ind w:right="112"/>
              <w:spacing w:after="0"/>
              <w:rPr>
                <w:sz w:val="20"/>
                <w:szCs w:val="20"/>
                <w:color w:val="auto"/>
              </w:rPr>
            </w:pPr>
            <w:r>
              <w:rPr>
                <w:rFonts w:ascii="Arial" w:cs="Arial" w:eastAsia="Arial" w:hAnsi="Arial"/>
                <w:sz w:val="18"/>
                <w:szCs w:val="18"/>
                <w:color w:val="auto"/>
              </w:rPr>
              <w:t>9.2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gridSpan w:val="4"/>
          </w:tcPr>
          <w:p>
            <w:pPr>
              <w:jc w:val="right"/>
              <w:ind w:right="120"/>
              <w:spacing w:after="0"/>
              <w:rPr>
                <w:sz w:val="20"/>
                <w:szCs w:val="20"/>
                <w:color w:val="auto"/>
              </w:rPr>
            </w:pPr>
            <w:r>
              <w:rPr>
                <w:rFonts w:ascii="Arial" w:cs="Arial" w:eastAsia="Arial" w:hAnsi="Arial"/>
                <w:sz w:val="18"/>
                <w:szCs w:val="18"/>
                <w:color w:val="auto"/>
              </w:rPr>
              <w:t>104,772</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132"/>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7"/>
        </w:trPr>
        <w:tc>
          <w:tcPr>
            <w:tcW w:w="2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4 to &lt; 5 Years</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138,185</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10.1</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141,428</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43"/>
        </w:trPr>
        <w:tc>
          <w:tcPr>
            <w:tcW w:w="2940" w:type="dxa"/>
            <w:vAlign w:val="bottom"/>
            <w:gridSpan w:val="2"/>
          </w:tcPr>
          <w:p>
            <w:pPr>
              <w:ind w:left="40"/>
              <w:spacing w:after="0"/>
              <w:rPr>
                <w:sz w:val="20"/>
                <w:szCs w:val="20"/>
                <w:color w:val="auto"/>
              </w:rPr>
            </w:pPr>
            <w:r>
              <w:rPr>
                <w:rFonts w:ascii="Arial" w:cs="Arial" w:eastAsia="Arial" w:hAnsi="Arial"/>
                <w:sz w:val="18"/>
                <w:szCs w:val="18"/>
                <w:color w:val="auto"/>
              </w:rPr>
              <w:t>5 or more Years</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60" w:type="dxa"/>
            <w:vAlign w:val="bottom"/>
          </w:tcPr>
          <w:p>
            <w:pPr>
              <w:jc w:val="right"/>
              <w:ind w:right="15"/>
              <w:spacing w:after="0"/>
              <w:rPr>
                <w:sz w:val="20"/>
                <w:szCs w:val="20"/>
                <w:color w:val="auto"/>
              </w:rPr>
            </w:pPr>
            <w:r>
              <w:rPr>
                <w:rFonts w:ascii="Arial" w:cs="Arial" w:eastAsia="Arial" w:hAnsi="Arial"/>
                <w:sz w:val="18"/>
                <w:szCs w:val="18"/>
                <w:color w:val="auto"/>
              </w:rPr>
              <w:t>467,007</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jc w:val="right"/>
              <w:ind w:right="112"/>
              <w:spacing w:after="0"/>
              <w:rPr>
                <w:sz w:val="20"/>
                <w:szCs w:val="20"/>
                <w:color w:val="auto"/>
              </w:rPr>
            </w:pPr>
            <w:r>
              <w:rPr>
                <w:rFonts w:ascii="Arial" w:cs="Arial" w:eastAsia="Arial" w:hAnsi="Arial"/>
                <w:sz w:val="18"/>
                <w:szCs w:val="18"/>
                <w:color w:val="auto"/>
              </w:rPr>
              <w:t>34.1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gridSpan w:val="4"/>
          </w:tcPr>
          <w:p>
            <w:pPr>
              <w:jc w:val="right"/>
              <w:ind w:right="120"/>
              <w:spacing w:after="0"/>
              <w:rPr>
                <w:sz w:val="20"/>
                <w:szCs w:val="20"/>
                <w:color w:val="auto"/>
              </w:rPr>
            </w:pPr>
            <w:r>
              <w:rPr>
                <w:rFonts w:ascii="Arial" w:cs="Arial" w:eastAsia="Arial" w:hAnsi="Arial"/>
                <w:sz w:val="18"/>
                <w:szCs w:val="18"/>
                <w:color w:val="auto"/>
              </w:rPr>
              <w:t>439,164</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132"/>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7"/>
        </w:trPr>
        <w:tc>
          <w:tcPr>
            <w:tcW w:w="2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94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Total Investments</w:t>
            </w:r>
          </w:p>
        </w:tc>
        <w:tc>
          <w:tcPr>
            <w:tcW w:w="640" w:type="dxa"/>
            <w:vAlign w:val="bottom"/>
            <w:gridSpan w:val="3"/>
            <w:shd w:val="clear" w:color="auto" w:fill="CCEEFF"/>
          </w:tcPr>
          <w:p>
            <w:pPr>
              <w:ind w:left="320"/>
              <w:spacing w:after="0"/>
              <w:rPr>
                <w:sz w:val="20"/>
                <w:szCs w:val="20"/>
                <w:color w:val="auto"/>
              </w:rPr>
            </w:pPr>
            <w:r>
              <w:rPr>
                <w:rFonts w:ascii="Arial" w:cs="Arial" w:eastAsia="Arial" w:hAnsi="Arial"/>
                <w:sz w:val="18"/>
                <w:szCs w:val="18"/>
                <w:b w:val="1"/>
                <w:bCs w:val="1"/>
                <w:color w:val="auto"/>
              </w:rPr>
              <w:t>$</w:t>
            </w:r>
          </w:p>
        </w:tc>
        <w:tc>
          <w:tcPr>
            <w:tcW w:w="1460" w:type="dxa"/>
            <w:vAlign w:val="bottom"/>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1,368,502</w:t>
            </w:r>
          </w:p>
        </w:tc>
        <w:tc>
          <w:tcPr>
            <w:tcW w:w="12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100.0%</w:t>
            </w:r>
          </w:p>
        </w:tc>
        <w:tc>
          <w:tcPr>
            <w:tcW w:w="5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4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1,276,634</w:t>
            </w:r>
          </w:p>
        </w:tc>
        <w:tc>
          <w:tcPr>
            <w:tcW w:w="1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100.0%</w:t>
            </w:r>
          </w:p>
        </w:tc>
        <w:tc>
          <w:tcPr>
            <w:tcW w:w="0" w:type="dxa"/>
            <w:vAlign w:val="bottom"/>
          </w:tcPr>
          <w:p>
            <w:pPr>
              <w:spacing w:after="0"/>
              <w:rPr>
                <w:sz w:val="1"/>
                <w:szCs w:val="1"/>
                <w:color w:val="auto"/>
              </w:rPr>
            </w:pPr>
          </w:p>
        </w:tc>
      </w:tr>
      <w:tr>
        <w:trPr>
          <w:trHeight w:val="20"/>
        </w:trPr>
        <w:tc>
          <w:tcPr>
            <w:tcW w:w="2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2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80" w:type="dxa"/>
            <w:vAlign w:val="bottom"/>
            <w:gridSpan w:val="7"/>
          </w:tcPr>
          <w:p>
            <w:pPr>
              <w:jc w:val="right"/>
              <w:ind w:right="412"/>
              <w:spacing w:after="0"/>
              <w:rPr>
                <w:sz w:val="20"/>
                <w:szCs w:val="20"/>
                <w:color w:val="auto"/>
              </w:rPr>
            </w:pPr>
            <w:r>
              <w:rPr>
                <w:rFonts w:ascii="Arial" w:cs="Arial" w:eastAsia="Arial" w:hAnsi="Arial"/>
                <w:sz w:val="18"/>
                <w:szCs w:val="18"/>
                <w:b w:val="1"/>
                <w:bCs w:val="1"/>
                <w:color w:val="auto"/>
              </w:rPr>
              <w:t>Top Ten Portfolio Holdings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5"/>
        </w:trPr>
        <w:tc>
          <w:tcPr>
            <w:tcW w:w="2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b w:val="1"/>
                <w:bCs w:val="1"/>
                <w:color w:val="auto"/>
              </w:rPr>
              <w:t>March 31, 2016</w:t>
            </w: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294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Rank</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80" w:type="dxa"/>
            <w:vAlign w:val="bottom"/>
            <w:gridSpan w:val="3"/>
            <w:vMerge w:val="restart"/>
          </w:tcPr>
          <w:p>
            <w:pPr>
              <w:ind w:left="800"/>
              <w:spacing w:after="0"/>
              <w:rPr>
                <w:sz w:val="20"/>
                <w:szCs w:val="20"/>
                <w:color w:val="auto"/>
              </w:rPr>
            </w:pPr>
            <w:r>
              <w:rPr>
                <w:rFonts w:ascii="Arial" w:cs="Arial" w:eastAsia="Arial" w:hAnsi="Arial"/>
                <w:sz w:val="14"/>
                <w:szCs w:val="14"/>
                <w:b w:val="1"/>
                <w:bCs w:val="1"/>
                <w:color w:val="auto"/>
              </w:rPr>
              <w:t>Security</w:t>
            </w: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4"/>
            <w:vMerge w:val="restart"/>
          </w:tcPr>
          <w:p>
            <w:pPr>
              <w:jc w:val="right"/>
              <w:ind w:right="360"/>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jc w:val="right"/>
              <w:ind w:right="12"/>
              <w:spacing w:after="0" w:line="153" w:lineRule="exact"/>
              <w:rPr>
                <w:sz w:val="20"/>
                <w:szCs w:val="20"/>
                <w:color w:val="auto"/>
              </w:rPr>
            </w:pPr>
            <w:r>
              <w:rPr>
                <w:rFonts w:ascii="Arial" w:cs="Arial" w:eastAsia="Arial" w:hAnsi="Arial"/>
                <w:sz w:val="14"/>
                <w:szCs w:val="14"/>
                <w:b w:val="1"/>
                <w:bCs w:val="1"/>
                <w:color w:val="auto"/>
                <w:w w:val="96"/>
              </w:rPr>
              <w:t>Amortized</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gridSpan w:val="3"/>
          </w:tcPr>
          <w:p>
            <w:pPr>
              <w:jc w:val="center"/>
              <w:ind w:right="480"/>
              <w:spacing w:after="0" w:line="153" w:lineRule="exact"/>
              <w:rPr>
                <w:sz w:val="20"/>
                <w:szCs w:val="20"/>
                <w:color w:val="auto"/>
              </w:rPr>
            </w:pPr>
            <w:r>
              <w:rPr>
                <w:rFonts w:ascii="Arial" w:cs="Arial" w:eastAsia="Arial" w:hAnsi="Arial"/>
                <w:sz w:val="14"/>
                <w:szCs w:val="14"/>
                <w:b w:val="1"/>
                <w:bCs w:val="1"/>
                <w:color w:val="auto"/>
                <w:w w:val="93"/>
              </w:rPr>
              <w:t>Unrealized</w:t>
            </w:r>
          </w:p>
        </w:tc>
        <w:tc>
          <w:tcPr>
            <w:tcW w:w="780" w:type="dxa"/>
            <w:vAlign w:val="bottom"/>
          </w:tcPr>
          <w:p>
            <w:pPr>
              <w:jc w:val="center"/>
              <w:ind w:right="52"/>
              <w:spacing w:after="0" w:line="153" w:lineRule="exact"/>
              <w:rPr>
                <w:sz w:val="20"/>
                <w:szCs w:val="20"/>
                <w:color w:val="auto"/>
              </w:rPr>
            </w:pPr>
            <w:r>
              <w:rPr>
                <w:rFonts w:ascii="Arial" w:cs="Arial" w:eastAsia="Arial" w:hAnsi="Arial"/>
                <w:sz w:val="14"/>
                <w:szCs w:val="14"/>
                <w:b w:val="1"/>
                <w:bCs w:val="1"/>
                <w:color w:val="auto"/>
                <w:w w:val="98"/>
              </w:rPr>
              <w:t>Credit</w:t>
            </w:r>
          </w:p>
        </w:tc>
        <w:tc>
          <w:tcPr>
            <w:tcW w:w="0" w:type="dxa"/>
            <w:vAlign w:val="bottom"/>
          </w:tcPr>
          <w:p>
            <w:pPr>
              <w:spacing w:after="0"/>
              <w:rPr>
                <w:sz w:val="1"/>
                <w:szCs w:val="1"/>
                <w:color w:val="auto"/>
              </w:rPr>
            </w:pPr>
          </w:p>
        </w:tc>
      </w:tr>
      <w:tr>
        <w:trPr>
          <w:trHeight w:val="192"/>
        </w:trPr>
        <w:tc>
          <w:tcPr>
            <w:tcW w:w="28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3"/>
            <w:vMerge w:val="continue"/>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4"/>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Cost</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82"/>
              <w:spacing w:after="0"/>
              <w:rPr>
                <w:sz w:val="20"/>
                <w:szCs w:val="20"/>
                <w:color w:val="auto"/>
              </w:rPr>
            </w:pPr>
            <w:r>
              <w:rPr>
                <w:rFonts w:ascii="Arial" w:cs="Arial" w:eastAsia="Arial" w:hAnsi="Arial"/>
                <w:sz w:val="14"/>
                <w:szCs w:val="14"/>
                <w:b w:val="1"/>
                <w:bCs w:val="1"/>
                <w:color w:val="auto"/>
                <w:w w:val="93"/>
              </w:rPr>
              <w:t>Gain (Loss)(1)</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b w:val="1"/>
                <w:bCs w:val="1"/>
                <w:color w:val="auto"/>
                <w:w w:val="95"/>
              </w:rPr>
              <w:t>Rating(2)</w:t>
            </w:r>
          </w:p>
        </w:tc>
        <w:tc>
          <w:tcPr>
            <w:tcW w:w="0" w:type="dxa"/>
            <w:vAlign w:val="bottom"/>
          </w:tcPr>
          <w:p>
            <w:pPr>
              <w:spacing w:after="0"/>
              <w:rPr>
                <w:sz w:val="1"/>
                <w:szCs w:val="1"/>
                <w:color w:val="auto"/>
              </w:rPr>
            </w:pPr>
          </w:p>
        </w:tc>
      </w:tr>
      <w:tr>
        <w:trPr>
          <w:trHeight w:val="250"/>
        </w:trPr>
        <w:tc>
          <w:tcPr>
            <w:tcW w:w="2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920" w:type="dxa"/>
            <w:vAlign w:val="bottom"/>
            <w:tcBorders>
              <w:bottom w:val="single" w:sz="8" w:color="CCEEFF"/>
            </w:tcBorders>
            <w:gridSpan w:val="6"/>
            <w:shd w:val="clear" w:color="auto" w:fill="CCEEFF"/>
          </w:tcPr>
          <w:p>
            <w:pPr>
              <w:ind w:left="20"/>
              <w:spacing w:after="0"/>
              <w:rPr>
                <w:sz w:val="20"/>
                <w:szCs w:val="20"/>
                <w:color w:val="auto"/>
              </w:rPr>
            </w:pPr>
            <w:r>
              <w:rPr>
                <w:rFonts w:ascii="Arial" w:cs="Arial" w:eastAsia="Arial" w:hAnsi="Arial"/>
                <w:sz w:val="18"/>
                <w:szCs w:val="18"/>
                <w:color w:val="auto"/>
              </w:rPr>
              <w:t>U.S. Treasury 1.625% 7/31/2020</w:t>
            </w:r>
          </w:p>
        </w:tc>
        <w:tc>
          <w:tcPr>
            <w:tcW w:w="7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26,114</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25,776</w:t>
            </w:r>
          </w:p>
        </w:tc>
        <w:tc>
          <w:tcPr>
            <w:tcW w:w="3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338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center"/>
              <w:ind w:right="32"/>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43"/>
        </w:trPr>
        <w:tc>
          <w:tcPr>
            <w:tcW w:w="2840" w:type="dxa"/>
            <w:vAlign w:val="bottom"/>
          </w:tcPr>
          <w:p>
            <w:pPr>
              <w:ind w:left="4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920" w:type="dxa"/>
            <w:vAlign w:val="bottom"/>
            <w:gridSpan w:val="6"/>
          </w:tcPr>
          <w:p>
            <w:pPr>
              <w:ind w:left="20"/>
              <w:spacing w:after="0"/>
              <w:rPr>
                <w:sz w:val="20"/>
                <w:szCs w:val="20"/>
                <w:color w:val="auto"/>
              </w:rPr>
            </w:pPr>
            <w:r>
              <w:rPr>
                <w:rFonts w:ascii="Arial" w:cs="Arial" w:eastAsia="Arial" w:hAnsi="Arial"/>
                <w:sz w:val="18"/>
                <w:szCs w:val="18"/>
                <w:color w:val="auto"/>
              </w:rPr>
              <w:t>Ginnie Mae 4.000% 8/20/2045</w:t>
            </w: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4"/>
          </w:tcPr>
          <w:p>
            <w:pPr>
              <w:jc w:val="right"/>
              <w:ind w:right="220"/>
              <w:spacing w:after="0"/>
              <w:rPr>
                <w:sz w:val="20"/>
                <w:szCs w:val="20"/>
                <w:color w:val="auto"/>
              </w:rPr>
            </w:pPr>
            <w:r>
              <w:rPr>
                <w:rFonts w:ascii="Arial" w:cs="Arial" w:eastAsia="Arial" w:hAnsi="Arial"/>
                <w:sz w:val="18"/>
                <w:szCs w:val="18"/>
                <w:color w:val="auto"/>
              </w:rPr>
              <w:t>20,749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20,554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
              <w:spacing w:after="0"/>
              <w:rPr>
                <w:sz w:val="20"/>
                <w:szCs w:val="20"/>
                <w:color w:val="auto"/>
              </w:rPr>
            </w:pPr>
            <w:r>
              <w:rPr>
                <w:rFonts w:ascii="Arial" w:cs="Arial" w:eastAsia="Arial" w:hAnsi="Arial"/>
                <w:sz w:val="18"/>
                <w:szCs w:val="18"/>
                <w:color w:val="auto"/>
              </w:rPr>
              <w:t>195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center"/>
              <w:ind w:right="32"/>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7"/>
        </w:trPr>
        <w:tc>
          <w:tcPr>
            <w:tcW w:w="2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920" w:type="dxa"/>
            <w:vAlign w:val="bottom"/>
            <w:gridSpan w:val="6"/>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gridSpan w:val="4"/>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920" w:type="dxa"/>
            <w:vAlign w:val="bottom"/>
            <w:tcBorders>
              <w:bottom w:val="single" w:sz="8" w:color="CCEEFF"/>
            </w:tcBorders>
            <w:gridSpan w:val="6"/>
            <w:shd w:val="clear" w:color="auto" w:fill="CCEEFF"/>
          </w:tcPr>
          <w:p>
            <w:pPr>
              <w:ind w:left="20"/>
              <w:spacing w:after="0"/>
              <w:rPr>
                <w:sz w:val="20"/>
                <w:szCs w:val="20"/>
                <w:color w:val="auto"/>
              </w:rPr>
            </w:pPr>
            <w:r>
              <w:rPr>
                <w:rFonts w:ascii="Arial" w:cs="Arial" w:eastAsia="Arial" w:hAnsi="Arial"/>
                <w:sz w:val="18"/>
                <w:szCs w:val="18"/>
                <w:color w:val="auto"/>
              </w:rPr>
              <w:t>U.S. Treasury 2.125% 5/15/2025</w:t>
            </w: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20,730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19,719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1,011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center"/>
              <w:ind w:right="32"/>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43"/>
        </w:trPr>
        <w:tc>
          <w:tcPr>
            <w:tcW w:w="2840" w:type="dxa"/>
            <w:vAlign w:val="bottom"/>
          </w:tcPr>
          <w:p>
            <w:pPr>
              <w:ind w:left="4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920" w:type="dxa"/>
            <w:vAlign w:val="bottom"/>
            <w:gridSpan w:val="6"/>
          </w:tcPr>
          <w:p>
            <w:pPr>
              <w:ind w:left="20"/>
              <w:spacing w:after="0"/>
              <w:rPr>
                <w:sz w:val="20"/>
                <w:szCs w:val="20"/>
                <w:color w:val="auto"/>
              </w:rPr>
            </w:pPr>
            <w:r>
              <w:rPr>
                <w:rFonts w:ascii="Arial" w:cs="Arial" w:eastAsia="Arial" w:hAnsi="Arial"/>
                <w:sz w:val="18"/>
                <w:szCs w:val="18"/>
                <w:color w:val="auto"/>
              </w:rPr>
              <w:t>U.S. Treasury 2.250% 11/15/2024</w:t>
            </w: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4"/>
          </w:tcPr>
          <w:p>
            <w:pPr>
              <w:jc w:val="right"/>
              <w:ind w:right="220"/>
              <w:spacing w:after="0"/>
              <w:rPr>
                <w:sz w:val="20"/>
                <w:szCs w:val="20"/>
                <w:color w:val="auto"/>
              </w:rPr>
            </w:pPr>
            <w:r>
              <w:rPr>
                <w:rFonts w:ascii="Arial" w:cs="Arial" w:eastAsia="Arial" w:hAnsi="Arial"/>
                <w:sz w:val="18"/>
                <w:szCs w:val="18"/>
                <w:color w:val="auto"/>
              </w:rPr>
              <w:t>17,212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16,871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
              <w:spacing w:after="0"/>
              <w:rPr>
                <w:sz w:val="20"/>
                <w:szCs w:val="20"/>
                <w:color w:val="auto"/>
              </w:rPr>
            </w:pPr>
            <w:r>
              <w:rPr>
                <w:rFonts w:ascii="Arial" w:cs="Arial" w:eastAsia="Arial" w:hAnsi="Arial"/>
                <w:sz w:val="18"/>
                <w:szCs w:val="18"/>
                <w:color w:val="auto"/>
              </w:rPr>
              <w:t>341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center"/>
              <w:ind w:right="32"/>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7"/>
        </w:trPr>
        <w:tc>
          <w:tcPr>
            <w:tcW w:w="2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920" w:type="dxa"/>
            <w:vAlign w:val="bottom"/>
            <w:gridSpan w:val="6"/>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gridSpan w:val="4"/>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920" w:type="dxa"/>
            <w:vAlign w:val="bottom"/>
            <w:tcBorders>
              <w:bottom w:val="single" w:sz="8" w:color="CCEEFF"/>
            </w:tcBorders>
            <w:gridSpan w:val="6"/>
            <w:shd w:val="clear" w:color="auto" w:fill="CCEEFF"/>
          </w:tcPr>
          <w:p>
            <w:pPr>
              <w:ind w:left="20"/>
              <w:spacing w:after="0"/>
              <w:rPr>
                <w:sz w:val="20"/>
                <w:szCs w:val="20"/>
                <w:color w:val="auto"/>
              </w:rPr>
            </w:pPr>
            <w:r>
              <w:rPr>
                <w:rFonts w:ascii="Arial" w:cs="Arial" w:eastAsia="Arial" w:hAnsi="Arial"/>
                <w:sz w:val="18"/>
                <w:szCs w:val="18"/>
                <w:color w:val="auto"/>
              </w:rPr>
              <w:t>Freddie Mac 2.500% 10/1/2030</w:t>
            </w: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15,542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15,465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77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center"/>
              <w:ind w:right="32"/>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43"/>
        </w:trPr>
        <w:tc>
          <w:tcPr>
            <w:tcW w:w="2840" w:type="dxa"/>
            <w:vAlign w:val="bottom"/>
          </w:tcPr>
          <w:p>
            <w:pPr>
              <w:ind w:left="4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920" w:type="dxa"/>
            <w:vAlign w:val="bottom"/>
            <w:gridSpan w:val="6"/>
          </w:tcPr>
          <w:p>
            <w:pPr>
              <w:ind w:left="20"/>
              <w:spacing w:after="0"/>
              <w:rPr>
                <w:sz w:val="20"/>
                <w:szCs w:val="20"/>
                <w:color w:val="auto"/>
              </w:rPr>
            </w:pPr>
            <w:r>
              <w:rPr>
                <w:rFonts w:ascii="Arial" w:cs="Arial" w:eastAsia="Arial" w:hAnsi="Arial"/>
                <w:sz w:val="18"/>
                <w:szCs w:val="18"/>
                <w:color w:val="auto"/>
              </w:rPr>
              <w:t>U.S. Treasury 5.250% 11/15/2028</w:t>
            </w: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4"/>
          </w:tcPr>
          <w:p>
            <w:pPr>
              <w:jc w:val="right"/>
              <w:ind w:right="220"/>
              <w:spacing w:after="0"/>
              <w:rPr>
                <w:sz w:val="20"/>
                <w:szCs w:val="20"/>
                <w:color w:val="auto"/>
              </w:rPr>
            </w:pPr>
            <w:r>
              <w:rPr>
                <w:rFonts w:ascii="Arial" w:cs="Arial" w:eastAsia="Arial" w:hAnsi="Arial"/>
                <w:sz w:val="18"/>
                <w:szCs w:val="18"/>
                <w:color w:val="auto"/>
              </w:rPr>
              <w:t>15,325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15,111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
              <w:spacing w:after="0"/>
              <w:rPr>
                <w:sz w:val="20"/>
                <w:szCs w:val="20"/>
                <w:color w:val="auto"/>
              </w:rPr>
            </w:pPr>
            <w:r>
              <w:rPr>
                <w:rFonts w:ascii="Arial" w:cs="Arial" w:eastAsia="Arial" w:hAnsi="Arial"/>
                <w:sz w:val="18"/>
                <w:szCs w:val="18"/>
                <w:color w:val="auto"/>
              </w:rPr>
              <w:t>214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center"/>
              <w:ind w:right="32"/>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7"/>
        </w:trPr>
        <w:tc>
          <w:tcPr>
            <w:tcW w:w="2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920" w:type="dxa"/>
            <w:vAlign w:val="bottom"/>
            <w:gridSpan w:val="6"/>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gridSpan w:val="4"/>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2920" w:type="dxa"/>
            <w:vAlign w:val="bottom"/>
            <w:tcBorders>
              <w:bottom w:val="single" w:sz="8" w:color="CCEEFF"/>
            </w:tcBorders>
            <w:gridSpan w:val="6"/>
            <w:shd w:val="clear" w:color="auto" w:fill="CCEEFF"/>
          </w:tcPr>
          <w:p>
            <w:pPr>
              <w:ind w:left="20"/>
              <w:spacing w:after="0"/>
              <w:rPr>
                <w:sz w:val="20"/>
                <w:szCs w:val="20"/>
                <w:color w:val="auto"/>
              </w:rPr>
            </w:pPr>
            <w:r>
              <w:rPr>
                <w:rFonts w:ascii="Arial" w:cs="Arial" w:eastAsia="Arial" w:hAnsi="Arial"/>
                <w:sz w:val="18"/>
                <w:szCs w:val="18"/>
                <w:color w:val="auto"/>
              </w:rPr>
              <w:t>U.S. Treasury 0.000% 4/7/2016</w:t>
            </w: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15,000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center"/>
              <w:ind w:right="32"/>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43"/>
        </w:trPr>
        <w:tc>
          <w:tcPr>
            <w:tcW w:w="2840" w:type="dxa"/>
            <w:vAlign w:val="bottom"/>
          </w:tcPr>
          <w:p>
            <w:pPr>
              <w:ind w:left="4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2920" w:type="dxa"/>
            <w:vAlign w:val="bottom"/>
            <w:gridSpan w:val="6"/>
          </w:tcPr>
          <w:p>
            <w:pPr>
              <w:ind w:left="20"/>
              <w:spacing w:after="0"/>
              <w:rPr>
                <w:sz w:val="20"/>
                <w:szCs w:val="20"/>
                <w:color w:val="auto"/>
              </w:rPr>
            </w:pPr>
            <w:r>
              <w:rPr>
                <w:rFonts w:ascii="Arial" w:cs="Arial" w:eastAsia="Arial" w:hAnsi="Arial"/>
                <w:sz w:val="18"/>
                <w:szCs w:val="18"/>
                <w:color w:val="auto"/>
              </w:rPr>
              <w:t>U.S. Treasury 1.625% 2/15/2026</w:t>
            </w: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4"/>
          </w:tcPr>
          <w:p>
            <w:pPr>
              <w:jc w:val="right"/>
              <w:ind w:right="220"/>
              <w:spacing w:after="0"/>
              <w:rPr>
                <w:sz w:val="20"/>
                <w:szCs w:val="20"/>
                <w:color w:val="auto"/>
              </w:rPr>
            </w:pPr>
            <w:r>
              <w:rPr>
                <w:rFonts w:ascii="Arial" w:cs="Arial" w:eastAsia="Arial" w:hAnsi="Arial"/>
                <w:sz w:val="18"/>
                <w:szCs w:val="18"/>
                <w:color w:val="auto"/>
              </w:rPr>
              <w:t>12,942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12,836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center"/>
              <w:ind w:right="32"/>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7"/>
        </w:trPr>
        <w:tc>
          <w:tcPr>
            <w:tcW w:w="2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920" w:type="dxa"/>
            <w:vAlign w:val="bottom"/>
            <w:gridSpan w:val="6"/>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gridSpan w:val="4"/>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2920" w:type="dxa"/>
            <w:vAlign w:val="bottom"/>
            <w:tcBorders>
              <w:bottom w:val="single" w:sz="8" w:color="CCEEFF"/>
            </w:tcBorders>
            <w:gridSpan w:val="6"/>
            <w:shd w:val="clear" w:color="auto" w:fill="CCEEFF"/>
          </w:tcPr>
          <w:p>
            <w:pPr>
              <w:ind w:left="20"/>
              <w:spacing w:after="0"/>
              <w:rPr>
                <w:sz w:val="20"/>
                <w:szCs w:val="20"/>
                <w:color w:val="auto"/>
              </w:rPr>
            </w:pPr>
            <w:r>
              <w:rPr>
                <w:rFonts w:ascii="Arial" w:cs="Arial" w:eastAsia="Arial" w:hAnsi="Arial"/>
                <w:sz w:val="18"/>
                <w:szCs w:val="18"/>
                <w:color w:val="auto"/>
              </w:rPr>
              <w:t>Fannie Mae 1.500% 6/22/2020</w:t>
            </w: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12,244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12,140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104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center"/>
              <w:ind w:right="32"/>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43"/>
        </w:trPr>
        <w:tc>
          <w:tcPr>
            <w:tcW w:w="2840" w:type="dxa"/>
            <w:vAlign w:val="bottom"/>
          </w:tcPr>
          <w:p>
            <w:pPr>
              <w:ind w:left="4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920" w:type="dxa"/>
            <w:vAlign w:val="bottom"/>
            <w:gridSpan w:val="6"/>
          </w:tcPr>
          <w:p>
            <w:pPr>
              <w:ind w:left="20"/>
              <w:spacing w:after="0"/>
              <w:rPr>
                <w:sz w:val="20"/>
                <w:szCs w:val="20"/>
                <w:color w:val="auto"/>
              </w:rPr>
            </w:pPr>
            <w:r>
              <w:rPr>
                <w:rFonts w:ascii="Arial" w:cs="Arial" w:eastAsia="Arial" w:hAnsi="Arial"/>
                <w:sz w:val="18"/>
                <w:szCs w:val="18"/>
                <w:color w:val="auto"/>
              </w:rPr>
              <w:t>U.S. Treasury 1.500% 2/28/2023</w:t>
            </w: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4"/>
          </w:tcPr>
          <w:p>
            <w:pPr>
              <w:jc w:val="right"/>
              <w:ind w:right="220"/>
              <w:spacing w:after="0"/>
              <w:rPr>
                <w:sz w:val="20"/>
                <w:szCs w:val="20"/>
                <w:color w:val="auto"/>
              </w:rPr>
            </w:pPr>
            <w:r>
              <w:rPr>
                <w:rFonts w:ascii="Arial" w:cs="Arial" w:eastAsia="Arial" w:hAnsi="Arial"/>
                <w:sz w:val="18"/>
                <w:szCs w:val="18"/>
                <w:color w:val="auto"/>
              </w:rPr>
              <w:t>10,075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9,911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
              <w:spacing w:after="0"/>
              <w:rPr>
                <w:sz w:val="20"/>
                <w:szCs w:val="20"/>
                <w:color w:val="auto"/>
              </w:rPr>
            </w:pPr>
            <w:r>
              <w:rPr>
                <w:rFonts w:ascii="Arial" w:cs="Arial" w:eastAsia="Arial" w:hAnsi="Arial"/>
                <w:sz w:val="18"/>
                <w:szCs w:val="18"/>
                <w:color w:val="auto"/>
              </w:rPr>
              <w:t>164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center"/>
              <w:ind w:right="32"/>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7"/>
        </w:trPr>
        <w:tc>
          <w:tcPr>
            <w:tcW w:w="2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9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165,933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163,383</w:t>
            </w:r>
          </w:p>
        </w:tc>
        <w:tc>
          <w:tcPr>
            <w:tcW w:w="3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2,550</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gridSpan w:val="3"/>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2940" w:type="dxa"/>
            <w:vAlign w:val="bottom"/>
            <w:gridSpan w:val="2"/>
          </w:tcPr>
          <w:p>
            <w:pPr>
              <w:ind w:left="40"/>
              <w:spacing w:after="0"/>
              <w:rPr>
                <w:sz w:val="20"/>
                <w:szCs w:val="20"/>
                <w:color w:val="auto"/>
              </w:rPr>
            </w:pPr>
            <w:r>
              <w:rPr>
                <w:rFonts w:ascii="Arial" w:cs="Arial" w:eastAsia="Arial" w:hAnsi="Arial"/>
                <w:sz w:val="18"/>
                <w:szCs w:val="18"/>
                <w:b w:val="1"/>
                <w:bCs w:val="1"/>
                <w:color w:val="auto"/>
              </w:rPr>
              <w:t>Percent of Investment Portfolio</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b w:val="1"/>
                <w:bCs w:val="1"/>
                <w:color w:val="auto"/>
                <w:w w:val="93"/>
              </w:rPr>
              <w:t>12.1%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660" w:right="320" w:hanging="328"/>
        <w:spacing w:after="0" w:line="279"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As of March 31, 2016, for securities in unrealized loss positions, management believes decline in fair values is principally associated with the changes in the interest rate environment subsequent to their purchase and there are no other-than-temporary impairments. Also, see Note 3 to our condensed consolidated financial statements, which summarizes the aggregate amount of gross unrealized losses by asset class in which the fair value of investments has been less than cost for less than 12 months and for 12 months or more.</w:t>
      </w:r>
    </w:p>
    <w:p>
      <w:pPr>
        <w:spacing w:after="0" w:line="171" w:lineRule="exact"/>
        <w:rPr>
          <w:rFonts w:ascii="Arial" w:cs="Arial" w:eastAsia="Arial" w:hAnsi="Arial"/>
          <w:sz w:val="17"/>
          <w:szCs w:val="17"/>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ratings issued by Moody’s, if available. S&amp;P rating utilized if Moody’s not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-816610</wp:posOffset>
            </wp:positionV>
            <wp:extent cx="14147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80" w:type="dxa"/>
            <w:vAlign w:val="bottom"/>
            <w:gridSpan w:val="2"/>
          </w:tcPr>
          <w:p>
            <w:pPr>
              <w:ind w:left="40"/>
              <w:spacing w:after="0"/>
              <w:rPr>
                <w:sz w:val="20"/>
                <w:szCs w:val="20"/>
                <w:color w:val="auto"/>
              </w:rPr>
            </w:pPr>
            <w:r>
              <w:rPr>
                <w:rFonts w:ascii="Arial" w:cs="Arial" w:eastAsia="Arial" w:hAnsi="Arial"/>
                <w:sz w:val="14"/>
                <w:szCs w:val="14"/>
                <w:b w:val="1"/>
                <w:bCs w:val="1"/>
                <w:color w:val="auto"/>
              </w:rPr>
              <w:t>Rank</w:t>
            </w:r>
          </w:p>
        </w:tc>
        <w:tc>
          <w:tcPr>
            <w:tcW w:w="16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4180" w:type="dxa"/>
            <w:vAlign w:val="bottom"/>
            <w:tcBorders>
              <w:bottom w:val="single" w:sz="8" w:color="auto"/>
            </w:tcBorders>
            <w:gridSpan w:val="3"/>
          </w:tcPr>
          <w:p>
            <w:pPr>
              <w:jc w:val="right"/>
              <w:ind w:right="2300"/>
              <w:spacing w:after="0"/>
              <w:rPr>
                <w:sz w:val="20"/>
                <w:szCs w:val="20"/>
                <w:color w:val="auto"/>
              </w:rPr>
            </w:pPr>
            <w:r>
              <w:rPr>
                <w:rFonts w:ascii="Arial" w:cs="Arial" w:eastAsia="Arial" w:hAnsi="Arial"/>
                <w:sz w:val="14"/>
                <w:szCs w:val="14"/>
                <w:b w:val="1"/>
                <w:bCs w:val="1"/>
                <w:color w:val="auto"/>
              </w:rPr>
              <w:t>December 31, 2015</w:t>
            </w:r>
          </w:p>
        </w:tc>
        <w:tc>
          <w:tcPr>
            <w:tcW w:w="1200" w:type="dxa"/>
            <w:vAlign w:val="bottom"/>
            <w:tcBorders>
              <w:bottom w:val="single" w:sz="8" w:color="auto"/>
            </w:tcBorders>
          </w:tcPr>
          <w:p>
            <w:pPr>
              <w:spacing w:after="0"/>
              <w:rPr>
                <w:sz w:val="16"/>
                <w:szCs w:val="16"/>
                <w:color w:val="auto"/>
              </w:rPr>
            </w:pPr>
          </w:p>
        </w:tc>
      </w:tr>
      <w:tr>
        <w:trPr>
          <w:trHeight w:val="264"/>
        </w:trPr>
        <w:tc>
          <w:tcPr>
            <w:tcW w:w="31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in thousands)</w:t>
            </w:r>
          </w:p>
        </w:tc>
        <w:tc>
          <w:tcPr>
            <w:tcW w:w="120" w:type="dxa"/>
            <w:vAlign w:val="bottom"/>
            <w:tcBorders>
              <w:bottom w:val="single" w:sz="8" w:color="CCEEFF"/>
            </w:tcBorders>
          </w:tcPr>
          <w:p>
            <w:pPr>
              <w:spacing w:after="0"/>
              <w:rPr>
                <w:sz w:val="22"/>
                <w:szCs w:val="22"/>
                <w:color w:val="auto"/>
              </w:rPr>
            </w:pPr>
          </w:p>
        </w:tc>
        <w:tc>
          <w:tcPr>
            <w:tcW w:w="16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3800" w:type="dxa"/>
            <w:vAlign w:val="bottom"/>
            <w:tcBorders>
              <w:bottom w:val="single" w:sz="8" w:color="auto"/>
            </w:tcBorders>
          </w:tcPr>
          <w:p>
            <w:pPr>
              <w:jc w:val="right"/>
              <w:ind w:right="2939"/>
              <w:spacing w:after="0"/>
              <w:rPr>
                <w:sz w:val="20"/>
                <w:szCs w:val="20"/>
                <w:color w:val="auto"/>
              </w:rPr>
            </w:pPr>
            <w:r>
              <w:rPr>
                <w:rFonts w:ascii="Arial" w:cs="Arial" w:eastAsia="Arial" w:hAnsi="Arial"/>
                <w:sz w:val="14"/>
                <w:szCs w:val="14"/>
                <w:b w:val="1"/>
                <w:bCs w:val="1"/>
                <w:color w:val="auto"/>
              </w:rPr>
              <w:t>Security</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Fair Value</w:t>
            </w: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U.S. Treasury 2.125% 5/15/2025</w:t>
            </w:r>
          </w:p>
        </w:tc>
        <w:tc>
          <w:tcPr>
            <w:tcW w:w="41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24,974</w:t>
            </w: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2760" w:type="dxa"/>
            <w:vAlign w:val="bottom"/>
            <w:gridSpan w:val="2"/>
          </w:tcPr>
          <w:p>
            <w:pPr>
              <w:ind w:left="20"/>
              <w:spacing w:after="0"/>
              <w:rPr>
                <w:sz w:val="20"/>
                <w:szCs w:val="20"/>
                <w:color w:val="auto"/>
              </w:rPr>
            </w:pPr>
            <w:r>
              <w:rPr>
                <w:rFonts w:ascii="Arial" w:cs="Arial" w:eastAsia="Arial" w:hAnsi="Arial"/>
                <w:sz w:val="18"/>
                <w:szCs w:val="18"/>
                <w:color w:val="auto"/>
              </w:rPr>
              <w:t>Ginnie Mae 4.000% 8/20/2045</w:t>
            </w:r>
          </w:p>
        </w:tc>
        <w:tc>
          <w:tcPr>
            <w:tcW w:w="3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1"/>
              <w:spacing w:after="0"/>
              <w:rPr>
                <w:sz w:val="20"/>
                <w:szCs w:val="20"/>
                <w:color w:val="auto"/>
              </w:rPr>
            </w:pPr>
            <w:r>
              <w:rPr>
                <w:rFonts w:ascii="Arial" w:cs="Arial" w:eastAsia="Arial" w:hAnsi="Arial"/>
                <w:sz w:val="18"/>
                <w:szCs w:val="18"/>
                <w:color w:val="auto"/>
              </w:rPr>
              <w:t>21,711</w:t>
            </w:r>
          </w:p>
        </w:tc>
      </w:tr>
      <w:tr>
        <w:trPr>
          <w:trHeight w:val="27"/>
        </w:trPr>
        <w:tc>
          <w:tcPr>
            <w:tcW w:w="3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60" w:type="dxa"/>
            <w:vAlign w:val="bottom"/>
            <w:gridSpan w:val="2"/>
          </w:tcPr>
          <w:p>
            <w:pPr>
              <w:spacing w:after="0"/>
              <w:rPr>
                <w:sz w:val="2"/>
                <w:szCs w:val="2"/>
                <w:color w:val="auto"/>
              </w:rPr>
            </w:pPr>
          </w:p>
        </w:tc>
        <w:tc>
          <w:tcPr>
            <w:tcW w:w="3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2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w w:val="99"/>
              </w:rPr>
              <w:t>U.S. Treasury 2.250% 11/15/2024</w:t>
            </w:r>
          </w:p>
        </w:tc>
        <w:tc>
          <w:tcPr>
            <w:tcW w:w="3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16,495</w:t>
            </w: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2760" w:type="dxa"/>
            <w:vAlign w:val="bottom"/>
            <w:gridSpan w:val="2"/>
          </w:tcPr>
          <w:p>
            <w:pPr>
              <w:ind w:left="20"/>
              <w:spacing w:after="0"/>
              <w:rPr>
                <w:sz w:val="20"/>
                <w:szCs w:val="20"/>
                <w:color w:val="auto"/>
              </w:rPr>
            </w:pPr>
            <w:r>
              <w:rPr>
                <w:rFonts w:ascii="Arial" w:cs="Arial" w:eastAsia="Arial" w:hAnsi="Arial"/>
                <w:sz w:val="18"/>
                <w:szCs w:val="18"/>
                <w:color w:val="auto"/>
              </w:rPr>
              <w:t>Freddie Mac 2.500% 10/1/2030</w:t>
            </w:r>
          </w:p>
        </w:tc>
        <w:tc>
          <w:tcPr>
            <w:tcW w:w="3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1"/>
              <w:spacing w:after="0"/>
              <w:rPr>
                <w:sz w:val="20"/>
                <w:szCs w:val="20"/>
                <w:color w:val="auto"/>
              </w:rPr>
            </w:pPr>
            <w:r>
              <w:rPr>
                <w:rFonts w:ascii="Arial" w:cs="Arial" w:eastAsia="Arial" w:hAnsi="Arial"/>
                <w:sz w:val="18"/>
                <w:szCs w:val="18"/>
                <w:color w:val="auto"/>
              </w:rPr>
              <w:t>15,697</w:t>
            </w:r>
          </w:p>
        </w:tc>
      </w:tr>
      <w:tr>
        <w:trPr>
          <w:trHeight w:val="27"/>
        </w:trPr>
        <w:tc>
          <w:tcPr>
            <w:tcW w:w="3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60" w:type="dxa"/>
            <w:vAlign w:val="bottom"/>
            <w:gridSpan w:val="2"/>
          </w:tcPr>
          <w:p>
            <w:pPr>
              <w:spacing w:after="0"/>
              <w:rPr>
                <w:sz w:val="2"/>
                <w:szCs w:val="2"/>
                <w:color w:val="auto"/>
              </w:rPr>
            </w:pPr>
          </w:p>
        </w:tc>
        <w:tc>
          <w:tcPr>
            <w:tcW w:w="3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2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U.S. Treasury 2.125% 6/30/2022</w:t>
            </w:r>
          </w:p>
        </w:tc>
        <w:tc>
          <w:tcPr>
            <w:tcW w:w="3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15,080</w:t>
            </w: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1640" w:type="dxa"/>
            <w:vAlign w:val="bottom"/>
          </w:tcPr>
          <w:p>
            <w:pPr>
              <w:ind w:left="20"/>
              <w:spacing w:after="0"/>
              <w:rPr>
                <w:sz w:val="20"/>
                <w:szCs w:val="20"/>
                <w:color w:val="auto"/>
              </w:rPr>
            </w:pPr>
            <w:r>
              <w:rPr>
                <w:rFonts w:ascii="Arial" w:cs="Arial" w:eastAsia="Arial" w:hAnsi="Arial"/>
                <w:sz w:val="18"/>
                <w:szCs w:val="18"/>
                <w:color w:val="auto"/>
                <w:w w:val="90"/>
              </w:rPr>
              <w:t>U.S. Treasury 0.000%</w:t>
            </w:r>
          </w:p>
        </w:tc>
        <w:tc>
          <w:tcPr>
            <w:tcW w:w="1120" w:type="dxa"/>
            <w:vAlign w:val="bottom"/>
          </w:tcPr>
          <w:p>
            <w:pPr>
              <w:ind w:left="20"/>
              <w:spacing w:after="0"/>
              <w:rPr>
                <w:sz w:val="20"/>
                <w:szCs w:val="20"/>
                <w:color w:val="auto"/>
              </w:rPr>
            </w:pPr>
            <w:r>
              <w:rPr>
                <w:rFonts w:ascii="Arial" w:cs="Arial" w:eastAsia="Arial" w:hAnsi="Arial"/>
                <w:sz w:val="18"/>
                <w:szCs w:val="18"/>
                <w:color w:val="auto"/>
              </w:rPr>
              <w:t>3/3/2016</w:t>
            </w:r>
          </w:p>
        </w:tc>
        <w:tc>
          <w:tcPr>
            <w:tcW w:w="3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1"/>
              <w:spacing w:after="0"/>
              <w:rPr>
                <w:sz w:val="20"/>
                <w:szCs w:val="20"/>
                <w:color w:val="auto"/>
              </w:rPr>
            </w:pPr>
            <w:r>
              <w:rPr>
                <w:rFonts w:ascii="Arial" w:cs="Arial" w:eastAsia="Arial" w:hAnsi="Arial"/>
                <w:sz w:val="18"/>
                <w:szCs w:val="18"/>
                <w:color w:val="auto"/>
              </w:rPr>
              <w:t>14,997</w:t>
            </w:r>
          </w:p>
        </w:tc>
      </w:tr>
      <w:tr>
        <w:trPr>
          <w:trHeight w:val="27"/>
        </w:trPr>
        <w:tc>
          <w:tcPr>
            <w:tcW w:w="3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60" w:type="dxa"/>
            <w:vAlign w:val="bottom"/>
            <w:gridSpan w:val="2"/>
          </w:tcPr>
          <w:p>
            <w:pPr>
              <w:spacing w:after="0"/>
              <w:rPr>
                <w:sz w:val="2"/>
                <w:szCs w:val="2"/>
                <w:color w:val="auto"/>
              </w:rPr>
            </w:pPr>
          </w:p>
        </w:tc>
        <w:tc>
          <w:tcPr>
            <w:tcW w:w="3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2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Fannie Mae 1.500% 6/22/2020</w:t>
            </w:r>
          </w:p>
        </w:tc>
        <w:tc>
          <w:tcPr>
            <w:tcW w:w="3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11,362</w:t>
            </w: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1640" w:type="dxa"/>
            <w:vAlign w:val="bottom"/>
          </w:tcPr>
          <w:p>
            <w:pPr>
              <w:ind w:left="20"/>
              <w:spacing w:after="0"/>
              <w:rPr>
                <w:sz w:val="20"/>
                <w:szCs w:val="20"/>
                <w:color w:val="auto"/>
              </w:rPr>
            </w:pPr>
            <w:r>
              <w:rPr>
                <w:rFonts w:ascii="Arial" w:cs="Arial" w:eastAsia="Arial" w:hAnsi="Arial"/>
                <w:sz w:val="18"/>
                <w:szCs w:val="18"/>
                <w:color w:val="auto"/>
                <w:w w:val="90"/>
              </w:rPr>
              <w:t>U.S. Treasury 2.250%</w:t>
            </w:r>
          </w:p>
        </w:tc>
        <w:tc>
          <w:tcPr>
            <w:tcW w:w="1120" w:type="dxa"/>
            <w:vAlign w:val="bottom"/>
          </w:tcPr>
          <w:p>
            <w:pPr>
              <w:ind w:left="20"/>
              <w:spacing w:after="0"/>
              <w:rPr>
                <w:sz w:val="20"/>
                <w:szCs w:val="20"/>
                <w:color w:val="auto"/>
              </w:rPr>
            </w:pPr>
            <w:r>
              <w:rPr>
                <w:rFonts w:ascii="Arial" w:cs="Arial" w:eastAsia="Arial" w:hAnsi="Arial"/>
                <w:sz w:val="18"/>
                <w:szCs w:val="18"/>
                <w:color w:val="auto"/>
              </w:rPr>
              <w:t>11/15/2025</w:t>
            </w:r>
          </w:p>
        </w:tc>
        <w:tc>
          <w:tcPr>
            <w:tcW w:w="3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1"/>
              <w:spacing w:after="0"/>
              <w:rPr>
                <w:sz w:val="20"/>
                <w:szCs w:val="20"/>
                <w:color w:val="auto"/>
              </w:rPr>
            </w:pPr>
            <w:r>
              <w:rPr>
                <w:rFonts w:ascii="Arial" w:cs="Arial" w:eastAsia="Arial" w:hAnsi="Arial"/>
                <w:sz w:val="18"/>
                <w:szCs w:val="18"/>
                <w:color w:val="auto"/>
              </w:rPr>
              <w:t>10,329</w:t>
            </w:r>
          </w:p>
        </w:tc>
      </w:tr>
      <w:tr>
        <w:trPr>
          <w:trHeight w:val="27"/>
        </w:trPr>
        <w:tc>
          <w:tcPr>
            <w:tcW w:w="3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0"/>
              </w:rPr>
              <w:t>U.S. Treasury 1.000%</w:t>
            </w:r>
          </w:p>
        </w:tc>
        <w:tc>
          <w:tcPr>
            <w:tcW w:w="1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9/30/2016</w:t>
            </w:r>
          </w:p>
        </w:tc>
        <w:tc>
          <w:tcPr>
            <w:tcW w:w="3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10,020</w:t>
            </w: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640" w:type="dxa"/>
            <w:vAlign w:val="bottom"/>
          </w:tcPr>
          <w:p>
            <w:pPr>
              <w:ind w:left="20"/>
              <w:spacing w:after="0"/>
              <w:rPr>
                <w:sz w:val="20"/>
                <w:szCs w:val="20"/>
                <w:color w:val="auto"/>
              </w:rPr>
            </w:pPr>
            <w:r>
              <w:rPr>
                <w:rFonts w:ascii="Arial" w:cs="Arial" w:eastAsia="Arial" w:hAnsi="Arial"/>
                <w:sz w:val="18"/>
                <w:szCs w:val="18"/>
                <w:color w:val="auto"/>
                <w:w w:val="90"/>
              </w:rPr>
              <w:t>U.S. Treasury 0.750%</w:t>
            </w:r>
          </w:p>
        </w:tc>
        <w:tc>
          <w:tcPr>
            <w:tcW w:w="1120" w:type="dxa"/>
            <w:vAlign w:val="bottom"/>
          </w:tcPr>
          <w:p>
            <w:pPr>
              <w:ind w:left="20"/>
              <w:spacing w:after="0"/>
              <w:rPr>
                <w:sz w:val="20"/>
                <w:szCs w:val="20"/>
                <w:color w:val="auto"/>
              </w:rPr>
            </w:pPr>
            <w:r>
              <w:rPr>
                <w:rFonts w:ascii="Arial" w:cs="Arial" w:eastAsia="Arial" w:hAnsi="Arial"/>
                <w:sz w:val="18"/>
                <w:szCs w:val="18"/>
                <w:color w:val="auto"/>
              </w:rPr>
              <w:t>3/15/2017</w:t>
            </w:r>
          </w:p>
        </w:tc>
        <w:tc>
          <w:tcPr>
            <w:tcW w:w="3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1"/>
              <w:spacing w:after="0"/>
              <w:rPr>
                <w:sz w:val="20"/>
                <w:szCs w:val="20"/>
                <w:color w:val="auto"/>
              </w:rPr>
            </w:pPr>
            <w:r>
              <w:rPr>
                <w:rFonts w:ascii="Arial" w:cs="Arial" w:eastAsia="Arial" w:hAnsi="Arial"/>
                <w:sz w:val="18"/>
                <w:szCs w:val="18"/>
                <w:color w:val="auto"/>
              </w:rPr>
              <w:t>9,987</w:t>
            </w:r>
          </w:p>
        </w:tc>
      </w:tr>
      <w:tr>
        <w:trPr>
          <w:trHeight w:val="27"/>
        </w:trPr>
        <w:tc>
          <w:tcPr>
            <w:tcW w:w="3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38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32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6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41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150,652</w:t>
            </w: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3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5960" w:type="dxa"/>
            <w:vAlign w:val="bottom"/>
            <w:gridSpan w:val="2"/>
          </w:tcPr>
          <w:p>
            <w:pPr>
              <w:ind w:left="40"/>
              <w:spacing w:after="0"/>
              <w:rPr>
                <w:sz w:val="20"/>
                <w:szCs w:val="20"/>
                <w:color w:val="auto"/>
              </w:rPr>
            </w:pPr>
            <w:r>
              <w:rPr>
                <w:rFonts w:ascii="Arial" w:cs="Arial" w:eastAsia="Arial" w:hAnsi="Arial"/>
                <w:sz w:val="18"/>
                <w:szCs w:val="18"/>
                <w:b w:val="1"/>
                <w:bCs w:val="1"/>
                <w:color w:val="auto"/>
              </w:rPr>
              <w:t>Percent of Investment Portfolio</w:t>
            </w:r>
          </w:p>
        </w:tc>
        <w:tc>
          <w:tcPr>
            <w:tcW w:w="3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11.8%</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5"/>
        </w:trPr>
        <w:tc>
          <w:tcPr>
            <w:tcW w:w="11420" w:type="dxa"/>
            <w:vAlign w:val="bottom"/>
            <w:gridSpan w:val="10"/>
          </w:tcPr>
          <w:p>
            <w:pPr>
              <w:ind w:left="660"/>
              <w:spacing w:after="0"/>
              <w:rPr>
                <w:sz w:val="20"/>
                <w:szCs w:val="20"/>
                <w:color w:val="auto"/>
              </w:rPr>
            </w:pPr>
            <w:r>
              <w:rPr>
                <w:rFonts w:ascii="Arial" w:cs="Arial" w:eastAsia="Arial" w:hAnsi="Arial"/>
                <w:sz w:val="18"/>
                <w:szCs w:val="18"/>
                <w:color w:val="auto"/>
                <w:w w:val="92"/>
              </w:rPr>
              <w:t>The following table includes municipal debt securities for states that represent more than 10% of the total municipal bond position as of March 31,</w:t>
            </w:r>
          </w:p>
        </w:tc>
        <w:tc>
          <w:tcPr>
            <w:tcW w:w="0" w:type="dxa"/>
            <w:vAlign w:val="bottom"/>
          </w:tcPr>
          <w:p>
            <w:pPr>
              <w:spacing w:after="0"/>
              <w:rPr>
                <w:sz w:val="1"/>
                <w:szCs w:val="1"/>
                <w:color w:val="auto"/>
              </w:rPr>
            </w:pPr>
          </w:p>
        </w:tc>
      </w:tr>
      <w:tr>
        <w:trPr>
          <w:trHeight w:val="230"/>
        </w:trPr>
        <w:tc>
          <w:tcPr>
            <w:tcW w:w="5820" w:type="dxa"/>
            <w:vAlign w:val="bottom"/>
          </w:tcPr>
          <w:p>
            <w:pPr>
              <w:spacing w:after="0"/>
              <w:rPr>
                <w:sz w:val="20"/>
                <w:szCs w:val="20"/>
                <w:color w:val="auto"/>
              </w:rPr>
            </w:pPr>
            <w:r>
              <w:rPr>
                <w:rFonts w:ascii="Arial" w:cs="Arial" w:eastAsia="Arial" w:hAnsi="Arial"/>
                <w:sz w:val="18"/>
                <w:szCs w:val="18"/>
                <w:color w:val="auto"/>
              </w:rPr>
              <w:t>2016:</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4"/>
        </w:trPr>
        <w:tc>
          <w:tcPr>
            <w:tcW w:w="58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in thousands)</w:t>
            </w:r>
          </w:p>
        </w:tc>
        <w:tc>
          <w:tcPr>
            <w:tcW w:w="140" w:type="dxa"/>
            <w:vAlign w:val="bottom"/>
            <w:vMerge w:val="restart"/>
          </w:tcPr>
          <w:p>
            <w:pPr>
              <w:spacing w:after="0"/>
              <w:rPr>
                <w:sz w:val="24"/>
                <w:szCs w:val="24"/>
                <w:color w:val="auto"/>
              </w:rPr>
            </w:pPr>
          </w:p>
        </w:tc>
        <w:tc>
          <w:tcPr>
            <w:tcW w:w="320" w:type="dxa"/>
            <w:vAlign w:val="bottom"/>
          </w:tcPr>
          <w:p>
            <w:pPr>
              <w:spacing w:after="0"/>
              <w:rPr>
                <w:sz w:val="24"/>
                <w:szCs w:val="24"/>
                <w:color w:val="auto"/>
              </w:rPr>
            </w:pPr>
          </w:p>
        </w:tc>
        <w:tc>
          <w:tcPr>
            <w:tcW w:w="1400" w:type="dxa"/>
            <w:vAlign w:val="bottom"/>
            <w:vMerge w:val="restart"/>
          </w:tcPr>
          <w:p>
            <w:pPr>
              <w:jc w:val="right"/>
              <w:ind w:right="451"/>
              <w:spacing w:after="0"/>
              <w:rPr>
                <w:sz w:val="20"/>
                <w:szCs w:val="20"/>
                <w:color w:val="auto"/>
              </w:rPr>
            </w:pPr>
            <w:r>
              <w:rPr>
                <w:rFonts w:ascii="Arial" w:cs="Arial" w:eastAsia="Arial" w:hAnsi="Arial"/>
                <w:sz w:val="14"/>
                <w:szCs w:val="14"/>
                <w:b w:val="1"/>
                <w:bCs w:val="1"/>
                <w:color w:val="auto"/>
              </w:rPr>
              <w:t>Fair Value</w:t>
            </w:r>
          </w:p>
        </w:tc>
        <w:tc>
          <w:tcPr>
            <w:tcW w:w="100" w:type="dxa"/>
            <w:vAlign w:val="bottom"/>
            <w:vMerge w:val="restart"/>
          </w:tcPr>
          <w:p>
            <w:pPr>
              <w:spacing w:after="0"/>
              <w:rPr>
                <w:sz w:val="24"/>
                <w:szCs w:val="24"/>
                <w:color w:val="auto"/>
              </w:rPr>
            </w:pPr>
          </w:p>
        </w:tc>
        <w:tc>
          <w:tcPr>
            <w:tcW w:w="320" w:type="dxa"/>
            <w:vAlign w:val="bottom"/>
          </w:tcPr>
          <w:p>
            <w:pPr>
              <w:spacing w:after="0"/>
              <w:rPr>
                <w:sz w:val="24"/>
                <w:szCs w:val="24"/>
                <w:color w:val="auto"/>
              </w:rPr>
            </w:pPr>
          </w:p>
        </w:tc>
        <w:tc>
          <w:tcPr>
            <w:tcW w:w="1840" w:type="dxa"/>
            <w:vAlign w:val="bottom"/>
            <w:gridSpan w:val="3"/>
          </w:tcPr>
          <w:p>
            <w:pPr>
              <w:ind w:left="220"/>
              <w:spacing w:after="0"/>
              <w:rPr>
                <w:sz w:val="20"/>
                <w:szCs w:val="20"/>
                <w:color w:val="auto"/>
              </w:rPr>
            </w:pPr>
            <w:r>
              <w:rPr>
                <w:rFonts w:ascii="Arial" w:cs="Arial" w:eastAsia="Arial" w:hAnsi="Arial"/>
                <w:sz w:val="14"/>
                <w:szCs w:val="14"/>
                <w:b w:val="1"/>
                <w:bCs w:val="1"/>
                <w:color w:val="auto"/>
              </w:rPr>
              <w:t>Amortized</w:t>
            </w:r>
          </w:p>
        </w:tc>
        <w:tc>
          <w:tcPr>
            <w:tcW w:w="1480" w:type="dxa"/>
            <w:vAlign w:val="bottom"/>
          </w:tcPr>
          <w:p>
            <w:pPr>
              <w:jc w:val="center"/>
              <w:ind w:right="272"/>
              <w:spacing w:after="0"/>
              <w:rPr>
                <w:sz w:val="20"/>
                <w:szCs w:val="20"/>
                <w:color w:val="auto"/>
              </w:rPr>
            </w:pPr>
            <w:r>
              <w:rPr>
                <w:rFonts w:ascii="Arial" w:cs="Arial" w:eastAsia="Arial" w:hAnsi="Arial"/>
                <w:sz w:val="14"/>
                <w:szCs w:val="14"/>
                <w:b w:val="1"/>
                <w:bCs w:val="1"/>
                <w:color w:val="auto"/>
                <w:w w:val="98"/>
              </w:rPr>
              <w:t>Credit</w:t>
            </w:r>
          </w:p>
        </w:tc>
        <w:tc>
          <w:tcPr>
            <w:tcW w:w="0" w:type="dxa"/>
            <w:vAlign w:val="bottom"/>
          </w:tcPr>
          <w:p>
            <w:pPr>
              <w:spacing w:after="0"/>
              <w:rPr>
                <w:sz w:val="1"/>
                <w:szCs w:val="1"/>
                <w:color w:val="auto"/>
              </w:rPr>
            </w:pPr>
          </w:p>
        </w:tc>
      </w:tr>
      <w:tr>
        <w:trPr>
          <w:trHeight w:val="192"/>
        </w:trPr>
        <w:tc>
          <w:tcPr>
            <w:tcW w:w="582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Cost</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252"/>
              <w:spacing w:after="0"/>
              <w:rPr>
                <w:sz w:val="20"/>
                <w:szCs w:val="20"/>
                <w:color w:val="auto"/>
              </w:rPr>
            </w:pPr>
            <w:r>
              <w:rPr>
                <w:rFonts w:ascii="Arial" w:cs="Arial" w:eastAsia="Arial" w:hAnsi="Arial"/>
                <w:sz w:val="14"/>
                <w:szCs w:val="14"/>
                <w:b w:val="1"/>
                <w:bCs w:val="1"/>
                <w:color w:val="auto"/>
                <w:w w:val="96"/>
              </w:rPr>
              <w:t>Rating (1), (2)</w:t>
            </w:r>
          </w:p>
        </w:tc>
        <w:tc>
          <w:tcPr>
            <w:tcW w:w="0" w:type="dxa"/>
            <w:vAlign w:val="bottom"/>
          </w:tcPr>
          <w:p>
            <w:pPr>
              <w:spacing w:after="0"/>
              <w:rPr>
                <w:sz w:val="1"/>
                <w:szCs w:val="1"/>
                <w:color w:val="auto"/>
              </w:rPr>
            </w:pPr>
          </w:p>
        </w:tc>
      </w:tr>
      <w:tr>
        <w:trPr>
          <w:trHeight w:val="250"/>
        </w:trPr>
        <w:tc>
          <w:tcPr>
            <w:tcW w:w="5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Texas</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60" w:type="dxa"/>
            <w:vAlign w:val="bottom"/>
            <w:gridSpan w:val="2"/>
          </w:tcPr>
          <w:p>
            <w:pPr>
              <w:ind w:left="280"/>
              <w:spacing w:after="0"/>
              <w:rPr>
                <w:sz w:val="20"/>
                <w:szCs w:val="20"/>
                <w:color w:val="auto"/>
              </w:rPr>
            </w:pPr>
            <w:r>
              <w:rPr>
                <w:rFonts w:ascii="Arial" w:cs="Arial" w:eastAsia="Arial" w:hAnsi="Arial"/>
                <w:sz w:val="18"/>
                <w:szCs w:val="18"/>
                <w:color w:val="auto"/>
              </w:rPr>
              <w:t>State of Texas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8,705</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8,525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80" w:type="dxa"/>
            <w:vAlign w:val="bottom"/>
          </w:tcPr>
          <w:p>
            <w:pPr>
              <w:jc w:val="center"/>
              <w:ind w:right="252"/>
              <w:spacing w:after="0"/>
              <w:rPr>
                <w:sz w:val="20"/>
                <w:szCs w:val="20"/>
                <w:color w:val="auto"/>
              </w:rPr>
            </w:pPr>
            <w:r>
              <w:rPr>
                <w:rFonts w:ascii="Arial" w:cs="Arial" w:eastAsia="Arial" w:hAnsi="Arial"/>
                <w:sz w:val="18"/>
                <w:szCs w:val="18"/>
                <w:color w:val="auto"/>
                <w:w w:val="90"/>
              </w:rPr>
              <w:t>Baa1</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City of Houston</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5,808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5,651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ind w:right="252"/>
              <w:spacing w:after="0"/>
              <w:rPr>
                <w:sz w:val="20"/>
                <w:szCs w:val="20"/>
                <w:color w:val="auto"/>
              </w:rPr>
            </w:pPr>
            <w:r>
              <w:rPr>
                <w:rFonts w:ascii="Arial" w:cs="Arial" w:eastAsia="Arial" w:hAnsi="Arial"/>
                <w:sz w:val="18"/>
                <w:szCs w:val="18"/>
                <w:color w:val="auto"/>
                <w:w w:val="93"/>
              </w:rPr>
              <w:t>Aa3</w:t>
            </w:r>
          </w:p>
        </w:tc>
        <w:tc>
          <w:tcPr>
            <w:tcW w:w="0" w:type="dxa"/>
            <w:vAlign w:val="bottom"/>
          </w:tcPr>
          <w:p>
            <w:pPr>
              <w:spacing w:after="0"/>
              <w:rPr>
                <w:sz w:val="1"/>
                <w:szCs w:val="1"/>
                <w:color w:val="auto"/>
              </w:rPr>
            </w:pPr>
          </w:p>
        </w:tc>
      </w:tr>
      <w:tr>
        <w:trPr>
          <w:trHeight w:val="243"/>
        </w:trPr>
        <w:tc>
          <w:tcPr>
            <w:tcW w:w="5960" w:type="dxa"/>
            <w:vAlign w:val="bottom"/>
            <w:gridSpan w:val="2"/>
          </w:tcPr>
          <w:p>
            <w:pPr>
              <w:ind w:left="280"/>
              <w:spacing w:after="0"/>
              <w:rPr>
                <w:sz w:val="20"/>
                <w:szCs w:val="20"/>
                <w:color w:val="auto"/>
              </w:rPr>
            </w:pPr>
            <w:r>
              <w:rPr>
                <w:rFonts w:ascii="Arial" w:cs="Arial" w:eastAsia="Arial" w:hAnsi="Arial"/>
                <w:sz w:val="18"/>
                <w:szCs w:val="18"/>
                <w:color w:val="auto"/>
              </w:rPr>
              <w:t>University of Houston System</w:t>
            </w:r>
          </w:p>
        </w:tc>
        <w:tc>
          <w:tcPr>
            <w:tcW w:w="32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3,403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3,392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80" w:type="dxa"/>
            <w:vAlign w:val="bottom"/>
          </w:tcPr>
          <w:p>
            <w:pPr>
              <w:jc w:val="center"/>
              <w:ind w:right="252"/>
              <w:spacing w:after="0"/>
              <w:rPr>
                <w:sz w:val="20"/>
                <w:szCs w:val="20"/>
                <w:color w:val="auto"/>
              </w:rPr>
            </w:pPr>
            <w:r>
              <w:rPr>
                <w:rFonts w:ascii="Arial" w:cs="Arial" w:eastAsia="Arial" w:hAnsi="Arial"/>
                <w:sz w:val="18"/>
                <w:szCs w:val="18"/>
                <w:color w:val="auto"/>
                <w:w w:val="93"/>
              </w:rPr>
              <w:t>Aa2</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Dallas/Fort Worth International Airport</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3,045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2,770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ind w:right="252"/>
              <w:spacing w:after="0"/>
              <w:rPr>
                <w:sz w:val="20"/>
                <w:szCs w:val="20"/>
                <w:color w:val="auto"/>
              </w:rPr>
            </w:pPr>
            <w:r>
              <w:rPr>
                <w:rFonts w:ascii="Arial" w:cs="Arial" w:eastAsia="Arial" w:hAnsi="Arial"/>
                <w:sz w:val="18"/>
                <w:szCs w:val="18"/>
                <w:color w:val="auto"/>
                <w:w w:val="99"/>
              </w:rPr>
              <w:t>A1</w:t>
            </w:r>
          </w:p>
        </w:tc>
        <w:tc>
          <w:tcPr>
            <w:tcW w:w="0" w:type="dxa"/>
            <w:vAlign w:val="bottom"/>
          </w:tcPr>
          <w:p>
            <w:pPr>
              <w:spacing w:after="0"/>
              <w:rPr>
                <w:sz w:val="1"/>
                <w:szCs w:val="1"/>
                <w:color w:val="auto"/>
              </w:rPr>
            </w:pPr>
          </w:p>
        </w:tc>
      </w:tr>
      <w:tr>
        <w:trPr>
          <w:trHeight w:val="243"/>
        </w:trPr>
        <w:tc>
          <w:tcPr>
            <w:tcW w:w="5960" w:type="dxa"/>
            <w:vAlign w:val="bottom"/>
            <w:gridSpan w:val="2"/>
          </w:tcPr>
          <w:p>
            <w:pPr>
              <w:ind w:left="280"/>
              <w:spacing w:after="0"/>
              <w:rPr>
                <w:sz w:val="20"/>
                <w:szCs w:val="20"/>
                <w:color w:val="auto"/>
              </w:rPr>
            </w:pPr>
            <w:r>
              <w:rPr>
                <w:rFonts w:ascii="Arial" w:cs="Arial" w:eastAsia="Arial" w:hAnsi="Arial"/>
                <w:sz w:val="18"/>
                <w:szCs w:val="18"/>
                <w:color w:val="auto"/>
              </w:rPr>
              <w:t>City of Austin</w:t>
            </w:r>
          </w:p>
        </w:tc>
        <w:tc>
          <w:tcPr>
            <w:tcW w:w="32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2,384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2,240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80" w:type="dxa"/>
            <w:vAlign w:val="bottom"/>
          </w:tcPr>
          <w:p>
            <w:pPr>
              <w:jc w:val="center"/>
              <w:ind w:right="252"/>
              <w:spacing w:after="0"/>
              <w:rPr>
                <w:sz w:val="20"/>
                <w:szCs w:val="20"/>
                <w:color w:val="auto"/>
              </w:rPr>
            </w:pPr>
            <w:r>
              <w:rPr>
                <w:rFonts w:ascii="Arial" w:cs="Arial" w:eastAsia="Arial" w:hAnsi="Arial"/>
                <w:sz w:val="18"/>
                <w:szCs w:val="18"/>
                <w:color w:val="auto"/>
                <w:w w:val="99"/>
              </w:rPr>
              <w:t>A1</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Harris County Cultural Education</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1,979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2,000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ind w:right="252"/>
              <w:spacing w:after="0"/>
              <w:rPr>
                <w:sz w:val="20"/>
                <w:szCs w:val="20"/>
                <w:color w:val="auto"/>
              </w:rPr>
            </w:pPr>
            <w:r>
              <w:rPr>
                <w:rFonts w:ascii="Arial" w:cs="Arial" w:eastAsia="Arial" w:hAnsi="Arial"/>
                <w:sz w:val="18"/>
                <w:szCs w:val="18"/>
                <w:color w:val="auto"/>
                <w:w w:val="99"/>
              </w:rPr>
              <w:t>A1</w:t>
            </w:r>
          </w:p>
        </w:tc>
        <w:tc>
          <w:tcPr>
            <w:tcW w:w="0" w:type="dxa"/>
            <w:vAlign w:val="bottom"/>
          </w:tcPr>
          <w:p>
            <w:pPr>
              <w:spacing w:after="0"/>
              <w:rPr>
                <w:sz w:val="1"/>
                <w:szCs w:val="1"/>
                <w:color w:val="auto"/>
              </w:rPr>
            </w:pPr>
          </w:p>
        </w:tc>
      </w:tr>
      <w:tr>
        <w:trPr>
          <w:trHeight w:val="243"/>
        </w:trPr>
        <w:tc>
          <w:tcPr>
            <w:tcW w:w="5960" w:type="dxa"/>
            <w:vAlign w:val="bottom"/>
            <w:gridSpan w:val="2"/>
          </w:tcPr>
          <w:p>
            <w:pPr>
              <w:ind w:left="280"/>
              <w:spacing w:after="0"/>
              <w:rPr>
                <w:sz w:val="20"/>
                <w:szCs w:val="20"/>
                <w:color w:val="auto"/>
              </w:rPr>
            </w:pPr>
            <w:r>
              <w:rPr>
                <w:rFonts w:ascii="Arial" w:cs="Arial" w:eastAsia="Arial" w:hAnsi="Arial"/>
                <w:sz w:val="18"/>
                <w:szCs w:val="18"/>
                <w:color w:val="auto"/>
              </w:rPr>
              <w:t>City of Dallas</w:t>
            </w:r>
          </w:p>
        </w:tc>
        <w:tc>
          <w:tcPr>
            <w:tcW w:w="32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1,865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1,769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80" w:type="dxa"/>
            <w:vAlign w:val="bottom"/>
          </w:tcPr>
          <w:p>
            <w:pPr>
              <w:jc w:val="center"/>
              <w:ind w:right="252"/>
              <w:spacing w:after="0"/>
              <w:rPr>
                <w:sz w:val="20"/>
                <w:szCs w:val="20"/>
                <w:color w:val="auto"/>
              </w:rPr>
            </w:pPr>
            <w:r>
              <w:rPr>
                <w:rFonts w:ascii="Arial" w:cs="Arial" w:eastAsia="Arial" w:hAnsi="Arial"/>
                <w:sz w:val="18"/>
                <w:szCs w:val="18"/>
                <w:color w:val="auto"/>
                <w:w w:val="93"/>
              </w:rPr>
              <w:t>Aa1</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Alamo Community College District</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1,736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1,703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ind w:right="252"/>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43"/>
        </w:trPr>
        <w:tc>
          <w:tcPr>
            <w:tcW w:w="5960" w:type="dxa"/>
            <w:vAlign w:val="bottom"/>
            <w:gridSpan w:val="2"/>
          </w:tcPr>
          <w:p>
            <w:pPr>
              <w:ind w:left="280"/>
              <w:spacing w:after="0"/>
              <w:rPr>
                <w:sz w:val="20"/>
                <w:szCs w:val="20"/>
                <w:color w:val="auto"/>
              </w:rPr>
            </w:pPr>
            <w:r>
              <w:rPr>
                <w:rFonts w:ascii="Arial" w:cs="Arial" w:eastAsia="Arial" w:hAnsi="Arial"/>
                <w:sz w:val="18"/>
                <w:szCs w:val="18"/>
                <w:color w:val="auto"/>
              </w:rPr>
              <w:t>Tarrant Regional Water District</w:t>
            </w:r>
          </w:p>
        </w:tc>
        <w:tc>
          <w:tcPr>
            <w:tcW w:w="32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1,621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1,563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80" w:type="dxa"/>
            <w:vAlign w:val="bottom"/>
          </w:tcPr>
          <w:p>
            <w:pPr>
              <w:jc w:val="center"/>
              <w:ind w:right="252"/>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City of San Antonio</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1,241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ind w:right="252"/>
              <w:spacing w:after="0"/>
              <w:rPr>
                <w:sz w:val="20"/>
                <w:szCs w:val="20"/>
                <w:color w:val="auto"/>
              </w:rPr>
            </w:pPr>
            <w:r>
              <w:rPr>
                <w:rFonts w:ascii="Arial" w:cs="Arial" w:eastAsia="Arial" w:hAnsi="Arial"/>
                <w:sz w:val="18"/>
                <w:szCs w:val="18"/>
                <w:color w:val="auto"/>
                <w:w w:val="99"/>
              </w:rPr>
              <w:t>A1</w:t>
            </w:r>
          </w:p>
        </w:tc>
        <w:tc>
          <w:tcPr>
            <w:tcW w:w="0" w:type="dxa"/>
            <w:vAlign w:val="bottom"/>
          </w:tcPr>
          <w:p>
            <w:pPr>
              <w:spacing w:after="0"/>
              <w:rPr>
                <w:sz w:val="1"/>
                <w:szCs w:val="1"/>
                <w:color w:val="auto"/>
              </w:rPr>
            </w:pPr>
          </w:p>
        </w:tc>
      </w:tr>
      <w:tr>
        <w:trPr>
          <w:trHeight w:val="243"/>
        </w:trPr>
        <w:tc>
          <w:tcPr>
            <w:tcW w:w="5960" w:type="dxa"/>
            <w:vAlign w:val="bottom"/>
            <w:gridSpan w:val="2"/>
          </w:tcPr>
          <w:p>
            <w:pPr>
              <w:ind w:left="280"/>
              <w:spacing w:after="0"/>
              <w:rPr>
                <w:sz w:val="20"/>
                <w:szCs w:val="20"/>
                <w:color w:val="auto"/>
              </w:rPr>
            </w:pPr>
            <w:r>
              <w:rPr>
                <w:rFonts w:ascii="Arial" w:cs="Arial" w:eastAsia="Arial" w:hAnsi="Arial"/>
                <w:sz w:val="18"/>
                <w:szCs w:val="18"/>
                <w:color w:val="auto"/>
              </w:rPr>
              <w:t>Alvin Independent School District</w:t>
            </w:r>
          </w:p>
        </w:tc>
        <w:tc>
          <w:tcPr>
            <w:tcW w:w="32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1,250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1,254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80" w:type="dxa"/>
            <w:vAlign w:val="bottom"/>
          </w:tcPr>
          <w:p>
            <w:pPr>
              <w:jc w:val="center"/>
              <w:ind w:right="252"/>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City of Corpus Christi</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1,131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ind w:right="252"/>
              <w:spacing w:after="0"/>
              <w:rPr>
                <w:sz w:val="20"/>
                <w:szCs w:val="20"/>
                <w:color w:val="auto"/>
              </w:rPr>
            </w:pPr>
            <w:r>
              <w:rPr>
                <w:rFonts w:ascii="Arial" w:cs="Arial" w:eastAsia="Arial" w:hAnsi="Arial"/>
                <w:sz w:val="18"/>
                <w:szCs w:val="18"/>
                <w:color w:val="auto"/>
                <w:w w:val="99"/>
              </w:rPr>
              <w:t>A1</w:t>
            </w:r>
          </w:p>
        </w:tc>
        <w:tc>
          <w:tcPr>
            <w:tcW w:w="0" w:type="dxa"/>
            <w:vAlign w:val="bottom"/>
          </w:tcPr>
          <w:p>
            <w:pPr>
              <w:spacing w:after="0"/>
              <w:rPr>
                <w:sz w:val="1"/>
                <w:szCs w:val="1"/>
                <w:color w:val="auto"/>
              </w:rPr>
            </w:pPr>
          </w:p>
        </w:tc>
      </w:tr>
      <w:tr>
        <w:trPr>
          <w:trHeight w:val="243"/>
        </w:trPr>
        <w:tc>
          <w:tcPr>
            <w:tcW w:w="5960" w:type="dxa"/>
            <w:vAlign w:val="bottom"/>
            <w:gridSpan w:val="2"/>
          </w:tcPr>
          <w:p>
            <w:pPr>
              <w:ind w:left="280"/>
              <w:spacing w:after="0"/>
              <w:rPr>
                <w:sz w:val="20"/>
                <w:szCs w:val="20"/>
                <w:color w:val="auto"/>
              </w:rPr>
            </w:pPr>
            <w:r>
              <w:rPr>
                <w:rFonts w:ascii="Arial" w:cs="Arial" w:eastAsia="Arial" w:hAnsi="Arial"/>
                <w:sz w:val="18"/>
                <w:szCs w:val="18"/>
                <w:color w:val="auto"/>
              </w:rPr>
              <w:t>Pharr-San Juan-Alamo Independent School District</w:t>
            </w:r>
          </w:p>
        </w:tc>
        <w:tc>
          <w:tcPr>
            <w:tcW w:w="32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1,126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1,139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80" w:type="dxa"/>
            <w:vAlign w:val="bottom"/>
          </w:tcPr>
          <w:p>
            <w:pPr>
              <w:jc w:val="center"/>
              <w:ind w:right="252"/>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Pasadena Independent School District</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1,052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ind w:right="252"/>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43"/>
        </w:trPr>
        <w:tc>
          <w:tcPr>
            <w:tcW w:w="5960" w:type="dxa"/>
            <w:vAlign w:val="bottom"/>
            <w:gridSpan w:val="2"/>
          </w:tcPr>
          <w:p>
            <w:pPr>
              <w:ind w:left="280"/>
              <w:spacing w:after="0"/>
              <w:rPr>
                <w:sz w:val="20"/>
                <w:szCs w:val="20"/>
                <w:color w:val="auto"/>
              </w:rPr>
            </w:pPr>
            <w:r>
              <w:rPr>
                <w:rFonts w:ascii="Arial" w:cs="Arial" w:eastAsia="Arial" w:hAnsi="Arial"/>
                <w:sz w:val="18"/>
                <w:szCs w:val="18"/>
                <w:color w:val="auto"/>
              </w:rPr>
              <w:t>Tarrant County Cultural Education</w:t>
            </w:r>
          </w:p>
        </w:tc>
        <w:tc>
          <w:tcPr>
            <w:tcW w:w="32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1,039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1,032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80" w:type="dxa"/>
            <w:vAlign w:val="bottom"/>
          </w:tcPr>
          <w:p>
            <w:pPr>
              <w:jc w:val="center"/>
              <w:ind w:right="252"/>
              <w:spacing w:after="0"/>
              <w:rPr>
                <w:sz w:val="20"/>
                <w:szCs w:val="20"/>
                <w:color w:val="auto"/>
              </w:rPr>
            </w:pPr>
            <w:r>
              <w:rPr>
                <w:rFonts w:ascii="Arial" w:cs="Arial" w:eastAsia="Arial" w:hAnsi="Arial"/>
                <w:sz w:val="18"/>
                <w:szCs w:val="18"/>
                <w:color w:val="auto"/>
                <w:w w:val="93"/>
              </w:rPr>
              <w:t>Aa2</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San Jacinto Community College District</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871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ind w:right="252"/>
              <w:spacing w:after="0"/>
              <w:rPr>
                <w:sz w:val="20"/>
                <w:szCs w:val="20"/>
                <w:color w:val="auto"/>
              </w:rPr>
            </w:pPr>
            <w:r>
              <w:rPr>
                <w:rFonts w:ascii="Arial" w:cs="Arial" w:eastAsia="Arial" w:hAnsi="Arial"/>
                <w:sz w:val="18"/>
                <w:szCs w:val="18"/>
                <w:color w:val="auto"/>
                <w:w w:val="93"/>
              </w:rPr>
              <w:t>Aa3</w:t>
            </w:r>
          </w:p>
        </w:tc>
        <w:tc>
          <w:tcPr>
            <w:tcW w:w="0" w:type="dxa"/>
            <w:vAlign w:val="bottom"/>
          </w:tcPr>
          <w:p>
            <w:pPr>
              <w:spacing w:after="0"/>
              <w:rPr>
                <w:sz w:val="1"/>
                <w:szCs w:val="1"/>
                <w:color w:val="auto"/>
              </w:rPr>
            </w:pPr>
          </w:p>
        </w:tc>
      </w:tr>
      <w:tr>
        <w:trPr>
          <w:trHeight w:val="243"/>
        </w:trPr>
        <w:tc>
          <w:tcPr>
            <w:tcW w:w="5960" w:type="dxa"/>
            <w:vAlign w:val="bottom"/>
            <w:gridSpan w:val="2"/>
          </w:tcPr>
          <w:p>
            <w:pPr>
              <w:ind w:left="280"/>
              <w:spacing w:after="0"/>
              <w:rPr>
                <w:sz w:val="20"/>
                <w:szCs w:val="20"/>
                <w:color w:val="auto"/>
              </w:rPr>
            </w:pPr>
            <w:r>
              <w:rPr>
                <w:rFonts w:ascii="Arial" w:cs="Arial" w:eastAsia="Arial" w:hAnsi="Arial"/>
                <w:sz w:val="18"/>
                <w:szCs w:val="18"/>
                <w:color w:val="auto"/>
              </w:rPr>
              <w:t>Harlandale Independent School District</w:t>
            </w:r>
          </w:p>
        </w:tc>
        <w:tc>
          <w:tcPr>
            <w:tcW w:w="32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888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883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80" w:type="dxa"/>
            <w:vAlign w:val="bottom"/>
          </w:tcPr>
          <w:p>
            <w:pPr>
              <w:jc w:val="center"/>
              <w:ind w:right="252"/>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9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City of El Paso</w:t>
            </w:r>
          </w:p>
        </w:tc>
        <w:tc>
          <w:tcPr>
            <w:tcW w:w="3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565</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center"/>
              <w:ind w:right="252"/>
              <w:spacing w:after="0"/>
              <w:rPr>
                <w:sz w:val="20"/>
                <w:szCs w:val="20"/>
                <w:color w:val="auto"/>
              </w:rPr>
            </w:pPr>
            <w:r>
              <w:rPr>
                <w:rFonts w:ascii="Arial" w:cs="Arial" w:eastAsia="Arial" w:hAnsi="Arial"/>
                <w:sz w:val="18"/>
                <w:szCs w:val="18"/>
                <w:color w:val="auto"/>
                <w:w w:val="93"/>
              </w:rPr>
              <w:t>Aa1</w:t>
            </w:r>
          </w:p>
        </w:tc>
        <w:tc>
          <w:tcPr>
            <w:tcW w:w="0" w:type="dxa"/>
            <w:vAlign w:val="bottom"/>
          </w:tcPr>
          <w:p>
            <w:pPr>
              <w:spacing w:after="0"/>
              <w:rPr>
                <w:sz w:val="1"/>
                <w:szCs w:val="1"/>
                <w:color w:val="auto"/>
              </w:rPr>
            </w:pPr>
          </w:p>
        </w:tc>
      </w:tr>
      <w:tr>
        <w:trPr>
          <w:trHeight w:val="237"/>
        </w:trPr>
        <w:tc>
          <w:tcPr>
            <w:tcW w:w="5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39,964</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38,781</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660" w:right="44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None of the above securities include financial guaranty insurance. Certain securities include state enhancements. The above ratings exclude the effect of such state enhancements.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ratings issued by Moody’s, if available. S&amp;P rating utilized if Moody’s not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-541655</wp:posOffset>
            </wp:positionV>
            <wp:extent cx="14147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do not have any off-balance sheet arrangements or financing activities with special-purpose entities.</w:t>
      </w:r>
    </w:p>
    <w:p>
      <w:pPr>
        <w:sectPr>
          <w:pgSz w:w="11900" w:h="16838" w:orient="portrait"/>
          <w:cols w:equalWidth="0" w:num="1">
            <w:col w:w="11420"/>
          </w:cols>
          <w:pgMar w:left="240" w:top="12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420"/>
          </w:cols>
          <w:pgMar w:left="240" w:top="125" w:right="239" w:bottom="1440" w:gutter="0" w:footer="0" w:header="0"/>
          <w:type w:val="continuous"/>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own and manage a large investment portfolio of various holdings, types and maturities. Investment income is one of our primary sources of cash flow supporting operations and claim payments. The assets within the investment portfolio are exposed to the same factors that affect overall financial market performance. While our investment portfolio is exposed to factors affecting markets worldwide, it is most sensitive to fluctuations in the drivers of U.S. markets.</w:t>
      </w:r>
    </w:p>
    <w:p>
      <w:pPr>
        <w:spacing w:after="0" w:line="187" w:lineRule="exact"/>
        <w:rPr>
          <w:sz w:val="20"/>
          <w:szCs w:val="20"/>
          <w:color w:val="auto"/>
        </w:rPr>
      </w:pPr>
    </w:p>
    <w:p>
      <w:pPr>
        <w:ind w:right="400" w:firstLine="648"/>
        <w:spacing w:after="0" w:line="308" w:lineRule="auto"/>
        <w:rPr>
          <w:sz w:val="20"/>
          <w:szCs w:val="20"/>
          <w:color w:val="auto"/>
        </w:rPr>
      </w:pPr>
      <w:r>
        <w:rPr>
          <w:rFonts w:ascii="Arial" w:cs="Arial" w:eastAsia="Arial" w:hAnsi="Arial"/>
          <w:sz w:val="17"/>
          <w:szCs w:val="17"/>
          <w:color w:val="auto"/>
        </w:rPr>
        <w:t>We manage market risk via defined investment policy implemented by our treasury function with oversight from our board of directors and our senior management. Important drivers of our market risk exposure monitored and managed by us include but are not limited to:</w:t>
      </w:r>
    </w:p>
    <w:p>
      <w:pPr>
        <w:spacing w:after="0" w:line="147" w:lineRule="exact"/>
        <w:rPr>
          <w:sz w:val="20"/>
          <w:szCs w:val="20"/>
          <w:color w:val="auto"/>
        </w:rPr>
      </w:pPr>
    </w:p>
    <w:p>
      <w:pPr>
        <w:ind w:left="660" w:right="60" w:hanging="328"/>
        <w:spacing w:after="0" w:line="302" w:lineRule="auto"/>
        <w:tabs>
          <w:tab w:leader="none" w:pos="660" w:val="left"/>
        </w:tabs>
        <w:numPr>
          <w:ilvl w:val="0"/>
          <w:numId w:val="16"/>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Changes to the level of interest rates. </w:t>
      </w:r>
      <w:r>
        <w:rPr>
          <w:rFonts w:ascii="Arial" w:cs="Arial" w:eastAsia="Arial" w:hAnsi="Arial"/>
          <w:sz w:val="16"/>
          <w:szCs w:val="16"/>
          <w:color w:val="auto"/>
        </w:rPr>
        <w:t>Increasing interest rates may reduce the value of certain fixed-rate bonds held in the investment portfolio.</w:t>
      </w:r>
      <w:r>
        <w:rPr>
          <w:rFonts w:ascii="Arial" w:cs="Arial" w:eastAsia="Arial" w:hAnsi="Arial"/>
          <w:sz w:val="16"/>
          <w:szCs w:val="16"/>
          <w:i w:val="1"/>
          <w:iCs w:val="1"/>
          <w:color w:val="auto"/>
        </w:rPr>
        <w:t xml:space="preserve"> </w:t>
      </w:r>
      <w:r>
        <w:rPr>
          <w:rFonts w:ascii="Arial" w:cs="Arial" w:eastAsia="Arial" w:hAnsi="Arial"/>
          <w:sz w:val="16"/>
          <w:szCs w:val="16"/>
          <w:color w:val="auto"/>
        </w:rPr>
        <w:t>Higher rates may cause variable-rate assets to generate additional income. Decreasing rates will have the reverse impact. Significant changes in interest rates can also affect persistency and claim rates which may in turn require that the investment portfolio be restructured to better align it with future liabilities and claim payments. Such restructuring may cause investments to be liquidated when market conditions are adverse.</w:t>
      </w:r>
    </w:p>
    <w:p>
      <w:pPr>
        <w:spacing w:after="0" w:line="154" w:lineRule="exact"/>
        <w:rPr>
          <w:rFonts w:ascii="Arial" w:cs="Arial" w:eastAsia="Arial" w:hAnsi="Arial"/>
          <w:sz w:val="16"/>
          <w:szCs w:val="16"/>
          <w:i w:val="1"/>
          <w:iCs w:val="1"/>
          <w:color w:val="auto"/>
        </w:rPr>
      </w:pPr>
    </w:p>
    <w:p>
      <w:pPr>
        <w:ind w:left="660" w:right="240" w:hanging="328"/>
        <w:spacing w:after="0" w:line="277" w:lineRule="auto"/>
        <w:tabs>
          <w:tab w:leader="none" w:pos="660"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Changes to the term structure of interest rates. </w:t>
      </w:r>
      <w:r>
        <w:rPr>
          <w:rFonts w:ascii="Arial" w:cs="Arial" w:eastAsia="Arial" w:hAnsi="Arial"/>
          <w:sz w:val="18"/>
          <w:szCs w:val="18"/>
          <w:color w:val="auto"/>
        </w:rPr>
        <w:t>Rising or falling rates typically change by different amounts along the yield curve. These changes</w:t>
      </w:r>
      <w:r>
        <w:rPr>
          <w:rFonts w:ascii="Arial" w:cs="Arial" w:eastAsia="Arial" w:hAnsi="Arial"/>
          <w:sz w:val="18"/>
          <w:szCs w:val="18"/>
          <w:i w:val="1"/>
          <w:iCs w:val="1"/>
          <w:color w:val="auto"/>
        </w:rPr>
        <w:t xml:space="preserve"> </w:t>
      </w:r>
      <w:r>
        <w:rPr>
          <w:rFonts w:ascii="Arial" w:cs="Arial" w:eastAsia="Arial" w:hAnsi="Arial"/>
          <w:sz w:val="18"/>
          <w:szCs w:val="18"/>
          <w:color w:val="auto"/>
        </w:rPr>
        <w:t>may have unforeseen impacts on the value of certain assets.</w:t>
      </w:r>
    </w:p>
    <w:p>
      <w:pPr>
        <w:spacing w:after="0" w:line="170" w:lineRule="exact"/>
        <w:rPr>
          <w:rFonts w:ascii="Arial" w:cs="Arial" w:eastAsia="Arial" w:hAnsi="Arial"/>
          <w:sz w:val="18"/>
          <w:szCs w:val="18"/>
          <w:i w:val="1"/>
          <w:iCs w:val="1"/>
          <w:color w:val="auto"/>
        </w:rPr>
      </w:pPr>
    </w:p>
    <w:p>
      <w:pPr>
        <w:ind w:left="660" w:right="520" w:hanging="328"/>
        <w:spacing w:after="0" w:line="342" w:lineRule="auto"/>
        <w:tabs>
          <w:tab w:leader="none" w:pos="660" w:val="left"/>
        </w:tabs>
        <w:numPr>
          <w:ilvl w:val="0"/>
          <w:numId w:val="16"/>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Market volatility/changes in the real or perceived credit quality of investments. </w:t>
      </w:r>
      <w:r>
        <w:rPr>
          <w:rFonts w:ascii="Arial" w:cs="Arial" w:eastAsia="Arial" w:hAnsi="Arial"/>
          <w:sz w:val="16"/>
          <w:szCs w:val="16"/>
          <w:color w:val="auto"/>
        </w:rPr>
        <w:t>Deterioration in the quality of investments, identified through</w:t>
      </w:r>
      <w:r>
        <w:rPr>
          <w:rFonts w:ascii="Arial" w:cs="Arial" w:eastAsia="Arial" w:hAnsi="Arial"/>
          <w:sz w:val="16"/>
          <w:szCs w:val="16"/>
          <w:i w:val="1"/>
          <w:iCs w:val="1"/>
          <w:color w:val="auto"/>
        </w:rPr>
        <w:t xml:space="preserve"> </w:t>
      </w:r>
      <w:r>
        <w:rPr>
          <w:rFonts w:ascii="Arial" w:cs="Arial" w:eastAsia="Arial" w:hAnsi="Arial"/>
          <w:sz w:val="16"/>
          <w:szCs w:val="16"/>
          <w:color w:val="auto"/>
        </w:rPr>
        <w:t>changes to our own or third-party (e.g., rating agency) assessments, will reduce the value and potentially the liquidity of investments.</w:t>
      </w:r>
    </w:p>
    <w:p>
      <w:pPr>
        <w:spacing w:after="0" w:line="123" w:lineRule="exact"/>
        <w:rPr>
          <w:rFonts w:ascii="Arial" w:cs="Arial" w:eastAsia="Arial" w:hAnsi="Arial"/>
          <w:sz w:val="16"/>
          <w:szCs w:val="16"/>
          <w:i w:val="1"/>
          <w:iCs w:val="1"/>
          <w:color w:val="auto"/>
        </w:rPr>
      </w:pPr>
    </w:p>
    <w:p>
      <w:pPr>
        <w:ind w:left="660" w:right="400" w:hanging="328"/>
        <w:spacing w:after="0" w:line="342" w:lineRule="auto"/>
        <w:tabs>
          <w:tab w:leader="none" w:pos="660" w:val="left"/>
        </w:tabs>
        <w:numPr>
          <w:ilvl w:val="0"/>
          <w:numId w:val="16"/>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Concentration Risk. </w:t>
      </w:r>
      <w:r>
        <w:rPr>
          <w:rFonts w:ascii="Arial" w:cs="Arial" w:eastAsia="Arial" w:hAnsi="Arial"/>
          <w:sz w:val="16"/>
          <w:szCs w:val="16"/>
          <w:color w:val="auto"/>
        </w:rPr>
        <w:t>If the investment portfolio is highly concentrated in one asset, or in multiple assets whose values are highly correlated, the</w:t>
      </w:r>
      <w:r>
        <w:rPr>
          <w:rFonts w:ascii="Arial" w:cs="Arial" w:eastAsia="Arial" w:hAnsi="Arial"/>
          <w:sz w:val="16"/>
          <w:szCs w:val="16"/>
          <w:i w:val="1"/>
          <w:iCs w:val="1"/>
          <w:color w:val="auto"/>
        </w:rPr>
        <w:t xml:space="preserve"> </w:t>
      </w:r>
      <w:r>
        <w:rPr>
          <w:rFonts w:ascii="Arial" w:cs="Arial" w:eastAsia="Arial" w:hAnsi="Arial"/>
          <w:sz w:val="16"/>
          <w:szCs w:val="16"/>
          <w:color w:val="auto"/>
        </w:rPr>
        <w:t>value of the total portfolio may be greatly affected by the change in value of just one asset or a group of highly correlated assets.</w:t>
      </w:r>
    </w:p>
    <w:p>
      <w:pPr>
        <w:spacing w:after="0" w:line="123" w:lineRule="exact"/>
        <w:rPr>
          <w:rFonts w:ascii="Arial" w:cs="Arial" w:eastAsia="Arial" w:hAnsi="Arial"/>
          <w:sz w:val="16"/>
          <w:szCs w:val="16"/>
          <w:i w:val="1"/>
          <w:iCs w:val="1"/>
          <w:color w:val="auto"/>
        </w:rPr>
      </w:pPr>
    </w:p>
    <w:p>
      <w:pPr>
        <w:ind w:left="660" w:right="120" w:hanging="328"/>
        <w:spacing w:after="0" w:line="277" w:lineRule="auto"/>
        <w:tabs>
          <w:tab w:leader="none" w:pos="660"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Prepayment Risk. </w:t>
      </w:r>
      <w:r>
        <w:rPr>
          <w:rFonts w:ascii="Arial" w:cs="Arial" w:eastAsia="Arial" w:hAnsi="Arial"/>
          <w:sz w:val="18"/>
          <w:szCs w:val="18"/>
          <w:color w:val="auto"/>
        </w:rPr>
        <w:t>Bonds may have call provisions that permit debtors to repay prior to maturity when it is to their advantage. This typically occurs</w:t>
      </w:r>
      <w:r>
        <w:rPr>
          <w:rFonts w:ascii="Arial" w:cs="Arial" w:eastAsia="Arial" w:hAnsi="Arial"/>
          <w:sz w:val="18"/>
          <w:szCs w:val="18"/>
          <w:i w:val="1"/>
          <w:iCs w:val="1"/>
          <w:color w:val="auto"/>
        </w:rPr>
        <w:t xml:space="preserve"> </w:t>
      </w:r>
      <w:r>
        <w:rPr>
          <w:rFonts w:ascii="Arial" w:cs="Arial" w:eastAsia="Arial" w:hAnsi="Arial"/>
          <w:sz w:val="18"/>
          <w:szCs w:val="18"/>
          <w:color w:val="auto"/>
        </w:rPr>
        <w:t>when rates fall below the interest rate of the debt.</w:t>
      </w:r>
    </w:p>
    <w:p>
      <w:pPr>
        <w:spacing w:after="0" w:line="170"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Market risk is measured for all investment assets at the individual security level. Market risks that are not fully captured by the quantitative analysis are highlighted. In addition, material market risk changes that occur from the last reporting period to the current are discussed. Changes to how risks are managed will also be identified and described.</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At March 31, 2016, the effective duration of our investment portfolio, including cash, was 3.7 years, which means that an instantaneous parallel shift (movement up or down) in the yield curve of 100 basis points would result in a change of 3.7% in fair value of our investment portfolio. Excluding cash, our investment portfolio effective duration was 4.0 years, which means that an instantaneous parallel shift (movement up or down) in the yield curve of 100 basis points would result in a change of 4.0% in fair value of our investment portfolio.</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29"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Our management carried out an evaluation, under the supervision and with the participation of our chief executive officer and chief financial officer, of the effectiveness of our disclosure controls and procedures (as such term is defined in Rules 13a-15(e) and 15d-15(e) under the Exchange Act) as of the end of the period covered by this Quarterly Report. Based on this evaluation, our chief executive officer and chief financial officer concluded that our disclosure controls and procedures were effective as of March 31, 2016, the end of the period covered by this Quarterly Report.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right="420" w:firstLine="648"/>
        <w:spacing w:after="0" w:line="264" w:lineRule="auto"/>
        <w:rPr>
          <w:sz w:val="20"/>
          <w:szCs w:val="20"/>
          <w:color w:val="auto"/>
        </w:rPr>
      </w:pPr>
      <w:r>
        <w:rPr>
          <w:rFonts w:ascii="Arial" w:cs="Arial" w:eastAsia="Arial" w:hAnsi="Arial"/>
          <w:sz w:val="18"/>
          <w:szCs w:val="18"/>
          <w:color w:val="auto"/>
        </w:rPr>
        <w:t>During our most recent fiscal quarter, there has not been any change in our internal control over financial reporting (as such term is defined in Rules 13a-15(f) and 15d-15(f) under the Exchange Act) that has materially affected, or is reasonably likely to materially affect, our internal control over financial reporting.</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80"/>
          </w:cols>
          <w:pgMar w:left="240" w:top="125" w:right="27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13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are not currently subject to any material legal proceedings.</w:t>
      </w:r>
    </w:p>
    <w:p>
      <w:pPr>
        <w:spacing w:after="0" w:line="221" w:lineRule="exact"/>
        <w:rPr>
          <w:sz w:val="20"/>
          <w:szCs w:val="20"/>
          <w:color w:val="auto"/>
        </w:rPr>
      </w:pPr>
    </w:p>
    <w:p>
      <w:pPr>
        <w:spacing w:after="0"/>
        <w:tabs>
          <w:tab w:leader="none" w:pos="13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Risk factors that affect our business and financial results are discussed in Part I, Item 1A. “Risk Factors” in our Annual Report on Form 10-K for the year ended December 31, 2015. There have been no material changes in our risk factors from those previously disclosed in our Annual Report. You should carefully consider the risks described in our Annual Report, which could materially affect our business, financial condition or future results. The risks described in our Annual Report are not the only risks we face. Additional risks and uncertainties not currently known to us or that we currently deem to be immaterial also may materially adversely affect our business, financial condition, and/or operating results. If any of the risks actually occur, our business, financial condition, and/or results of operations could be negatively affected.</w:t>
      </w:r>
    </w:p>
    <w:p>
      <w:pPr>
        <w:spacing w:after="0" w:line="189"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Repurchases of Securities</w:t>
      </w:r>
    </w:p>
    <w:p>
      <w:pPr>
        <w:spacing w:after="0" w:line="229"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The table below sets forth information regarding repurchases of our common shares during the three months ended March 31, 2016. All of the shares represent common shares that were tendered to the Company by employees in connection with the vesting of restricted shares to satisfy tax withholding obligations. We do not consider these transactions to be a share buyback program.</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vMerge w:val="restart"/>
          </w:tcPr>
          <w:p>
            <w:pPr>
              <w:jc w:val="center"/>
              <w:ind w:left="248"/>
              <w:spacing w:after="0"/>
              <w:rPr>
                <w:sz w:val="20"/>
                <w:szCs w:val="20"/>
                <w:color w:val="auto"/>
              </w:rPr>
            </w:pPr>
            <w:r>
              <w:rPr>
                <w:rFonts w:ascii="Arial" w:cs="Arial" w:eastAsia="Arial" w:hAnsi="Arial"/>
                <w:sz w:val="14"/>
                <w:szCs w:val="14"/>
                <w:b w:val="1"/>
                <w:bCs w:val="1"/>
                <w:color w:val="auto"/>
                <w:w w:val="94"/>
              </w:rPr>
              <w:t>Total Number of</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w w:val="98"/>
              </w:rPr>
              <w:t>Maximum Number</w:t>
            </w:r>
          </w:p>
        </w:tc>
        <w:tc>
          <w:tcPr>
            <w:tcW w:w="0" w:type="dxa"/>
            <w:vAlign w:val="bottom"/>
          </w:tcPr>
          <w:p>
            <w:pPr>
              <w:spacing w:after="0"/>
              <w:rPr>
                <w:sz w:val="1"/>
                <w:szCs w:val="1"/>
                <w:color w:val="auto"/>
              </w:rPr>
            </w:pPr>
          </w:p>
        </w:tc>
      </w:tr>
      <w:tr>
        <w:trPr>
          <w:trHeight w:val="149"/>
        </w:trPr>
        <w:tc>
          <w:tcPr>
            <w:tcW w:w="3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of Shares that</w:t>
            </w:r>
          </w:p>
        </w:tc>
        <w:tc>
          <w:tcPr>
            <w:tcW w:w="0" w:type="dxa"/>
            <w:vAlign w:val="bottom"/>
          </w:tcPr>
          <w:p>
            <w:pPr>
              <w:spacing w:after="0"/>
              <w:rPr>
                <w:sz w:val="1"/>
                <w:szCs w:val="1"/>
                <w:color w:val="auto"/>
              </w:rPr>
            </w:pPr>
          </w:p>
        </w:tc>
      </w:tr>
      <w:tr>
        <w:trPr>
          <w:trHeight w:val="149"/>
        </w:trPr>
        <w:tc>
          <w:tcPr>
            <w:tcW w:w="3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tcPr>
          <w:p>
            <w:pPr>
              <w:jc w:val="center"/>
              <w:ind w:left="248"/>
              <w:spacing w:after="0" w:line="149" w:lineRule="exact"/>
              <w:rPr>
                <w:sz w:val="20"/>
                <w:szCs w:val="20"/>
                <w:color w:val="auto"/>
              </w:rPr>
            </w:pPr>
            <w:r>
              <w:rPr>
                <w:rFonts w:ascii="Arial" w:cs="Arial" w:eastAsia="Arial" w:hAnsi="Arial"/>
                <w:sz w:val="14"/>
                <w:szCs w:val="14"/>
                <w:b w:val="1"/>
                <w:bCs w:val="1"/>
                <w:color w:val="auto"/>
                <w:w w:val="90"/>
              </w:rPr>
              <w:t>Shares Purchased</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May Yet Be</w:t>
            </w:r>
          </w:p>
        </w:tc>
        <w:tc>
          <w:tcPr>
            <w:tcW w:w="0" w:type="dxa"/>
            <w:vAlign w:val="bottom"/>
          </w:tcPr>
          <w:p>
            <w:pPr>
              <w:spacing w:after="0"/>
              <w:rPr>
                <w:sz w:val="1"/>
                <w:szCs w:val="1"/>
                <w:color w:val="auto"/>
              </w:rPr>
            </w:pPr>
          </w:p>
        </w:tc>
      </w:tr>
      <w:tr>
        <w:trPr>
          <w:trHeight w:val="149"/>
        </w:trPr>
        <w:tc>
          <w:tcPr>
            <w:tcW w:w="3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Number of</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Average Price</w:t>
            </w:r>
          </w:p>
        </w:tc>
        <w:tc>
          <w:tcPr>
            <w:tcW w:w="1500" w:type="dxa"/>
            <w:vAlign w:val="bottom"/>
          </w:tcPr>
          <w:p>
            <w:pPr>
              <w:jc w:val="center"/>
              <w:ind w:left="228"/>
              <w:spacing w:after="0" w:line="149" w:lineRule="exact"/>
              <w:rPr>
                <w:sz w:val="20"/>
                <w:szCs w:val="20"/>
                <w:color w:val="auto"/>
              </w:rPr>
            </w:pPr>
            <w:r>
              <w:rPr>
                <w:rFonts w:ascii="Arial" w:cs="Arial" w:eastAsia="Arial" w:hAnsi="Arial"/>
                <w:sz w:val="14"/>
                <w:szCs w:val="14"/>
                <w:b w:val="1"/>
                <w:bCs w:val="1"/>
                <w:color w:val="auto"/>
                <w:w w:val="92"/>
              </w:rPr>
              <w:t>as Part of Publicly</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Purchased Under</w:t>
            </w:r>
          </w:p>
        </w:tc>
        <w:tc>
          <w:tcPr>
            <w:tcW w:w="0" w:type="dxa"/>
            <w:vAlign w:val="bottom"/>
          </w:tcPr>
          <w:p>
            <w:pPr>
              <w:spacing w:after="0"/>
              <w:rPr>
                <w:sz w:val="1"/>
                <w:szCs w:val="1"/>
                <w:color w:val="auto"/>
              </w:rPr>
            </w:pPr>
          </w:p>
        </w:tc>
      </w:tr>
      <w:tr>
        <w:trPr>
          <w:trHeight w:val="149"/>
        </w:trPr>
        <w:tc>
          <w:tcPr>
            <w:tcW w:w="37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120" w:type="dxa"/>
            <w:vAlign w:val="bottom"/>
            <w:vMerge w:val="restart"/>
          </w:tcPr>
          <w:p>
            <w:pPr>
              <w:spacing w:after="0"/>
              <w:rPr>
                <w:sz w:val="12"/>
                <w:szCs w:val="12"/>
                <w:color w:val="auto"/>
              </w:rPr>
            </w:pPr>
          </w:p>
        </w:tc>
        <w:tc>
          <w:tcPr>
            <w:tcW w:w="1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Shares</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1500" w:type="dxa"/>
            <w:vAlign w:val="bottom"/>
          </w:tcPr>
          <w:p>
            <w:pPr>
              <w:jc w:val="center"/>
              <w:ind w:left="228"/>
              <w:spacing w:after="0" w:line="149" w:lineRule="exact"/>
              <w:rPr>
                <w:sz w:val="20"/>
                <w:szCs w:val="20"/>
                <w:color w:val="auto"/>
              </w:rPr>
            </w:pPr>
            <w:r>
              <w:rPr>
                <w:rFonts w:ascii="Arial" w:cs="Arial" w:eastAsia="Arial" w:hAnsi="Arial"/>
                <w:sz w:val="14"/>
                <w:szCs w:val="14"/>
                <w:b w:val="1"/>
                <w:bCs w:val="1"/>
                <w:color w:val="auto"/>
                <w:w w:val="91"/>
              </w:rPr>
              <w:t>Announced Plans</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the Plans or</w:t>
            </w:r>
          </w:p>
        </w:tc>
        <w:tc>
          <w:tcPr>
            <w:tcW w:w="0" w:type="dxa"/>
            <w:vAlign w:val="bottom"/>
          </w:tcPr>
          <w:p>
            <w:pPr>
              <w:spacing w:after="0"/>
              <w:rPr>
                <w:sz w:val="1"/>
                <w:szCs w:val="1"/>
                <w:color w:val="auto"/>
              </w:rPr>
            </w:pPr>
          </w:p>
        </w:tc>
      </w:tr>
      <w:tr>
        <w:trPr>
          <w:trHeight w:val="192"/>
        </w:trPr>
        <w:tc>
          <w:tcPr>
            <w:tcW w:w="37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Purchased</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Paid Per Share</w:t>
            </w:r>
          </w:p>
        </w:tc>
        <w:tc>
          <w:tcPr>
            <w:tcW w:w="10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center"/>
              <w:ind w:left="248"/>
              <w:spacing w:after="0"/>
              <w:rPr>
                <w:sz w:val="20"/>
                <w:szCs w:val="20"/>
                <w:color w:val="auto"/>
              </w:rPr>
            </w:pPr>
            <w:r>
              <w:rPr>
                <w:rFonts w:ascii="Arial" w:cs="Arial" w:eastAsia="Arial" w:hAnsi="Arial"/>
                <w:sz w:val="14"/>
                <w:szCs w:val="14"/>
                <w:b w:val="1"/>
                <w:bCs w:val="1"/>
                <w:color w:val="auto"/>
                <w:w w:val="93"/>
              </w:rPr>
              <w:t>or Programs</w:t>
            </w:r>
          </w:p>
        </w:tc>
        <w:tc>
          <w:tcPr>
            <w:tcW w:w="3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Programs</w:t>
            </w:r>
          </w:p>
        </w:tc>
        <w:tc>
          <w:tcPr>
            <w:tcW w:w="0" w:type="dxa"/>
            <w:vAlign w:val="bottom"/>
          </w:tcPr>
          <w:p>
            <w:pPr>
              <w:spacing w:after="0"/>
              <w:rPr>
                <w:sz w:val="1"/>
                <w:szCs w:val="1"/>
                <w:color w:val="auto"/>
              </w:rPr>
            </w:pPr>
          </w:p>
        </w:tc>
      </w:tr>
      <w:tr>
        <w:trPr>
          <w:trHeight w:val="250"/>
        </w:trPr>
        <w:tc>
          <w:tcPr>
            <w:tcW w:w="3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January 1 - January 31, 2016</w:t>
            </w:r>
          </w:p>
        </w:tc>
        <w:tc>
          <w:tcPr>
            <w:tcW w:w="1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87,353</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21.96</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shd w:val="clear" w:color="auto" w:fill="CCEEFF"/>
          </w:tcPr>
          <w:p>
            <w:pPr>
              <w:ind w:left="1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880" w:type="dxa"/>
            <w:vAlign w:val="bottom"/>
            <w:gridSpan w:val="2"/>
          </w:tcPr>
          <w:p>
            <w:pPr>
              <w:ind w:left="40"/>
              <w:spacing w:after="0"/>
              <w:rPr>
                <w:sz w:val="20"/>
                <w:szCs w:val="20"/>
                <w:color w:val="auto"/>
              </w:rPr>
            </w:pPr>
            <w:r>
              <w:rPr>
                <w:rFonts w:ascii="Arial" w:cs="Arial" w:eastAsia="Arial" w:hAnsi="Arial"/>
                <w:sz w:val="18"/>
                <w:szCs w:val="18"/>
                <w:color w:val="auto"/>
              </w:rPr>
              <w:t>February 1 - February 29, 2016</w:t>
            </w:r>
          </w:p>
        </w:tc>
        <w:tc>
          <w:tcPr>
            <w:tcW w:w="1840" w:type="dxa"/>
            <w:vAlign w:val="bottom"/>
          </w:tcPr>
          <w:p>
            <w:pPr>
              <w:jc w:val="right"/>
              <w:ind w:right="3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1500" w:type="dxa"/>
            <w:vAlign w:val="bottom"/>
          </w:tcPr>
          <w:p>
            <w:pPr>
              <w:spacing w:after="0"/>
              <w:rPr>
                <w:sz w:val="21"/>
                <w:szCs w:val="21"/>
                <w:color w:val="auto"/>
              </w:rPr>
            </w:pPr>
          </w:p>
        </w:tc>
        <w:tc>
          <w:tcPr>
            <w:tcW w:w="4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800" w:type="dxa"/>
            <w:vAlign w:val="bottom"/>
          </w:tcPr>
          <w:p>
            <w:pPr>
              <w:ind w:left="1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March 1 - March 31, 2016</w:t>
            </w:r>
          </w:p>
        </w:tc>
        <w:tc>
          <w:tcPr>
            <w:tcW w:w="1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11,986</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19.95</w:t>
            </w:r>
          </w:p>
        </w:tc>
        <w:tc>
          <w:tcPr>
            <w:tcW w:w="1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shd w:val="clear" w:color="auto" w:fill="CCEEFF"/>
          </w:tcPr>
          <w:p>
            <w:pPr>
              <w:ind w:left="1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88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1840" w:type="dxa"/>
            <w:vAlign w:val="bottom"/>
            <w:tcBorders>
              <w:top w:val="single" w:sz="8" w:color="auto"/>
            </w:tcBorders>
          </w:tcPr>
          <w:p>
            <w:pPr>
              <w:jc w:val="right"/>
              <w:ind w:right="39"/>
              <w:spacing w:after="0"/>
              <w:rPr>
                <w:sz w:val="20"/>
                <w:szCs w:val="20"/>
                <w:color w:val="auto"/>
              </w:rPr>
            </w:pPr>
            <w:r>
              <w:rPr>
                <w:rFonts w:ascii="Arial" w:cs="Arial" w:eastAsia="Arial" w:hAnsi="Arial"/>
                <w:sz w:val="18"/>
                <w:szCs w:val="18"/>
                <w:color w:val="auto"/>
              </w:rPr>
              <w:t>99,339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0" w:type="dxa"/>
            <w:vAlign w:val="bottom"/>
            <w:tcBorders>
              <w:top w:val="single" w:sz="8" w:color="auto"/>
            </w:tcBorders>
          </w:tcPr>
          <w:p>
            <w:pPr>
              <w:ind w:left="1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70" w:lineRule="exact"/>
        <w:rPr>
          <w:sz w:val="20"/>
          <w:szCs w:val="20"/>
          <w:color w:val="auto"/>
        </w:rPr>
      </w:pPr>
    </w:p>
    <w:p>
      <w:pPr>
        <w:ind w:right="160" w:firstLine="648"/>
        <w:spacing w:after="0" w:line="286" w:lineRule="auto"/>
        <w:rPr>
          <w:sz w:val="20"/>
          <w:szCs w:val="20"/>
          <w:color w:val="auto"/>
        </w:rPr>
      </w:pPr>
      <w:r>
        <w:rPr>
          <w:rFonts w:ascii="Arial" w:cs="Arial" w:eastAsia="Arial" w:hAnsi="Arial"/>
          <w:sz w:val="17"/>
          <w:szCs w:val="17"/>
          <w:color w:val="auto"/>
        </w:rPr>
        <w:t>On May 3, 2016, we held our 2016 Annual General Meeting of Shareholders (the "Annual Meeting"). A total of 93,069,934 of our common shares were entitled to vote as of March 18, 2016, the record date for the Annual Meeting, of which 72,521,909 were present in person or by proxy at the Annual Meeting. The following is a summary of the final voting results for each matter presented to shareholders at the Annual Meeting.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Proposal 1 - Election of Class II members of our board of directors to serve through the 2019 Annual General Meeting of Shareholders:</w:t>
      </w:r>
    </w:p>
    <w:p>
      <w:pPr>
        <w:spacing w:after="0" w:line="167"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4820" w:type="dxa"/>
            <w:vAlign w:val="bottom"/>
          </w:tcPr>
          <w:p>
            <w:pPr>
              <w:spacing w:after="0"/>
              <w:rPr>
                <w:sz w:val="20"/>
                <w:szCs w:val="20"/>
                <w:color w:val="auto"/>
              </w:rPr>
            </w:pPr>
          </w:p>
        </w:tc>
        <w:tc>
          <w:tcPr>
            <w:tcW w:w="1880" w:type="dxa"/>
            <w:vAlign w:val="bottom"/>
            <w:gridSpan w:val="2"/>
          </w:tcPr>
          <w:p>
            <w:pPr>
              <w:ind w:left="520"/>
              <w:spacing w:after="0"/>
              <w:rPr>
                <w:sz w:val="20"/>
                <w:szCs w:val="20"/>
                <w:color w:val="auto"/>
              </w:rPr>
            </w:pPr>
            <w:r>
              <w:rPr>
                <w:rFonts w:ascii="Arial" w:cs="Arial" w:eastAsia="Arial" w:hAnsi="Arial"/>
                <w:sz w:val="18"/>
                <w:szCs w:val="18"/>
                <w:b w:val="1"/>
                <w:bCs w:val="1"/>
                <w:color w:val="auto"/>
              </w:rPr>
              <w:t>Votes For</w:t>
            </w:r>
          </w:p>
        </w:tc>
        <w:tc>
          <w:tcPr>
            <w:tcW w:w="1780" w:type="dxa"/>
            <w:vAlign w:val="bottom"/>
            <w:gridSpan w:val="2"/>
          </w:tcPr>
          <w:p>
            <w:pPr>
              <w:ind w:left="240"/>
              <w:spacing w:after="0"/>
              <w:rPr>
                <w:sz w:val="20"/>
                <w:szCs w:val="20"/>
                <w:color w:val="auto"/>
              </w:rPr>
            </w:pPr>
            <w:r>
              <w:rPr>
                <w:rFonts w:ascii="Arial" w:cs="Arial" w:eastAsia="Arial" w:hAnsi="Arial"/>
                <w:sz w:val="18"/>
                <w:szCs w:val="18"/>
                <w:b w:val="1"/>
                <w:bCs w:val="1"/>
                <w:color w:val="auto"/>
              </w:rPr>
              <w:t>Votes Withheld</w:t>
            </w:r>
          </w:p>
        </w:tc>
        <w:tc>
          <w:tcPr>
            <w:tcW w:w="1960" w:type="dxa"/>
            <w:vAlign w:val="bottom"/>
          </w:tcPr>
          <w:p>
            <w:pPr>
              <w:jc w:val="right"/>
              <w:ind w:right="210"/>
              <w:spacing w:after="0"/>
              <w:rPr>
                <w:sz w:val="20"/>
                <w:szCs w:val="20"/>
                <w:color w:val="auto"/>
              </w:rPr>
            </w:pPr>
            <w:r>
              <w:rPr>
                <w:rFonts w:ascii="Arial" w:cs="Arial" w:eastAsia="Arial" w:hAnsi="Arial"/>
                <w:sz w:val="18"/>
                <w:szCs w:val="18"/>
                <w:b w:val="1"/>
                <w:bCs w:val="1"/>
                <w:color w:val="auto"/>
              </w:rPr>
              <w:t>Broker Non-Votes</w:t>
            </w:r>
          </w:p>
        </w:tc>
      </w:tr>
      <w:tr>
        <w:trPr>
          <w:trHeight w:val="27"/>
        </w:trPr>
        <w:tc>
          <w:tcPr>
            <w:tcW w:w="482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44"/>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Robert Glanville</w:t>
            </w: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70,538,630</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148,210</w:t>
            </w:r>
          </w:p>
        </w:tc>
        <w:tc>
          <w:tcPr>
            <w:tcW w:w="12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1,835,069</w:t>
            </w:r>
          </w:p>
        </w:tc>
      </w:tr>
      <w:tr>
        <w:trPr>
          <w:trHeight w:val="243"/>
        </w:trPr>
        <w:tc>
          <w:tcPr>
            <w:tcW w:w="4820" w:type="dxa"/>
            <w:vAlign w:val="bottom"/>
          </w:tcPr>
          <w:p>
            <w:pPr>
              <w:ind w:left="20"/>
              <w:spacing w:after="0"/>
              <w:rPr>
                <w:sz w:val="20"/>
                <w:szCs w:val="20"/>
                <w:color w:val="auto"/>
              </w:rPr>
            </w:pPr>
            <w:r>
              <w:rPr>
                <w:rFonts w:ascii="Arial" w:cs="Arial" w:eastAsia="Arial" w:hAnsi="Arial"/>
                <w:sz w:val="18"/>
                <w:szCs w:val="18"/>
                <w:color w:val="auto"/>
              </w:rPr>
              <w:t>Allan Levine</w:t>
            </w: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69,599,268</w:t>
            </w:r>
          </w:p>
        </w:tc>
        <w:tc>
          <w:tcPr>
            <w:tcW w:w="10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1,087,572</w:t>
            </w:r>
          </w:p>
        </w:tc>
        <w:tc>
          <w:tcPr>
            <w:tcW w:w="120" w:type="dxa"/>
            <w:vAlign w:val="bottom"/>
          </w:tcPr>
          <w:p>
            <w:pPr>
              <w:spacing w:after="0"/>
              <w:rPr>
                <w:sz w:val="21"/>
                <w:szCs w:val="21"/>
                <w:color w:val="auto"/>
              </w:rPr>
            </w:pPr>
          </w:p>
        </w:tc>
        <w:tc>
          <w:tcPr>
            <w:tcW w:w="1960" w:type="dxa"/>
            <w:vAlign w:val="bottom"/>
          </w:tcPr>
          <w:p>
            <w:pPr>
              <w:jc w:val="right"/>
              <w:ind w:right="10"/>
              <w:spacing w:after="0"/>
              <w:rPr>
                <w:sz w:val="20"/>
                <w:szCs w:val="20"/>
                <w:color w:val="auto"/>
              </w:rPr>
            </w:pPr>
            <w:r>
              <w:rPr>
                <w:rFonts w:ascii="Arial" w:cs="Arial" w:eastAsia="Arial" w:hAnsi="Arial"/>
                <w:sz w:val="18"/>
                <w:szCs w:val="18"/>
                <w:color w:val="auto"/>
              </w:rPr>
              <w:t>1,835,069</w:t>
            </w:r>
          </w:p>
        </w:tc>
      </w:tr>
      <w:tr>
        <w:trPr>
          <w:trHeight w:val="27"/>
        </w:trPr>
        <w:tc>
          <w:tcPr>
            <w:tcW w:w="48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43"/>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Adolfo Marzol</w:t>
            </w:r>
          </w:p>
        </w:tc>
        <w:tc>
          <w:tcPr>
            <w:tcW w:w="1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70,538,804</w:t>
            </w:r>
          </w:p>
        </w:tc>
        <w:tc>
          <w:tcPr>
            <w:tcW w:w="100" w:type="dxa"/>
            <w:vAlign w:val="bottom"/>
            <w:shd w:val="clear" w:color="auto" w:fill="CCEEFF"/>
          </w:tcPr>
          <w:p>
            <w:pPr>
              <w:spacing w:after="0"/>
              <w:rPr>
                <w:sz w:val="21"/>
                <w:szCs w:val="21"/>
                <w:color w:val="auto"/>
              </w:rPr>
            </w:pPr>
          </w:p>
        </w:tc>
        <w:tc>
          <w:tcPr>
            <w:tcW w:w="1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148,036</w:t>
            </w:r>
          </w:p>
        </w:tc>
        <w:tc>
          <w:tcPr>
            <w:tcW w:w="120" w:type="dxa"/>
            <w:vAlign w:val="bottom"/>
            <w:shd w:val="clear" w:color="auto" w:fill="CCEEFF"/>
          </w:tcPr>
          <w:p>
            <w:pPr>
              <w:spacing w:after="0"/>
              <w:rPr>
                <w:sz w:val="21"/>
                <w:szCs w:val="21"/>
                <w:color w:val="auto"/>
              </w:rPr>
            </w:pPr>
          </w:p>
        </w:tc>
        <w:tc>
          <w:tcPr>
            <w:tcW w:w="1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1,835,069</w:t>
            </w:r>
          </w:p>
        </w:tc>
      </w:tr>
      <w:tr>
        <w:trPr>
          <w:trHeight w:val="27"/>
        </w:trPr>
        <w:tc>
          <w:tcPr>
            <w:tcW w:w="4820" w:type="dxa"/>
            <w:vAlign w:val="bottom"/>
            <w:shd w:val="clear" w:color="auto" w:fill="CCEEFF"/>
          </w:tcPr>
          <w:p>
            <w:pPr>
              <w:spacing w:after="0"/>
              <w:rPr>
                <w:sz w:val="2"/>
                <w:szCs w:val="2"/>
                <w:color w:val="auto"/>
              </w:rPr>
            </w:pPr>
          </w:p>
        </w:tc>
        <w:tc>
          <w:tcPr>
            <w:tcW w:w="1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9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Proposal 2 - The re-appointment of PricewaterhouseCoopers LLP as the Company's independent registered public accounting firm for the year ending December 31, 2016 and until the 2017 Annual General Meeting of Shareholders, and the referral of the determination of the auditors' compensation to the board of directors, was ratified:</w:t>
      </w:r>
    </w:p>
    <w:p>
      <w:pPr>
        <w:spacing w:after="0" w:line="115" w:lineRule="exact"/>
        <w:rPr>
          <w:sz w:val="20"/>
          <w:szCs w:val="20"/>
          <w:color w:val="auto"/>
        </w:rPr>
      </w:pPr>
    </w:p>
    <w:tbl>
      <w:tblPr>
        <w:tblLayout w:type="fixed"/>
        <w:tblInd w:w="2380" w:type="dxa"/>
        <w:tblCellMar>
          <w:top w:w="0" w:type="dxa"/>
          <w:left w:w="0" w:type="dxa"/>
          <w:bottom w:w="0" w:type="dxa"/>
          <w:right w:w="0" w:type="dxa"/>
        </w:tblCellMar>
      </w:tblPr>
      <w:tr>
        <w:trPr>
          <w:trHeight w:val="270"/>
        </w:trPr>
        <w:tc>
          <w:tcPr>
            <w:tcW w:w="2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Votes For</w:t>
            </w:r>
          </w:p>
        </w:tc>
        <w:tc>
          <w:tcPr>
            <w:tcW w:w="4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72,217,571</w:t>
            </w:r>
          </w:p>
        </w:tc>
      </w:tr>
      <w:tr>
        <w:trPr>
          <w:trHeight w:val="243"/>
        </w:trPr>
        <w:tc>
          <w:tcPr>
            <w:tcW w:w="2140" w:type="dxa"/>
            <w:vAlign w:val="bottom"/>
          </w:tcPr>
          <w:p>
            <w:pPr>
              <w:ind w:left="40"/>
              <w:spacing w:after="0"/>
              <w:rPr>
                <w:sz w:val="20"/>
                <w:szCs w:val="20"/>
                <w:color w:val="auto"/>
              </w:rPr>
            </w:pPr>
            <w:r>
              <w:rPr>
                <w:rFonts w:ascii="Arial" w:cs="Arial" w:eastAsia="Arial" w:hAnsi="Arial"/>
                <w:sz w:val="18"/>
                <w:szCs w:val="18"/>
                <w:color w:val="auto"/>
              </w:rPr>
              <w:t>Votes Against</w:t>
            </w:r>
          </w:p>
        </w:tc>
        <w:tc>
          <w:tcPr>
            <w:tcW w:w="4520" w:type="dxa"/>
            <w:vAlign w:val="bottom"/>
          </w:tcPr>
          <w:p>
            <w:pPr>
              <w:jc w:val="right"/>
              <w:spacing w:after="0"/>
              <w:rPr>
                <w:sz w:val="20"/>
                <w:szCs w:val="20"/>
                <w:color w:val="auto"/>
              </w:rPr>
            </w:pPr>
            <w:r>
              <w:rPr>
                <w:rFonts w:ascii="Arial" w:cs="Arial" w:eastAsia="Arial" w:hAnsi="Arial"/>
                <w:sz w:val="18"/>
                <w:szCs w:val="18"/>
                <w:color w:val="auto"/>
              </w:rPr>
              <w:t>169,874</w:t>
            </w:r>
          </w:p>
        </w:tc>
      </w:tr>
      <w:tr>
        <w:trPr>
          <w:trHeight w:val="27"/>
        </w:trPr>
        <w:tc>
          <w:tcPr>
            <w:tcW w:w="2140" w:type="dxa"/>
            <w:vAlign w:val="bottom"/>
          </w:tcPr>
          <w:p>
            <w:pPr>
              <w:spacing w:after="0"/>
              <w:rPr>
                <w:sz w:val="2"/>
                <w:szCs w:val="2"/>
                <w:color w:val="auto"/>
              </w:rPr>
            </w:pPr>
          </w:p>
        </w:tc>
        <w:tc>
          <w:tcPr>
            <w:tcW w:w="4520" w:type="dxa"/>
            <w:vAlign w:val="bottom"/>
          </w:tcPr>
          <w:p>
            <w:pPr>
              <w:spacing w:after="0"/>
              <w:rPr>
                <w:sz w:val="2"/>
                <w:szCs w:val="2"/>
                <w:color w:val="auto"/>
              </w:rPr>
            </w:pPr>
          </w:p>
        </w:tc>
      </w:tr>
      <w:tr>
        <w:trPr>
          <w:trHeight w:val="250"/>
        </w:trPr>
        <w:tc>
          <w:tcPr>
            <w:tcW w:w="2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Abstentions</w:t>
            </w:r>
          </w:p>
        </w:tc>
        <w:tc>
          <w:tcPr>
            <w:tcW w:w="4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134,464</w:t>
            </w:r>
          </w:p>
        </w:tc>
      </w:tr>
      <w:tr>
        <w:trPr>
          <w:trHeight w:val="675"/>
        </w:trPr>
        <w:tc>
          <w:tcPr>
            <w:tcW w:w="2140" w:type="dxa"/>
            <w:vAlign w:val="bottom"/>
          </w:tcPr>
          <w:p>
            <w:pPr>
              <w:spacing w:after="0"/>
              <w:rPr>
                <w:sz w:val="24"/>
                <w:szCs w:val="24"/>
                <w:color w:val="auto"/>
              </w:rPr>
            </w:pPr>
          </w:p>
        </w:tc>
        <w:tc>
          <w:tcPr>
            <w:tcW w:w="4520" w:type="dxa"/>
            <w:vAlign w:val="bottom"/>
          </w:tcPr>
          <w:p>
            <w:pPr>
              <w:jc w:val="right"/>
              <w:ind w:right="3150"/>
              <w:spacing w:after="0"/>
              <w:rPr>
                <w:sz w:val="20"/>
                <w:szCs w:val="20"/>
                <w:color w:val="auto"/>
              </w:rPr>
            </w:pPr>
            <w:r>
              <w:rPr>
                <w:rFonts w:ascii="Arial" w:cs="Arial" w:eastAsia="Arial" w:hAnsi="Arial"/>
                <w:sz w:val="18"/>
                <w:szCs w:val="18"/>
                <w:color w:val="auto"/>
              </w:rPr>
              <w:t>36</w:t>
            </w:r>
          </w:p>
        </w:tc>
      </w:tr>
    </w:tbl>
    <w:p>
      <w:pPr>
        <w:sectPr>
          <w:pgSz w:w="11900" w:h="16838" w:orient="portrait"/>
          <w:cols w:equalWidth="0" w:num="1">
            <w:col w:w="11400"/>
          </w:cols>
          <w:pgMar w:left="240" w:top="125" w:right="259" w:bottom="1440" w:gutter="0" w:footer="0" w:header="0"/>
        </w:sectPr>
      </w:pPr>
    </w:p>
    <w:bookmarkStart w:id="40" w:name="page41"/>
    <w:bookmarkEnd w:id="4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6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98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5780" w:type="dxa"/>
            <w:vAlign w:val="bottom"/>
            <w:gridSpan w:val="2"/>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480"/>
        </w:trPr>
        <w:tc>
          <w:tcPr>
            <w:tcW w:w="7060" w:type="dxa"/>
            <w:vAlign w:val="bottom"/>
            <w:gridSpan w:val="3"/>
          </w:tcPr>
          <w:p>
            <w:pPr>
              <w:spacing w:after="0"/>
              <w:rPr>
                <w:sz w:val="20"/>
                <w:szCs w:val="20"/>
                <w:color w:val="auto"/>
              </w:rPr>
            </w:pPr>
            <w:r>
              <w:rPr>
                <w:rFonts w:ascii="Arial" w:cs="Arial" w:eastAsia="Arial" w:hAnsi="Arial"/>
                <w:sz w:val="18"/>
                <w:szCs w:val="18"/>
                <w:color w:val="auto"/>
              </w:rPr>
              <w:t>Proposal 3 - Provide a non-binding, advisory vote on our executive compensation:</w:t>
            </w:r>
          </w:p>
        </w:tc>
        <w:tc>
          <w:tcPr>
            <w:tcW w:w="1980" w:type="dxa"/>
            <w:vAlign w:val="bottom"/>
          </w:tcPr>
          <w:p>
            <w:pPr>
              <w:spacing w:after="0"/>
              <w:rPr>
                <w:sz w:val="24"/>
                <w:szCs w:val="24"/>
                <w:color w:val="auto"/>
              </w:rPr>
            </w:pPr>
          </w:p>
        </w:tc>
      </w:tr>
      <w:tr>
        <w:trPr>
          <w:trHeight w:val="135"/>
        </w:trPr>
        <w:tc>
          <w:tcPr>
            <w:tcW w:w="12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80" w:type="dxa"/>
            <w:vAlign w:val="bottom"/>
          </w:tcPr>
          <w:p>
            <w:pPr>
              <w:spacing w:after="0"/>
              <w:rPr>
                <w:sz w:val="11"/>
                <w:szCs w:val="11"/>
                <w:color w:val="auto"/>
              </w:rPr>
            </w:pPr>
          </w:p>
        </w:tc>
        <w:tc>
          <w:tcPr>
            <w:tcW w:w="1980" w:type="dxa"/>
            <w:vAlign w:val="bottom"/>
          </w:tcPr>
          <w:p>
            <w:pPr>
              <w:spacing w:after="0"/>
              <w:rPr>
                <w:sz w:val="11"/>
                <w:szCs w:val="11"/>
                <w:color w:val="auto"/>
              </w:rPr>
            </w:pPr>
          </w:p>
        </w:tc>
      </w:tr>
      <w:tr>
        <w:trPr>
          <w:trHeight w:val="250"/>
        </w:trPr>
        <w:tc>
          <w:tcPr>
            <w:tcW w:w="1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Votes For</w:t>
            </w: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69,701,317</w:t>
            </w:r>
          </w:p>
        </w:tc>
      </w:tr>
      <w:tr>
        <w:trPr>
          <w:trHeight w:val="243"/>
        </w:trPr>
        <w:tc>
          <w:tcPr>
            <w:tcW w:w="1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680" w:type="dxa"/>
            <w:vAlign w:val="bottom"/>
          </w:tcPr>
          <w:p>
            <w:pPr>
              <w:ind w:left="40"/>
              <w:spacing w:after="0"/>
              <w:rPr>
                <w:sz w:val="20"/>
                <w:szCs w:val="20"/>
                <w:color w:val="auto"/>
              </w:rPr>
            </w:pPr>
            <w:r>
              <w:rPr>
                <w:rFonts w:ascii="Arial" w:cs="Arial" w:eastAsia="Arial" w:hAnsi="Arial"/>
                <w:sz w:val="18"/>
                <w:szCs w:val="18"/>
                <w:color w:val="auto"/>
              </w:rPr>
              <w:t>Votes Against</w:t>
            </w:r>
          </w:p>
        </w:tc>
        <w:tc>
          <w:tcPr>
            <w:tcW w:w="1980" w:type="dxa"/>
            <w:vAlign w:val="bottom"/>
          </w:tcPr>
          <w:p>
            <w:pPr>
              <w:jc w:val="right"/>
              <w:spacing w:after="0"/>
              <w:rPr>
                <w:sz w:val="20"/>
                <w:szCs w:val="20"/>
                <w:color w:val="auto"/>
              </w:rPr>
            </w:pPr>
            <w:r>
              <w:rPr>
                <w:rFonts w:ascii="Arial" w:cs="Arial" w:eastAsia="Arial" w:hAnsi="Arial"/>
                <w:sz w:val="18"/>
                <w:szCs w:val="18"/>
                <w:color w:val="auto"/>
              </w:rPr>
              <w:t>704,810</w:t>
            </w:r>
          </w:p>
        </w:tc>
      </w:tr>
      <w:tr>
        <w:trPr>
          <w:trHeight w:val="27"/>
        </w:trPr>
        <w:tc>
          <w:tcPr>
            <w:tcW w:w="1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1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Abstentions</w:t>
            </w: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280,713</w:t>
            </w:r>
          </w:p>
        </w:tc>
      </w:tr>
      <w:tr>
        <w:trPr>
          <w:trHeight w:val="243"/>
        </w:trPr>
        <w:tc>
          <w:tcPr>
            <w:tcW w:w="1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680" w:type="dxa"/>
            <w:vAlign w:val="bottom"/>
          </w:tcPr>
          <w:p>
            <w:pPr>
              <w:ind w:left="40"/>
              <w:spacing w:after="0"/>
              <w:rPr>
                <w:sz w:val="20"/>
                <w:szCs w:val="20"/>
                <w:color w:val="auto"/>
              </w:rPr>
            </w:pPr>
            <w:r>
              <w:rPr>
                <w:rFonts w:ascii="Arial" w:cs="Arial" w:eastAsia="Arial" w:hAnsi="Arial"/>
                <w:sz w:val="18"/>
                <w:szCs w:val="18"/>
                <w:color w:val="auto"/>
              </w:rPr>
              <w:t>Broker Non-Votes</w:t>
            </w:r>
          </w:p>
        </w:tc>
        <w:tc>
          <w:tcPr>
            <w:tcW w:w="1980" w:type="dxa"/>
            <w:vAlign w:val="bottom"/>
          </w:tcPr>
          <w:p>
            <w:pPr>
              <w:jc w:val="right"/>
              <w:spacing w:after="0"/>
              <w:rPr>
                <w:sz w:val="20"/>
                <w:szCs w:val="20"/>
                <w:color w:val="auto"/>
              </w:rPr>
            </w:pPr>
            <w:r>
              <w:rPr>
                <w:rFonts w:ascii="Arial" w:cs="Arial" w:eastAsia="Arial" w:hAnsi="Arial"/>
                <w:sz w:val="18"/>
                <w:szCs w:val="18"/>
                <w:color w:val="auto"/>
              </w:rPr>
              <w:t>1,835,069</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Proposal 4 - Provide a non-binding, advisory vote on the frequency of advisory votes on our executive compensation:</w:t>
      </w:r>
    </w:p>
    <w:p>
      <w:pPr>
        <w:spacing w:after="0" w:line="158" w:lineRule="exact"/>
        <w:rPr>
          <w:sz w:val="20"/>
          <w:szCs w:val="20"/>
          <w:color w:val="auto"/>
        </w:rPr>
      </w:pPr>
    </w:p>
    <w:tbl>
      <w:tblPr>
        <w:tblLayout w:type="fixed"/>
        <w:tblInd w:w="2380" w:type="dxa"/>
        <w:tblCellMar>
          <w:top w:w="0" w:type="dxa"/>
          <w:left w:w="0" w:type="dxa"/>
          <w:bottom w:w="0" w:type="dxa"/>
          <w:right w:w="0" w:type="dxa"/>
        </w:tblCellMar>
      </w:tblPr>
      <w:tr>
        <w:trPr>
          <w:trHeight w:val="270"/>
        </w:trPr>
        <w:tc>
          <w:tcPr>
            <w:tcW w:w="140" w:type="dxa"/>
            <w:vAlign w:val="bottom"/>
            <w:shd w:val="clear" w:color="auto" w:fill="CCEEFF"/>
          </w:tcPr>
          <w:p>
            <w:pPr>
              <w:ind w:left="40"/>
              <w:spacing w:after="0"/>
              <w:rPr>
                <w:sz w:val="20"/>
                <w:szCs w:val="20"/>
                <w:color w:val="auto"/>
              </w:rPr>
            </w:pPr>
            <w:r>
              <w:rPr>
                <w:rFonts w:ascii="Arial" w:cs="Arial" w:eastAsia="Arial" w:hAnsi="Arial"/>
                <w:sz w:val="18"/>
                <w:szCs w:val="18"/>
                <w:color w:val="auto"/>
                <w:w w:val="79"/>
              </w:rPr>
              <w:t>1</w:t>
            </w:r>
          </w:p>
        </w:tc>
        <w:tc>
          <w:tcPr>
            <w:tcW w:w="3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w:t>
            </w:r>
          </w:p>
        </w:tc>
        <w:tc>
          <w:tcPr>
            <w:tcW w:w="3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55,878,533</w:t>
            </w:r>
          </w:p>
        </w:tc>
      </w:tr>
      <w:tr>
        <w:trPr>
          <w:trHeight w:val="243"/>
        </w:trPr>
        <w:tc>
          <w:tcPr>
            <w:tcW w:w="140" w:type="dxa"/>
            <w:vAlign w:val="bottom"/>
          </w:tcPr>
          <w:p>
            <w:pPr>
              <w:ind w:left="40"/>
              <w:spacing w:after="0"/>
              <w:rPr>
                <w:sz w:val="20"/>
                <w:szCs w:val="20"/>
                <w:color w:val="auto"/>
              </w:rPr>
            </w:pPr>
            <w:r>
              <w:rPr>
                <w:rFonts w:ascii="Arial" w:cs="Arial" w:eastAsia="Arial" w:hAnsi="Arial"/>
                <w:sz w:val="18"/>
                <w:szCs w:val="18"/>
                <w:color w:val="auto"/>
                <w:w w:val="79"/>
              </w:rPr>
              <w:t>2</w:t>
            </w:r>
          </w:p>
        </w:tc>
        <w:tc>
          <w:tcPr>
            <w:tcW w:w="3440" w:type="dxa"/>
            <w:vAlign w:val="bottom"/>
          </w:tcPr>
          <w:p>
            <w:pPr>
              <w:ind w:left="20"/>
              <w:spacing w:after="0"/>
              <w:rPr>
                <w:sz w:val="20"/>
                <w:szCs w:val="20"/>
                <w:color w:val="auto"/>
              </w:rPr>
            </w:pPr>
            <w:r>
              <w:rPr>
                <w:rFonts w:ascii="Arial" w:cs="Arial" w:eastAsia="Arial" w:hAnsi="Arial"/>
                <w:sz w:val="18"/>
                <w:szCs w:val="18"/>
                <w:color w:val="auto"/>
              </w:rPr>
              <w:t>Years</w:t>
            </w:r>
          </w:p>
        </w:tc>
        <w:tc>
          <w:tcPr>
            <w:tcW w:w="3080" w:type="dxa"/>
            <w:vAlign w:val="bottom"/>
          </w:tcPr>
          <w:p>
            <w:pPr>
              <w:jc w:val="right"/>
              <w:spacing w:after="0"/>
              <w:rPr>
                <w:sz w:val="20"/>
                <w:szCs w:val="20"/>
                <w:color w:val="auto"/>
              </w:rPr>
            </w:pPr>
            <w:r>
              <w:rPr>
                <w:rFonts w:ascii="Arial" w:cs="Arial" w:eastAsia="Arial" w:hAnsi="Arial"/>
                <w:sz w:val="18"/>
                <w:szCs w:val="18"/>
                <w:color w:val="auto"/>
              </w:rPr>
              <w:t>754,697</w:t>
            </w:r>
          </w:p>
        </w:tc>
      </w:tr>
      <w:tr>
        <w:trPr>
          <w:trHeight w:val="27"/>
        </w:trPr>
        <w:tc>
          <w:tcPr>
            <w:tcW w:w="140" w:type="dxa"/>
            <w:vAlign w:val="bottom"/>
          </w:tcPr>
          <w:p>
            <w:pPr>
              <w:spacing w:after="0"/>
              <w:rPr>
                <w:sz w:val="2"/>
                <w:szCs w:val="2"/>
                <w:color w:val="auto"/>
              </w:rPr>
            </w:pPr>
          </w:p>
        </w:tc>
        <w:tc>
          <w:tcPr>
            <w:tcW w:w="3440" w:type="dxa"/>
            <w:vAlign w:val="bottom"/>
          </w:tcPr>
          <w:p>
            <w:pPr>
              <w:spacing w:after="0"/>
              <w:rPr>
                <w:sz w:val="2"/>
                <w:szCs w:val="2"/>
                <w:color w:val="auto"/>
              </w:rPr>
            </w:pPr>
          </w:p>
        </w:tc>
        <w:tc>
          <w:tcPr>
            <w:tcW w:w="3080" w:type="dxa"/>
            <w:vAlign w:val="bottom"/>
          </w:tcPr>
          <w:p>
            <w:pPr>
              <w:spacing w:after="0"/>
              <w:rPr>
                <w:sz w:val="2"/>
                <w:szCs w:val="2"/>
                <w:color w:val="auto"/>
              </w:rPr>
            </w:pPr>
          </w:p>
        </w:tc>
      </w:tr>
      <w:tr>
        <w:trPr>
          <w:trHeight w:val="250"/>
        </w:trPr>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79"/>
              </w:rPr>
              <w:t>3</w:t>
            </w:r>
          </w:p>
        </w:tc>
        <w:tc>
          <w:tcPr>
            <w:tcW w:w="3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Years</w:t>
            </w:r>
          </w:p>
        </w:tc>
        <w:tc>
          <w:tcPr>
            <w:tcW w:w="3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13,636,332</w:t>
            </w:r>
          </w:p>
        </w:tc>
      </w:tr>
      <w:tr>
        <w:trPr>
          <w:trHeight w:val="243"/>
        </w:trPr>
        <w:tc>
          <w:tcPr>
            <w:tcW w:w="3580" w:type="dxa"/>
            <w:vAlign w:val="bottom"/>
            <w:gridSpan w:val="2"/>
          </w:tcPr>
          <w:p>
            <w:pPr>
              <w:ind w:left="40"/>
              <w:spacing w:after="0"/>
              <w:rPr>
                <w:sz w:val="20"/>
                <w:szCs w:val="20"/>
                <w:color w:val="auto"/>
              </w:rPr>
            </w:pPr>
            <w:r>
              <w:rPr>
                <w:rFonts w:ascii="Arial" w:cs="Arial" w:eastAsia="Arial" w:hAnsi="Arial"/>
                <w:sz w:val="18"/>
                <w:szCs w:val="18"/>
                <w:color w:val="auto"/>
              </w:rPr>
              <w:t>Abstentions</w:t>
            </w:r>
          </w:p>
        </w:tc>
        <w:tc>
          <w:tcPr>
            <w:tcW w:w="3080" w:type="dxa"/>
            <w:vAlign w:val="bottom"/>
          </w:tcPr>
          <w:p>
            <w:pPr>
              <w:jc w:val="right"/>
              <w:spacing w:after="0"/>
              <w:rPr>
                <w:sz w:val="20"/>
                <w:szCs w:val="20"/>
                <w:color w:val="auto"/>
              </w:rPr>
            </w:pPr>
            <w:r>
              <w:rPr>
                <w:rFonts w:ascii="Arial" w:cs="Arial" w:eastAsia="Arial" w:hAnsi="Arial"/>
                <w:sz w:val="18"/>
                <w:szCs w:val="18"/>
                <w:color w:val="auto"/>
              </w:rPr>
              <w:t>417,276</w:t>
            </w:r>
          </w:p>
        </w:tc>
      </w:tr>
      <w:tr>
        <w:trPr>
          <w:trHeight w:val="27"/>
        </w:trPr>
        <w:tc>
          <w:tcPr>
            <w:tcW w:w="3580" w:type="dxa"/>
            <w:vAlign w:val="bottom"/>
            <w:gridSpan w:val="2"/>
          </w:tcPr>
          <w:p>
            <w:pPr>
              <w:spacing w:after="0"/>
              <w:rPr>
                <w:sz w:val="2"/>
                <w:szCs w:val="2"/>
                <w:color w:val="auto"/>
              </w:rPr>
            </w:pPr>
          </w:p>
        </w:tc>
        <w:tc>
          <w:tcPr>
            <w:tcW w:w="3080" w:type="dxa"/>
            <w:vAlign w:val="bottom"/>
          </w:tcPr>
          <w:p>
            <w:pPr>
              <w:spacing w:after="0"/>
              <w:rPr>
                <w:sz w:val="2"/>
                <w:szCs w:val="2"/>
                <w:color w:val="auto"/>
              </w:rPr>
            </w:pPr>
          </w:p>
        </w:tc>
      </w:tr>
      <w:tr>
        <w:trPr>
          <w:trHeight w:val="243"/>
        </w:trPr>
        <w:tc>
          <w:tcPr>
            <w:tcW w:w="35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Broker Non-Votes</w:t>
            </w:r>
          </w:p>
        </w:tc>
        <w:tc>
          <w:tcPr>
            <w:tcW w:w="3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1,835,071</w:t>
            </w:r>
          </w:p>
        </w:tc>
      </w:tr>
      <w:tr>
        <w:trPr>
          <w:trHeight w:val="27"/>
        </w:trPr>
        <w:tc>
          <w:tcPr>
            <w:tcW w:w="140" w:type="dxa"/>
            <w:vAlign w:val="bottom"/>
            <w:shd w:val="clear" w:color="auto" w:fill="CCEEFF"/>
          </w:tcPr>
          <w:p>
            <w:pPr>
              <w:spacing w:after="0"/>
              <w:rPr>
                <w:sz w:val="2"/>
                <w:szCs w:val="2"/>
                <w:color w:val="auto"/>
              </w:rPr>
            </w:pPr>
          </w:p>
        </w:tc>
        <w:tc>
          <w:tcPr>
            <w:tcW w:w="3440" w:type="dxa"/>
            <w:vAlign w:val="bottom"/>
            <w:shd w:val="clear" w:color="auto" w:fill="CCEEFF"/>
          </w:tcPr>
          <w:p>
            <w:pPr>
              <w:spacing w:after="0"/>
              <w:rPr>
                <w:sz w:val="2"/>
                <w:szCs w:val="2"/>
                <w:color w:val="auto"/>
              </w:rPr>
            </w:pPr>
          </w:p>
        </w:tc>
        <w:tc>
          <w:tcPr>
            <w:tcW w:w="30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Recognizing the result of the non-binding, advisory vote of shareholders on the frequency of advisory votes on our executive compensation at the Annual Meeting, our board of directors has determined that the Company will hold a non-binding, advisory vote on our executive compensation on an annual basis until the next required vote on the frequency of such votes on our executive compensation.</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13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29" w:lineRule="exact"/>
        <w:rPr>
          <w:sz w:val="20"/>
          <w:szCs w:val="20"/>
          <w:color w:val="auto"/>
        </w:rPr>
      </w:pPr>
    </w:p>
    <w:p>
      <w:pPr>
        <w:ind w:left="680" w:hanging="672"/>
        <w:spacing w:after="0"/>
        <w:tabs>
          <w:tab w:leader="none" w:pos="6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Exhibits:</w:t>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2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w:t>
            </w:r>
          </w:p>
        </w:tc>
        <w:tc>
          <w:tcPr>
            <w:tcW w:w="620" w:type="dxa"/>
            <w:vAlign w:val="bottom"/>
          </w:tcPr>
          <w:p>
            <w:pPr>
              <w:spacing w:after="0"/>
              <w:rPr>
                <w:sz w:val="13"/>
                <w:szCs w:val="13"/>
                <w:color w:val="auto"/>
              </w:rPr>
            </w:pPr>
          </w:p>
        </w:tc>
        <w:tc>
          <w:tcPr>
            <w:tcW w:w="9180" w:type="dxa"/>
            <w:vAlign w:val="bottom"/>
            <w:vMerge w:val="restart"/>
          </w:tcPr>
          <w:p>
            <w:pPr>
              <w:ind w:left="39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1620" w:type="dxa"/>
            <w:vAlign w:val="bottom"/>
            <w:gridSpan w:val="2"/>
          </w:tcPr>
          <w:p>
            <w:pPr>
              <w:ind w:left="40"/>
              <w:spacing w:after="0"/>
              <w:rPr>
                <w:sz w:val="20"/>
                <w:szCs w:val="20"/>
                <w:color w:val="auto"/>
              </w:rPr>
            </w:pPr>
            <w:r>
              <w:rPr>
                <w:rFonts w:ascii="Arial" w:cs="Arial" w:eastAsia="Arial" w:hAnsi="Arial"/>
                <w:sz w:val="14"/>
                <w:szCs w:val="14"/>
                <w:b w:val="1"/>
                <w:bCs w:val="1"/>
                <w:color w:val="auto"/>
              </w:rPr>
              <w:t>No.</w:t>
            </w:r>
          </w:p>
        </w:tc>
        <w:tc>
          <w:tcPr>
            <w:tcW w:w="620" w:type="dxa"/>
            <w:vAlign w:val="bottom"/>
          </w:tcPr>
          <w:p>
            <w:pPr>
              <w:spacing w:after="0"/>
              <w:rPr>
                <w:sz w:val="16"/>
                <w:szCs w:val="16"/>
                <w:color w:val="auto"/>
              </w:rPr>
            </w:pPr>
          </w:p>
        </w:tc>
        <w:tc>
          <w:tcPr>
            <w:tcW w:w="9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11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10.1</w:t>
            </w:r>
          </w:p>
        </w:tc>
        <w:tc>
          <w:tcPr>
            <w:tcW w:w="460" w:type="dxa"/>
            <w:vAlign w:val="bottom"/>
          </w:tcPr>
          <w:p>
            <w:pPr>
              <w:spacing w:after="0"/>
              <w:rPr>
                <w:sz w:val="19"/>
                <w:szCs w:val="19"/>
                <w:color w:val="auto"/>
              </w:rPr>
            </w:pPr>
          </w:p>
        </w:tc>
        <w:tc>
          <w:tcPr>
            <w:tcW w:w="980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color w:val="auto"/>
                <w:w w:val="95"/>
              </w:rPr>
              <w:t>Credit Agreement, dated as of April 19, 2016, by and among Essent Group Ltd., Essent Irish Intermediate Holdings Limited, and</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w w:val="93"/>
              </w:rPr>
              <w:t>Essent US Holdings, Inc., as borrowers, the several banks and other financial institutions or entities from time to time parties to this</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w w:val="90"/>
              </w:rPr>
              <w:t>agreement, as lenders, and JPMorgan Chase Bank, N.A., as administrative agent (incorporated herein by reference to Exhibit 1.1 to the</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rPr>
              <w:t>Current Report on Form 8-K (File No. 001-36157) filed on April 21, 2016)</w:t>
            </w:r>
          </w:p>
        </w:tc>
        <w:tc>
          <w:tcPr>
            <w:tcW w:w="0" w:type="dxa"/>
            <w:vAlign w:val="bottom"/>
          </w:tcPr>
          <w:p>
            <w:pPr>
              <w:spacing w:after="0"/>
              <w:rPr>
                <w:sz w:val="1"/>
                <w:szCs w:val="1"/>
                <w:color w:val="auto"/>
              </w:rPr>
            </w:pPr>
          </w:p>
        </w:tc>
      </w:tr>
      <w:tr>
        <w:trPr>
          <w:trHeight w:val="256"/>
        </w:trPr>
        <w:tc>
          <w:tcPr>
            <w:tcW w:w="1160" w:type="dxa"/>
            <w:vAlign w:val="bottom"/>
          </w:tcPr>
          <w:p>
            <w:pPr>
              <w:ind w:left="40"/>
              <w:spacing w:after="0"/>
              <w:rPr>
                <w:sz w:val="20"/>
                <w:szCs w:val="20"/>
                <w:color w:val="auto"/>
              </w:rPr>
            </w:pPr>
            <w:r>
              <w:rPr>
                <w:rFonts w:ascii="Arial" w:cs="Arial" w:eastAsia="Arial" w:hAnsi="Arial"/>
                <w:sz w:val="18"/>
                <w:szCs w:val="18"/>
                <w:color w:val="auto"/>
              </w:rPr>
              <w:t>31.1</w:t>
            </w:r>
          </w:p>
        </w:tc>
        <w:tc>
          <w:tcPr>
            <w:tcW w:w="460" w:type="dxa"/>
            <w:vAlign w:val="bottom"/>
          </w:tcPr>
          <w:p>
            <w:pPr>
              <w:spacing w:after="0"/>
              <w:rPr>
                <w:sz w:val="22"/>
                <w:szCs w:val="22"/>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w w:val="96"/>
              </w:rPr>
              <w:t>Certification of Chief Executive Officer required by Rule 13a-14(a) or Rule 15d-14(a) of the Securities Exchange Act of 1934, as</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rPr>
              <w:t>adopted pursuant to Section 302 of the Sarbanes-Oxley Act of 2002</w:t>
            </w:r>
          </w:p>
        </w:tc>
        <w:tc>
          <w:tcPr>
            <w:tcW w:w="0" w:type="dxa"/>
            <w:vAlign w:val="bottom"/>
          </w:tcPr>
          <w:p>
            <w:pPr>
              <w:spacing w:after="0"/>
              <w:rPr>
                <w:sz w:val="1"/>
                <w:szCs w:val="1"/>
                <w:color w:val="auto"/>
              </w:rPr>
            </w:pPr>
          </w:p>
        </w:tc>
      </w:tr>
      <w:tr>
        <w:trPr>
          <w:trHeight w:val="256"/>
        </w:trPr>
        <w:tc>
          <w:tcPr>
            <w:tcW w:w="1160" w:type="dxa"/>
            <w:vAlign w:val="bottom"/>
          </w:tcPr>
          <w:p>
            <w:pPr>
              <w:ind w:left="40"/>
              <w:spacing w:after="0"/>
              <w:rPr>
                <w:sz w:val="20"/>
                <w:szCs w:val="20"/>
                <w:color w:val="auto"/>
              </w:rPr>
            </w:pPr>
            <w:r>
              <w:rPr>
                <w:rFonts w:ascii="Arial" w:cs="Arial" w:eastAsia="Arial" w:hAnsi="Arial"/>
                <w:sz w:val="18"/>
                <w:szCs w:val="18"/>
                <w:color w:val="auto"/>
              </w:rPr>
              <w:t>31.2</w:t>
            </w:r>
          </w:p>
        </w:tc>
        <w:tc>
          <w:tcPr>
            <w:tcW w:w="460" w:type="dxa"/>
            <w:vAlign w:val="bottom"/>
          </w:tcPr>
          <w:p>
            <w:pPr>
              <w:spacing w:after="0"/>
              <w:rPr>
                <w:sz w:val="22"/>
                <w:szCs w:val="22"/>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w w:val="96"/>
              </w:rPr>
              <w:t>Certification of Chief Financial Officer required by Rule 13a-14(a) or Rule 15d-14(a) of the Securities Exchange Act of 1934, as</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rPr>
              <w:t>adopted pursuant to Section 302 of the Sarbanes-Oxley Act of 2002</w:t>
            </w:r>
          </w:p>
        </w:tc>
        <w:tc>
          <w:tcPr>
            <w:tcW w:w="0" w:type="dxa"/>
            <w:vAlign w:val="bottom"/>
          </w:tcPr>
          <w:p>
            <w:pPr>
              <w:spacing w:after="0"/>
              <w:rPr>
                <w:sz w:val="1"/>
                <w:szCs w:val="1"/>
                <w:color w:val="auto"/>
              </w:rPr>
            </w:pPr>
          </w:p>
        </w:tc>
      </w:tr>
      <w:tr>
        <w:trPr>
          <w:trHeight w:val="256"/>
        </w:trPr>
        <w:tc>
          <w:tcPr>
            <w:tcW w:w="1160" w:type="dxa"/>
            <w:vAlign w:val="bottom"/>
          </w:tcPr>
          <w:p>
            <w:pPr>
              <w:ind w:left="40"/>
              <w:spacing w:after="0"/>
              <w:rPr>
                <w:sz w:val="20"/>
                <w:szCs w:val="20"/>
                <w:color w:val="auto"/>
              </w:rPr>
            </w:pPr>
            <w:r>
              <w:rPr>
                <w:rFonts w:ascii="Arial" w:cs="Arial" w:eastAsia="Arial" w:hAnsi="Arial"/>
                <w:sz w:val="18"/>
                <w:szCs w:val="18"/>
                <w:color w:val="auto"/>
              </w:rPr>
              <w:t>32.1</w:t>
            </w:r>
          </w:p>
        </w:tc>
        <w:tc>
          <w:tcPr>
            <w:tcW w:w="460" w:type="dxa"/>
            <w:vAlign w:val="bottom"/>
          </w:tcPr>
          <w:p>
            <w:pPr>
              <w:spacing w:after="0"/>
              <w:rPr>
                <w:sz w:val="22"/>
                <w:szCs w:val="22"/>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w w:val="92"/>
              </w:rPr>
              <w:t>Certification of Chief Executive Officer and Chief Financial Officer pursuant to 18 U.S.C. 1350, as adopted pursuant to Section 906 of</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rPr>
              <w:t>the Sarbanes-Oxley Act of 2002</w:t>
            </w:r>
          </w:p>
        </w:tc>
        <w:tc>
          <w:tcPr>
            <w:tcW w:w="0" w:type="dxa"/>
            <w:vAlign w:val="bottom"/>
          </w:tcPr>
          <w:p>
            <w:pPr>
              <w:spacing w:after="0"/>
              <w:rPr>
                <w:sz w:val="1"/>
                <w:szCs w:val="1"/>
                <w:color w:val="auto"/>
              </w:rPr>
            </w:pPr>
          </w:p>
        </w:tc>
      </w:tr>
      <w:tr>
        <w:trPr>
          <w:trHeight w:val="256"/>
        </w:trPr>
        <w:tc>
          <w:tcPr>
            <w:tcW w:w="1620" w:type="dxa"/>
            <w:vAlign w:val="bottom"/>
            <w:gridSpan w:val="2"/>
          </w:tcPr>
          <w:p>
            <w:pPr>
              <w:ind w:left="40"/>
              <w:spacing w:after="0"/>
              <w:rPr>
                <w:sz w:val="20"/>
                <w:szCs w:val="20"/>
                <w:color w:val="auto"/>
              </w:rPr>
            </w:pPr>
            <w:r>
              <w:rPr>
                <w:rFonts w:ascii="Arial" w:cs="Arial" w:eastAsia="Arial" w:hAnsi="Arial"/>
                <w:sz w:val="18"/>
                <w:szCs w:val="18"/>
                <w:color w:val="auto"/>
              </w:rPr>
              <w:t>101†</w:t>
            </w:r>
          </w:p>
        </w:tc>
        <w:tc>
          <w:tcPr>
            <w:tcW w:w="9800" w:type="dxa"/>
            <w:vAlign w:val="bottom"/>
            <w:gridSpan w:val="2"/>
          </w:tcPr>
          <w:p>
            <w:pPr>
              <w:ind w:left="20"/>
              <w:spacing w:after="0"/>
              <w:rPr>
                <w:sz w:val="20"/>
                <w:szCs w:val="20"/>
                <w:color w:val="auto"/>
              </w:rPr>
            </w:pPr>
            <w:r>
              <w:rPr>
                <w:rFonts w:ascii="Arial" w:cs="Arial" w:eastAsia="Arial" w:hAnsi="Arial"/>
                <w:sz w:val="18"/>
                <w:szCs w:val="18"/>
                <w:color w:val="auto"/>
                <w:w w:val="96"/>
              </w:rPr>
              <w:t>The following financial information from this Quarterly Report on Form 10-Q for the quarter ended March 31, 2016, formatted in</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w w:val="93"/>
              </w:rPr>
              <w:t>XBRL (Extensible Business Reporting Language) and filed electronically herewith: (i) the Condensed Consolidated Balance Sheets</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w w:val="93"/>
              </w:rPr>
              <w:t>(Unaudited); (ii) the Condensed Consolidated Statements of Comprehensive Income (Unaudited); (iii) the Condensed Consolidated</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w w:val="91"/>
              </w:rPr>
              <w:t>Statements of Changes in Stockholders’ Equity (Unaudited); (iv) the Condensed Consolidated Statements of Cash Flows (Unaudited);</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rPr>
              <w:t>and (v) the Notes to Condensed Consolidated Financial Statements (Unaudited), tagged as blocks of text.</w:t>
            </w:r>
          </w:p>
        </w:tc>
        <w:tc>
          <w:tcPr>
            <w:tcW w:w="0" w:type="dxa"/>
            <w:vAlign w:val="bottom"/>
          </w:tcPr>
          <w:p>
            <w:pPr>
              <w:spacing w:after="0"/>
              <w:rPr>
                <w:sz w:val="1"/>
                <w:szCs w:val="1"/>
                <w:color w:val="auto"/>
              </w:rPr>
            </w:pPr>
          </w:p>
        </w:tc>
      </w:tr>
      <w:tr>
        <w:trPr>
          <w:trHeight w:val="284"/>
        </w:trPr>
        <w:tc>
          <w:tcPr>
            <w:tcW w:w="1620" w:type="dxa"/>
            <w:vAlign w:val="bottom"/>
            <w:tcBorders>
              <w:bottom w:val="single" w:sz="8" w:color="auto"/>
            </w:tcBorders>
            <w:gridSpan w:val="2"/>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9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7"/>
        </w:trPr>
        <w:tc>
          <w:tcPr>
            <w:tcW w:w="16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9800" w:type="dxa"/>
            <w:vAlign w:val="bottom"/>
            <w:gridSpan w:val="2"/>
          </w:tcPr>
          <w:p>
            <w:pPr>
              <w:ind w:left="20"/>
              <w:spacing w:after="0"/>
              <w:rPr>
                <w:sz w:val="20"/>
                <w:szCs w:val="20"/>
                <w:color w:val="auto"/>
              </w:rPr>
            </w:pPr>
            <w:r>
              <w:rPr>
                <w:rFonts w:ascii="Arial" w:cs="Arial" w:eastAsia="Arial" w:hAnsi="Arial"/>
                <w:sz w:val="18"/>
                <w:szCs w:val="18"/>
                <w:color w:val="auto"/>
                <w:w w:val="91"/>
              </w:rPr>
              <w:t>Pursuant to applicable securities laws and regulations, this interactive data file is deemed not filed or part of a registration statement or</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w w:val="90"/>
              </w:rPr>
              <w:t>prospectus for purposes of Sections 11 or 12 of the Securities Act of 1933, as amended, is deemed not filed for purposes of Section 18</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rPr>
              <w:t>of the Securities Exchange Act of 1934, as amended, and otherwise is not subject to liability under those sections.</w:t>
            </w:r>
          </w:p>
        </w:tc>
        <w:tc>
          <w:tcPr>
            <w:tcW w:w="0" w:type="dxa"/>
            <w:vAlign w:val="bottom"/>
          </w:tcPr>
          <w:p>
            <w:pPr>
              <w:spacing w:after="0"/>
              <w:rPr>
                <w:sz w:val="1"/>
                <w:szCs w:val="1"/>
                <w:color w:val="auto"/>
              </w:rPr>
            </w:pPr>
          </w:p>
        </w:tc>
      </w:tr>
      <w:tr>
        <w:trPr>
          <w:trHeight w:val="702"/>
        </w:trPr>
        <w:tc>
          <w:tcPr>
            <w:tcW w:w="1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0" w:type="dxa"/>
            <w:vAlign w:val="bottom"/>
            <w:gridSpan w:val="2"/>
          </w:tcPr>
          <w:p>
            <w:pPr>
              <w:ind w:left="400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bl>
    <w:p>
      <w:pPr>
        <w:sectPr>
          <w:pgSz w:w="11900" w:h="16838" w:orient="portrait"/>
          <w:cols w:equalWidth="0" w:num="1">
            <w:col w:w="11420"/>
          </w:cols>
          <w:pgMar w:left="240" w:top="108"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on the date indicated.</w:t>
      </w:r>
    </w:p>
    <w:p>
      <w:pPr>
        <w:spacing w:after="0" w:line="329" w:lineRule="exact"/>
        <w:rPr>
          <w:sz w:val="20"/>
          <w:szCs w:val="20"/>
          <w:color w:val="auto"/>
        </w:rPr>
      </w:pPr>
    </w:p>
    <w:p>
      <w:pPr>
        <w:ind w:left="5460"/>
        <w:spacing w:after="0"/>
        <w:rPr>
          <w:sz w:val="20"/>
          <w:szCs w:val="20"/>
          <w:color w:val="auto"/>
        </w:rPr>
      </w:pPr>
      <w:r>
        <w:rPr>
          <w:rFonts w:ascii="Arial" w:cs="Arial" w:eastAsia="Arial" w:hAnsi="Arial"/>
          <w:sz w:val="18"/>
          <w:szCs w:val="18"/>
          <w:b w:val="1"/>
          <w:bCs w:val="1"/>
          <w:color w:val="auto"/>
        </w:rPr>
        <w:t>ESSENT GROUP LTD.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0"/>
        <w:spacing w:after="0"/>
        <w:tabs>
          <w:tab w:leader="none" w:pos="640" w:val="left"/>
          <w:tab w:leader="none" w:pos="5440" w:val="left"/>
        </w:tabs>
        <w:rPr>
          <w:sz w:val="20"/>
          <w:szCs w:val="20"/>
          <w:color w:val="auto"/>
        </w:rPr>
      </w:pPr>
      <w:r>
        <w:rPr>
          <w:rFonts w:ascii="Arial" w:cs="Arial" w:eastAsia="Arial" w:hAnsi="Arial"/>
          <w:sz w:val="18"/>
          <w:szCs w:val="18"/>
          <w:color w:val="auto"/>
        </w:rPr>
        <w:t>Date:</w:t>
        <w:tab/>
        <w:t>May 6, 2016</w:t>
      </w:r>
      <w:r>
        <w:rPr>
          <w:sz w:val="20"/>
          <w:szCs w:val="20"/>
          <w:color w:val="auto"/>
        </w:rPr>
        <w:tab/>
      </w:r>
      <w:r>
        <w:rPr>
          <w:rFonts w:ascii="Arial" w:cs="Arial" w:eastAsia="Arial" w:hAnsi="Arial"/>
          <w:sz w:val="17"/>
          <w:szCs w:val="17"/>
          <w:color w:val="auto"/>
        </w:rPr>
        <w:t>/s/ MARK A. CASALE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3444240</wp:posOffset>
            </wp:positionH>
            <wp:positionV relativeFrom="paragraph">
              <wp:posOffset>31750</wp:posOffset>
            </wp:positionV>
            <wp:extent cx="303593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57"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Mark A. Casale</w:t>
      </w:r>
    </w:p>
    <w:p>
      <w:pPr>
        <w:spacing w:after="0" w:line="6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President, Chief Executive Officer and Chairman</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389" w:lineRule="exact"/>
        <w:rPr>
          <w:sz w:val="20"/>
          <w:szCs w:val="20"/>
          <w:color w:val="auto"/>
        </w:rPr>
      </w:pPr>
    </w:p>
    <w:p>
      <w:pPr>
        <w:ind w:left="40"/>
        <w:spacing w:after="0"/>
        <w:tabs>
          <w:tab w:leader="none" w:pos="640" w:val="left"/>
          <w:tab w:leader="none" w:pos="5440" w:val="left"/>
        </w:tabs>
        <w:rPr>
          <w:sz w:val="20"/>
          <w:szCs w:val="20"/>
          <w:color w:val="auto"/>
        </w:rPr>
      </w:pPr>
      <w:r>
        <w:rPr>
          <w:rFonts w:ascii="Arial" w:cs="Arial" w:eastAsia="Arial" w:hAnsi="Arial"/>
          <w:sz w:val="18"/>
          <w:szCs w:val="18"/>
          <w:color w:val="auto"/>
        </w:rPr>
        <w:t>Date:</w:t>
        <w:tab/>
        <w:t>May 6, 2016</w:t>
      </w:r>
      <w:r>
        <w:rPr>
          <w:sz w:val="20"/>
          <w:szCs w:val="20"/>
          <w:color w:val="auto"/>
        </w:rPr>
        <w:tab/>
      </w:r>
      <w:r>
        <w:rPr>
          <w:rFonts w:ascii="Arial" w:cs="Arial" w:eastAsia="Arial" w:hAnsi="Arial"/>
          <w:sz w:val="17"/>
          <w:szCs w:val="17"/>
          <w:color w:val="auto"/>
        </w:rPr>
        <w:t>/s/ LAWRENCE E. MCALEE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3444240</wp:posOffset>
            </wp:positionH>
            <wp:positionV relativeFrom="paragraph">
              <wp:posOffset>31750</wp:posOffset>
            </wp:positionV>
            <wp:extent cx="303593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57"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Lawrence E. McAlee</w:t>
      </w:r>
    </w:p>
    <w:p>
      <w:pPr>
        <w:spacing w:after="0" w:line="6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Senior Vice President and Chief Financial Officer</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389" w:lineRule="exact"/>
        <w:rPr>
          <w:sz w:val="20"/>
          <w:szCs w:val="20"/>
          <w:color w:val="auto"/>
        </w:rPr>
      </w:pPr>
    </w:p>
    <w:p>
      <w:pPr>
        <w:ind w:left="40"/>
        <w:spacing w:after="0"/>
        <w:tabs>
          <w:tab w:leader="none" w:pos="640" w:val="left"/>
          <w:tab w:leader="none" w:pos="5440" w:val="left"/>
        </w:tabs>
        <w:rPr>
          <w:sz w:val="20"/>
          <w:szCs w:val="20"/>
          <w:color w:val="auto"/>
        </w:rPr>
      </w:pPr>
      <w:r>
        <w:rPr>
          <w:rFonts w:ascii="Arial" w:cs="Arial" w:eastAsia="Arial" w:hAnsi="Arial"/>
          <w:sz w:val="18"/>
          <w:szCs w:val="18"/>
          <w:color w:val="auto"/>
        </w:rPr>
        <w:t>Date:</w:t>
        <w:tab/>
        <w:t>May 6, 2016</w:t>
      </w:r>
      <w:r>
        <w:rPr>
          <w:sz w:val="20"/>
          <w:szCs w:val="20"/>
          <w:color w:val="auto"/>
        </w:rPr>
        <w:tab/>
      </w:r>
      <w:r>
        <w:rPr>
          <w:rFonts w:ascii="Arial" w:cs="Arial" w:eastAsia="Arial" w:hAnsi="Arial"/>
          <w:sz w:val="17"/>
          <w:szCs w:val="17"/>
          <w:color w:val="auto"/>
        </w:rPr>
        <w:t>/s/ DAVID B. WEINSTOCK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3444240</wp:posOffset>
            </wp:positionH>
            <wp:positionV relativeFrom="paragraph">
              <wp:posOffset>31750</wp:posOffset>
            </wp:positionV>
            <wp:extent cx="303593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57"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David B. Weinstock</w:t>
      </w:r>
    </w:p>
    <w:p>
      <w:pPr>
        <w:spacing w:after="0" w:line="6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Vice President and Chief Accounting Officer</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pacing w:after="0" w:line="28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20"/>
          </w:cols>
          <w:pgMar w:left="240" w:top="125" w:right="4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180" w:type="dxa"/>
            <w:vAlign w:val="bottom"/>
          </w:tcPr>
          <w:p>
            <w:pPr>
              <w:ind w:left="278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504"/>
        </w:trPr>
        <w:tc>
          <w:tcPr>
            <w:tcW w:w="162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w:t>
            </w:r>
          </w:p>
        </w:tc>
        <w:tc>
          <w:tcPr>
            <w:tcW w:w="620" w:type="dxa"/>
            <w:vAlign w:val="bottom"/>
          </w:tcPr>
          <w:p>
            <w:pPr>
              <w:spacing w:after="0"/>
              <w:rPr>
                <w:sz w:val="24"/>
                <w:szCs w:val="24"/>
                <w:color w:val="auto"/>
              </w:rPr>
            </w:pPr>
          </w:p>
        </w:tc>
        <w:tc>
          <w:tcPr>
            <w:tcW w:w="9180" w:type="dxa"/>
            <w:vAlign w:val="bottom"/>
            <w:vMerge w:val="restart"/>
          </w:tcPr>
          <w:p>
            <w:pPr>
              <w:ind w:left="39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1620" w:type="dxa"/>
            <w:vAlign w:val="bottom"/>
            <w:gridSpan w:val="2"/>
          </w:tcPr>
          <w:p>
            <w:pPr>
              <w:ind w:left="40"/>
              <w:spacing w:after="0"/>
              <w:rPr>
                <w:sz w:val="20"/>
                <w:szCs w:val="20"/>
                <w:color w:val="auto"/>
              </w:rPr>
            </w:pPr>
            <w:r>
              <w:rPr>
                <w:rFonts w:ascii="Arial" w:cs="Arial" w:eastAsia="Arial" w:hAnsi="Arial"/>
                <w:sz w:val="14"/>
                <w:szCs w:val="14"/>
                <w:b w:val="1"/>
                <w:bCs w:val="1"/>
                <w:color w:val="auto"/>
              </w:rPr>
              <w:t>No.</w:t>
            </w:r>
          </w:p>
        </w:tc>
        <w:tc>
          <w:tcPr>
            <w:tcW w:w="620" w:type="dxa"/>
            <w:vAlign w:val="bottom"/>
          </w:tcPr>
          <w:p>
            <w:pPr>
              <w:spacing w:after="0"/>
              <w:rPr>
                <w:sz w:val="16"/>
                <w:szCs w:val="16"/>
                <w:color w:val="auto"/>
              </w:rPr>
            </w:pPr>
          </w:p>
        </w:tc>
        <w:tc>
          <w:tcPr>
            <w:tcW w:w="9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11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10.1</w:t>
            </w:r>
          </w:p>
        </w:tc>
        <w:tc>
          <w:tcPr>
            <w:tcW w:w="460" w:type="dxa"/>
            <w:vAlign w:val="bottom"/>
          </w:tcPr>
          <w:p>
            <w:pPr>
              <w:spacing w:after="0"/>
              <w:rPr>
                <w:sz w:val="19"/>
                <w:szCs w:val="19"/>
                <w:color w:val="auto"/>
              </w:rPr>
            </w:pPr>
          </w:p>
        </w:tc>
        <w:tc>
          <w:tcPr>
            <w:tcW w:w="980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color w:val="auto"/>
                <w:w w:val="95"/>
              </w:rPr>
              <w:t>Credit Agreement, dated as of April 19, 2016, by and among Essent Group Ltd., Essent Irish Intermediate Holdings Limited, and</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w w:val="93"/>
              </w:rPr>
              <w:t>Essent US Holdings, Inc., as borrowers, the several banks and other financial institutions or entities from time to time parties to this</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w w:val="90"/>
              </w:rPr>
              <w:t>agreement, as lenders, and JPMorgan Chase Bank, N.A., as administrative agent (incorporated herein by reference to Exhibit 1.1 to the</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rPr>
              <w:t>Current Report on Form 8-K (File No. 001-36157) filed on April 21, 2016)</w:t>
            </w:r>
          </w:p>
        </w:tc>
        <w:tc>
          <w:tcPr>
            <w:tcW w:w="0" w:type="dxa"/>
            <w:vAlign w:val="bottom"/>
          </w:tcPr>
          <w:p>
            <w:pPr>
              <w:spacing w:after="0"/>
              <w:rPr>
                <w:sz w:val="1"/>
                <w:szCs w:val="1"/>
                <w:color w:val="auto"/>
              </w:rPr>
            </w:pPr>
          </w:p>
        </w:tc>
      </w:tr>
      <w:tr>
        <w:trPr>
          <w:trHeight w:val="256"/>
        </w:trPr>
        <w:tc>
          <w:tcPr>
            <w:tcW w:w="1160" w:type="dxa"/>
            <w:vAlign w:val="bottom"/>
          </w:tcPr>
          <w:p>
            <w:pPr>
              <w:ind w:left="40"/>
              <w:spacing w:after="0"/>
              <w:rPr>
                <w:sz w:val="20"/>
                <w:szCs w:val="20"/>
                <w:color w:val="auto"/>
              </w:rPr>
            </w:pPr>
            <w:r>
              <w:rPr>
                <w:rFonts w:ascii="Arial" w:cs="Arial" w:eastAsia="Arial" w:hAnsi="Arial"/>
                <w:sz w:val="18"/>
                <w:szCs w:val="18"/>
                <w:color w:val="auto"/>
              </w:rPr>
              <w:t>31.1</w:t>
            </w:r>
          </w:p>
        </w:tc>
        <w:tc>
          <w:tcPr>
            <w:tcW w:w="460" w:type="dxa"/>
            <w:vAlign w:val="bottom"/>
          </w:tcPr>
          <w:p>
            <w:pPr>
              <w:spacing w:after="0"/>
              <w:rPr>
                <w:sz w:val="22"/>
                <w:szCs w:val="22"/>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w w:val="96"/>
              </w:rPr>
              <w:t>Certification of Chief Executive Officer required by Rule 13a-14(a) or Rule 15d-14(a) of the Securities Exchange Act of 1934, as</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rPr>
              <w:t>adopted pursuant to Section 302 of the Sarbanes-Oxley Act of 2002</w:t>
            </w:r>
          </w:p>
        </w:tc>
        <w:tc>
          <w:tcPr>
            <w:tcW w:w="0" w:type="dxa"/>
            <w:vAlign w:val="bottom"/>
          </w:tcPr>
          <w:p>
            <w:pPr>
              <w:spacing w:after="0"/>
              <w:rPr>
                <w:sz w:val="1"/>
                <w:szCs w:val="1"/>
                <w:color w:val="auto"/>
              </w:rPr>
            </w:pPr>
          </w:p>
        </w:tc>
      </w:tr>
      <w:tr>
        <w:trPr>
          <w:trHeight w:val="256"/>
        </w:trPr>
        <w:tc>
          <w:tcPr>
            <w:tcW w:w="1160" w:type="dxa"/>
            <w:vAlign w:val="bottom"/>
          </w:tcPr>
          <w:p>
            <w:pPr>
              <w:ind w:left="40"/>
              <w:spacing w:after="0"/>
              <w:rPr>
                <w:sz w:val="20"/>
                <w:szCs w:val="20"/>
                <w:color w:val="auto"/>
              </w:rPr>
            </w:pPr>
            <w:r>
              <w:rPr>
                <w:rFonts w:ascii="Arial" w:cs="Arial" w:eastAsia="Arial" w:hAnsi="Arial"/>
                <w:sz w:val="18"/>
                <w:szCs w:val="18"/>
                <w:color w:val="auto"/>
              </w:rPr>
              <w:t>31.2</w:t>
            </w:r>
          </w:p>
        </w:tc>
        <w:tc>
          <w:tcPr>
            <w:tcW w:w="460" w:type="dxa"/>
            <w:vAlign w:val="bottom"/>
          </w:tcPr>
          <w:p>
            <w:pPr>
              <w:spacing w:after="0"/>
              <w:rPr>
                <w:sz w:val="22"/>
                <w:szCs w:val="22"/>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w w:val="96"/>
              </w:rPr>
              <w:t>Certification of Chief Financial Officer required by Rule 13a-14(a) or Rule 15d-14(a) of the Securities Exchange Act of 1934, as</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rPr>
              <w:t>adopted pursuant to Section 302 of the Sarbanes-Oxley Act of 2002</w:t>
            </w:r>
          </w:p>
        </w:tc>
        <w:tc>
          <w:tcPr>
            <w:tcW w:w="0" w:type="dxa"/>
            <w:vAlign w:val="bottom"/>
          </w:tcPr>
          <w:p>
            <w:pPr>
              <w:spacing w:after="0"/>
              <w:rPr>
                <w:sz w:val="1"/>
                <w:szCs w:val="1"/>
                <w:color w:val="auto"/>
              </w:rPr>
            </w:pPr>
          </w:p>
        </w:tc>
      </w:tr>
      <w:tr>
        <w:trPr>
          <w:trHeight w:val="256"/>
        </w:trPr>
        <w:tc>
          <w:tcPr>
            <w:tcW w:w="1160" w:type="dxa"/>
            <w:vAlign w:val="bottom"/>
          </w:tcPr>
          <w:p>
            <w:pPr>
              <w:ind w:left="40"/>
              <w:spacing w:after="0"/>
              <w:rPr>
                <w:sz w:val="20"/>
                <w:szCs w:val="20"/>
                <w:color w:val="auto"/>
              </w:rPr>
            </w:pPr>
            <w:r>
              <w:rPr>
                <w:rFonts w:ascii="Arial" w:cs="Arial" w:eastAsia="Arial" w:hAnsi="Arial"/>
                <w:sz w:val="18"/>
                <w:szCs w:val="18"/>
                <w:color w:val="auto"/>
              </w:rPr>
              <w:t>32.1</w:t>
            </w:r>
          </w:p>
        </w:tc>
        <w:tc>
          <w:tcPr>
            <w:tcW w:w="460" w:type="dxa"/>
            <w:vAlign w:val="bottom"/>
          </w:tcPr>
          <w:p>
            <w:pPr>
              <w:spacing w:after="0"/>
              <w:rPr>
                <w:sz w:val="22"/>
                <w:szCs w:val="22"/>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w w:val="92"/>
              </w:rPr>
              <w:t>Certification of Chief Executive Officer and Chief Financial Officer pursuant to 18 U.S.C. 1350, as adopted pursuant to Section 906 of</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rPr>
              <w:t>the Sarbanes-Oxley Act of 2002</w:t>
            </w:r>
          </w:p>
        </w:tc>
        <w:tc>
          <w:tcPr>
            <w:tcW w:w="0" w:type="dxa"/>
            <w:vAlign w:val="bottom"/>
          </w:tcPr>
          <w:p>
            <w:pPr>
              <w:spacing w:after="0"/>
              <w:rPr>
                <w:sz w:val="1"/>
                <w:szCs w:val="1"/>
                <w:color w:val="auto"/>
              </w:rPr>
            </w:pPr>
          </w:p>
        </w:tc>
      </w:tr>
      <w:tr>
        <w:trPr>
          <w:trHeight w:val="256"/>
        </w:trPr>
        <w:tc>
          <w:tcPr>
            <w:tcW w:w="1620" w:type="dxa"/>
            <w:vAlign w:val="bottom"/>
            <w:gridSpan w:val="2"/>
          </w:tcPr>
          <w:p>
            <w:pPr>
              <w:ind w:left="40"/>
              <w:spacing w:after="0"/>
              <w:rPr>
                <w:sz w:val="20"/>
                <w:szCs w:val="20"/>
                <w:color w:val="auto"/>
              </w:rPr>
            </w:pPr>
            <w:r>
              <w:rPr>
                <w:rFonts w:ascii="Arial" w:cs="Arial" w:eastAsia="Arial" w:hAnsi="Arial"/>
                <w:sz w:val="18"/>
                <w:szCs w:val="18"/>
                <w:color w:val="auto"/>
              </w:rPr>
              <w:t>101†</w:t>
            </w:r>
          </w:p>
        </w:tc>
        <w:tc>
          <w:tcPr>
            <w:tcW w:w="9800" w:type="dxa"/>
            <w:vAlign w:val="bottom"/>
            <w:gridSpan w:val="2"/>
          </w:tcPr>
          <w:p>
            <w:pPr>
              <w:ind w:left="20"/>
              <w:spacing w:after="0"/>
              <w:rPr>
                <w:sz w:val="20"/>
                <w:szCs w:val="20"/>
                <w:color w:val="auto"/>
              </w:rPr>
            </w:pPr>
            <w:r>
              <w:rPr>
                <w:rFonts w:ascii="Arial" w:cs="Arial" w:eastAsia="Arial" w:hAnsi="Arial"/>
                <w:sz w:val="18"/>
                <w:szCs w:val="18"/>
                <w:color w:val="auto"/>
                <w:w w:val="96"/>
              </w:rPr>
              <w:t>The following financial information from this Quarterly Report on Form 10-Q for the quarter ended March 31, 2016, formatted in</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w w:val="93"/>
              </w:rPr>
              <w:t>XBRL (Extensible Business Reporting Language) and filed electronically herewith: (i) the Condensed Consolidated Balance Sheets</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w w:val="93"/>
              </w:rPr>
              <w:t>(Unaudited); (ii) the Condensed Consolidated Statements of Comprehensive Income (Unaudited); (iii) the Condensed Consolidated</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w w:val="91"/>
              </w:rPr>
              <w:t>Statements of Changes in Stockholders’ Equity (Unaudited); (iv) the Condensed Consolidated Statements of Cash Flows (Unaudited);</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rPr>
              <w:t>and (v) the Notes to Condensed Consolidated Financial Statements (Unaudited), tagged as blocks of text.</w:t>
            </w:r>
          </w:p>
        </w:tc>
        <w:tc>
          <w:tcPr>
            <w:tcW w:w="0" w:type="dxa"/>
            <w:vAlign w:val="bottom"/>
          </w:tcPr>
          <w:p>
            <w:pPr>
              <w:spacing w:after="0"/>
              <w:rPr>
                <w:sz w:val="1"/>
                <w:szCs w:val="1"/>
                <w:color w:val="auto"/>
              </w:rPr>
            </w:pPr>
          </w:p>
        </w:tc>
      </w:tr>
      <w:tr>
        <w:trPr>
          <w:trHeight w:val="500"/>
        </w:trPr>
        <w:tc>
          <w:tcPr>
            <w:tcW w:w="1620" w:type="dxa"/>
            <w:vAlign w:val="bottom"/>
            <w:tcBorders>
              <w:bottom w:val="single" w:sz="8" w:color="auto"/>
            </w:tcBorders>
            <w:gridSpan w:val="2"/>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9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7"/>
        </w:trPr>
        <w:tc>
          <w:tcPr>
            <w:tcW w:w="16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9800" w:type="dxa"/>
            <w:vAlign w:val="bottom"/>
            <w:gridSpan w:val="2"/>
          </w:tcPr>
          <w:p>
            <w:pPr>
              <w:ind w:left="20"/>
              <w:spacing w:after="0"/>
              <w:rPr>
                <w:sz w:val="20"/>
                <w:szCs w:val="20"/>
                <w:color w:val="auto"/>
              </w:rPr>
            </w:pPr>
            <w:r>
              <w:rPr>
                <w:rFonts w:ascii="Arial" w:cs="Arial" w:eastAsia="Arial" w:hAnsi="Arial"/>
                <w:sz w:val="18"/>
                <w:szCs w:val="18"/>
                <w:color w:val="auto"/>
                <w:w w:val="91"/>
              </w:rPr>
              <w:t>Pursuant to applicable securities laws and regulations, this interactive data file is deemed not filed or part of a registration statement or</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w w:val="90"/>
              </w:rPr>
              <w:t>prospectus for purposes of Sections 11 or 12 of the Securities Act of 1933, as amended, is deemed not filed for purposes of Section 18</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rPr>
              <w:t>of the Securities Exchange Act of 1934, as amended, and otherwise is not subject to liability under those sections.</w:t>
            </w:r>
          </w:p>
        </w:tc>
        <w:tc>
          <w:tcPr>
            <w:tcW w:w="0" w:type="dxa"/>
            <w:vAlign w:val="bottom"/>
          </w:tcPr>
          <w:p>
            <w:pPr>
              <w:spacing w:after="0"/>
              <w:rPr>
                <w:sz w:val="1"/>
                <w:szCs w:val="1"/>
                <w:color w:val="auto"/>
              </w:rPr>
            </w:pPr>
          </w:p>
        </w:tc>
      </w:tr>
      <w:tr>
        <w:trPr>
          <w:trHeight w:val="918"/>
        </w:trPr>
        <w:tc>
          <w:tcPr>
            <w:tcW w:w="1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0" w:type="dxa"/>
            <w:vAlign w:val="bottom"/>
            <w:gridSpan w:val="2"/>
          </w:tcPr>
          <w:p>
            <w:pPr>
              <w:ind w:left="400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Mark A. Casale, certify that:</w:t>
      </w:r>
    </w:p>
    <w:p>
      <w:pPr>
        <w:spacing w:after="0" w:line="225" w:lineRule="exact"/>
        <w:rPr>
          <w:sz w:val="20"/>
          <w:szCs w:val="20"/>
          <w:color w:val="auto"/>
        </w:rPr>
      </w:pPr>
    </w:p>
    <w:p>
      <w:pPr>
        <w:ind w:left="560" w:hanging="552"/>
        <w:spacing w:after="0"/>
        <w:tabs>
          <w:tab w:leader="none" w:pos="5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Essent Group Ltd.;</w:t>
      </w:r>
    </w:p>
    <w:p>
      <w:pPr>
        <w:spacing w:after="0" w:line="265" w:lineRule="exact"/>
        <w:rPr>
          <w:rFonts w:ascii="Arial" w:cs="Arial" w:eastAsia="Arial" w:hAnsi="Arial"/>
          <w:sz w:val="18"/>
          <w:szCs w:val="18"/>
          <w:color w:val="auto"/>
        </w:rPr>
      </w:pPr>
    </w:p>
    <w:p>
      <w:pPr>
        <w:ind w:left="520" w:hanging="512"/>
        <w:spacing w:after="0"/>
        <w:tabs>
          <w:tab w:leader="none" w:pos="5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Based on my knowledge, this quarterly report does not contain any untrue statement of a material fact or omit to state a material fact necessary to</w:t>
      </w:r>
    </w:p>
    <w:p>
      <w:pPr>
        <w:spacing w:after="0" w:line="7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make the statements made, in light of the circumstances under which such statements were made, not misleading with respect to the period covered by this quarterly report;</w:t>
      </w:r>
    </w:p>
    <w:p>
      <w:pPr>
        <w:spacing w:after="0" w:line="170" w:lineRule="exact"/>
        <w:rPr>
          <w:sz w:val="20"/>
          <w:szCs w:val="20"/>
          <w:color w:val="auto"/>
        </w:rPr>
      </w:pPr>
    </w:p>
    <w:p>
      <w:pPr>
        <w:ind w:right="580" w:firstLine="8"/>
        <w:spacing w:after="0" w:line="395" w:lineRule="auto"/>
        <w:tabs>
          <w:tab w:leader="none" w:pos="518" w:val="left"/>
        </w:tabs>
        <w:numPr>
          <w:ilvl w:val="0"/>
          <w:numId w:val="1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83" w:lineRule="exact"/>
        <w:rPr>
          <w:rFonts w:ascii="Arial" w:cs="Arial" w:eastAsia="Arial" w:hAnsi="Arial"/>
          <w:sz w:val="16"/>
          <w:szCs w:val="16"/>
          <w:color w:val="auto"/>
        </w:rPr>
      </w:pPr>
    </w:p>
    <w:p>
      <w:pPr>
        <w:ind w:left="680" w:hanging="672"/>
        <w:spacing w:after="0"/>
        <w:tabs>
          <w:tab w:leader="none" w:pos="6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w:t>
      </w:r>
    </w:p>
    <w:p>
      <w:pPr>
        <w:spacing w:after="0" w:line="7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Exchange Act Rules 13a-15(e) and 15d-15(e)) and internal control over financial reporting (as defined in Exchange Act Rules 13a-15(f) and 15d-15(f)) for the registrant and have:</w:t>
      </w:r>
    </w:p>
    <w:p>
      <w:pPr>
        <w:spacing w:after="0" w:line="170" w:lineRule="exact"/>
        <w:rPr>
          <w:sz w:val="20"/>
          <w:szCs w:val="20"/>
          <w:color w:val="auto"/>
        </w:rPr>
      </w:pPr>
    </w:p>
    <w:p>
      <w:pPr>
        <w:ind w:left="1000" w:hanging="506"/>
        <w:spacing w:after="0"/>
        <w:tabs>
          <w:tab w:leader="none" w:pos="10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w:t>
      </w:r>
    </w:p>
    <w:p>
      <w:pPr>
        <w:spacing w:after="0" w:line="73"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ensure that material information relating to the registrant, including its consolidated subsidiaries, is made known to us by others within those entities, particularly during the period in which this report is being prepared;</w:t>
      </w:r>
    </w:p>
    <w:p>
      <w:pPr>
        <w:spacing w:after="0" w:line="170" w:lineRule="exact"/>
        <w:rPr>
          <w:sz w:val="20"/>
          <w:szCs w:val="20"/>
          <w:color w:val="auto"/>
        </w:rPr>
      </w:pPr>
    </w:p>
    <w:p>
      <w:pPr>
        <w:ind w:left="1020" w:hanging="526"/>
        <w:spacing w:after="0"/>
        <w:tabs>
          <w:tab w:leader="none" w:pos="10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w:t>
      </w:r>
    </w:p>
    <w:p>
      <w:pPr>
        <w:spacing w:after="0" w:line="6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170" w:lineRule="exact"/>
        <w:rPr>
          <w:sz w:val="20"/>
          <w:szCs w:val="20"/>
          <w:color w:val="auto"/>
        </w:rPr>
      </w:pPr>
    </w:p>
    <w:p>
      <w:pPr>
        <w:ind w:right="700" w:firstLine="494"/>
        <w:spacing w:after="0" w:line="395" w:lineRule="auto"/>
        <w:tabs>
          <w:tab w:leader="none" w:pos="1014" w:val="left"/>
        </w:tabs>
        <w:numPr>
          <w:ilvl w:val="0"/>
          <w:numId w:val="2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ind w:left="1020" w:hanging="526"/>
        <w:spacing w:after="0"/>
        <w:tabs>
          <w:tab w:leader="none" w:pos="10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w:t>
      </w:r>
    </w:p>
    <w:p>
      <w:pPr>
        <w:spacing w:after="0" w:line="7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fiscal quarter (the registrant’s fourth fiscal quarter in the case of an annual report) that has materially affected, or is reasonably likely to materially affect, the registrant’s internal control over financial reporting; and</w:t>
      </w:r>
    </w:p>
    <w:p>
      <w:pPr>
        <w:spacing w:after="0" w:line="170" w:lineRule="exact"/>
        <w:rPr>
          <w:sz w:val="20"/>
          <w:szCs w:val="20"/>
          <w:color w:val="auto"/>
        </w:rPr>
      </w:pPr>
    </w:p>
    <w:p>
      <w:pPr>
        <w:ind w:right="100" w:firstLine="8"/>
        <w:spacing w:after="0" w:line="357" w:lineRule="auto"/>
        <w:tabs>
          <w:tab w:leader="none" w:pos="545"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Arial" w:cs="Arial" w:eastAsia="Arial" w:hAnsi="Arial"/>
          <w:sz w:val="17"/>
          <w:szCs w:val="17"/>
          <w:color w:val="auto"/>
        </w:rPr>
      </w:pPr>
    </w:p>
    <w:p>
      <w:pPr>
        <w:ind w:right="140" w:firstLine="494"/>
        <w:spacing w:after="0" w:line="324" w:lineRule="auto"/>
        <w:tabs>
          <w:tab w:leader="none" w:pos="1014" w:val="left"/>
        </w:tabs>
        <w:numPr>
          <w:ilvl w:val="1"/>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9" w:lineRule="exact"/>
        <w:rPr>
          <w:rFonts w:ascii="Arial" w:cs="Arial" w:eastAsia="Arial" w:hAnsi="Arial"/>
          <w:sz w:val="18"/>
          <w:szCs w:val="18"/>
          <w:color w:val="auto"/>
        </w:rPr>
      </w:pPr>
    </w:p>
    <w:p>
      <w:pPr>
        <w:ind w:right="80" w:firstLine="494"/>
        <w:spacing w:after="0" w:line="324" w:lineRule="auto"/>
        <w:tabs>
          <w:tab w:leader="none" w:pos="1025"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92" w:lineRule="exact"/>
        <w:rPr>
          <w:sz w:val="20"/>
          <w:szCs w:val="20"/>
          <w:color w:val="auto"/>
        </w:rPr>
      </w:pPr>
    </w:p>
    <w:p>
      <w:pPr>
        <w:ind w:left="40"/>
        <w:spacing w:after="0"/>
        <w:tabs>
          <w:tab w:leader="none" w:pos="600" w:val="left"/>
        </w:tabs>
        <w:rPr>
          <w:sz w:val="20"/>
          <w:szCs w:val="20"/>
          <w:color w:val="auto"/>
        </w:rPr>
      </w:pPr>
      <w:r>
        <w:rPr>
          <w:rFonts w:ascii="Arial" w:cs="Arial" w:eastAsia="Arial" w:hAnsi="Arial"/>
          <w:sz w:val="18"/>
          <w:szCs w:val="18"/>
          <w:color w:val="auto"/>
        </w:rPr>
        <w:t>Date:</w:t>
        <w:tab/>
        <w:t>May 6, 2016</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MARK A. CASALE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421068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21068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Mark A. Casale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Chief Executive Officer and Chairman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0"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Lawrence E. McAlee, certify that:</w:t>
      </w:r>
    </w:p>
    <w:p>
      <w:pPr>
        <w:spacing w:after="0" w:line="225" w:lineRule="exact"/>
        <w:rPr>
          <w:sz w:val="20"/>
          <w:szCs w:val="20"/>
          <w:color w:val="auto"/>
        </w:rPr>
      </w:pPr>
    </w:p>
    <w:p>
      <w:pPr>
        <w:ind w:left="560" w:hanging="552"/>
        <w:spacing w:after="0"/>
        <w:tabs>
          <w:tab w:leader="none" w:pos="5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Essent Group Ltd.;</w:t>
      </w:r>
    </w:p>
    <w:p>
      <w:pPr>
        <w:spacing w:after="0" w:line="265" w:lineRule="exact"/>
        <w:rPr>
          <w:rFonts w:ascii="Arial" w:cs="Arial" w:eastAsia="Arial" w:hAnsi="Arial"/>
          <w:sz w:val="18"/>
          <w:szCs w:val="18"/>
          <w:color w:val="auto"/>
        </w:rPr>
      </w:pPr>
    </w:p>
    <w:p>
      <w:pPr>
        <w:ind w:left="520" w:hanging="512"/>
        <w:spacing w:after="0"/>
        <w:tabs>
          <w:tab w:leader="none" w:pos="5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Based on my knowledge, this quarterly report does not contain any untrue statement of a material fact or omit to state a material fact necessary to</w:t>
      </w:r>
    </w:p>
    <w:p>
      <w:pPr>
        <w:spacing w:after="0" w:line="7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make the statements made, in light of the circumstances under which such statements were made, not misleading with respect to the period covered by this quarterly report;</w:t>
      </w:r>
    </w:p>
    <w:p>
      <w:pPr>
        <w:spacing w:after="0" w:line="170" w:lineRule="exact"/>
        <w:rPr>
          <w:sz w:val="20"/>
          <w:szCs w:val="20"/>
          <w:color w:val="auto"/>
        </w:rPr>
      </w:pPr>
    </w:p>
    <w:p>
      <w:pPr>
        <w:ind w:right="580" w:firstLine="8"/>
        <w:spacing w:after="0" w:line="395" w:lineRule="auto"/>
        <w:tabs>
          <w:tab w:leader="none" w:pos="518" w:val="left"/>
        </w:tabs>
        <w:numPr>
          <w:ilvl w:val="0"/>
          <w:numId w:val="2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83" w:lineRule="exact"/>
        <w:rPr>
          <w:rFonts w:ascii="Arial" w:cs="Arial" w:eastAsia="Arial" w:hAnsi="Arial"/>
          <w:sz w:val="16"/>
          <w:szCs w:val="16"/>
          <w:color w:val="auto"/>
        </w:rPr>
      </w:pPr>
    </w:p>
    <w:p>
      <w:pPr>
        <w:ind w:left="680" w:hanging="672"/>
        <w:spacing w:after="0"/>
        <w:tabs>
          <w:tab w:leader="none" w:pos="6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w:t>
      </w:r>
    </w:p>
    <w:p>
      <w:pPr>
        <w:spacing w:after="0" w:line="7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Exchange Act Rules 13a-15(e) and 15d-15(e)) and internal control over financial reporting (as defined in Exchange Act Rules 13a-15(f) and 15d-15(f)) for the registrant and have:</w:t>
      </w:r>
    </w:p>
    <w:p>
      <w:pPr>
        <w:spacing w:after="0" w:line="170" w:lineRule="exact"/>
        <w:rPr>
          <w:sz w:val="20"/>
          <w:szCs w:val="20"/>
          <w:color w:val="auto"/>
        </w:rPr>
      </w:pPr>
    </w:p>
    <w:p>
      <w:pPr>
        <w:ind w:left="1000" w:hanging="506"/>
        <w:spacing w:after="0"/>
        <w:tabs>
          <w:tab w:leader="none" w:pos="10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w:t>
      </w:r>
    </w:p>
    <w:p>
      <w:pPr>
        <w:spacing w:after="0" w:line="73"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ensure that material information relating to the registrant, including its consolidated subsidiaries, is made known to us by others within those entities, particularly during the period in which this report is being prepared;</w:t>
      </w:r>
    </w:p>
    <w:p>
      <w:pPr>
        <w:spacing w:after="0" w:line="170" w:lineRule="exact"/>
        <w:rPr>
          <w:sz w:val="20"/>
          <w:szCs w:val="20"/>
          <w:color w:val="auto"/>
        </w:rPr>
      </w:pPr>
    </w:p>
    <w:p>
      <w:pPr>
        <w:ind w:left="1020" w:hanging="526"/>
        <w:spacing w:after="0"/>
        <w:tabs>
          <w:tab w:leader="none" w:pos="10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w:t>
      </w:r>
    </w:p>
    <w:p>
      <w:pPr>
        <w:spacing w:after="0" w:line="6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170" w:lineRule="exact"/>
        <w:rPr>
          <w:sz w:val="20"/>
          <w:szCs w:val="20"/>
          <w:color w:val="auto"/>
        </w:rPr>
      </w:pPr>
    </w:p>
    <w:p>
      <w:pPr>
        <w:ind w:right="700" w:firstLine="494"/>
        <w:spacing w:after="0" w:line="395" w:lineRule="auto"/>
        <w:tabs>
          <w:tab w:leader="none" w:pos="1014" w:val="left"/>
        </w:tabs>
        <w:numPr>
          <w:ilvl w:val="0"/>
          <w:numId w:val="2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ind w:left="1020" w:hanging="526"/>
        <w:spacing w:after="0"/>
        <w:tabs>
          <w:tab w:leader="none" w:pos="10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w:t>
      </w:r>
    </w:p>
    <w:p>
      <w:pPr>
        <w:spacing w:after="0" w:line="7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fiscal quarter (the registrant’s fourth fiscal quarter in the case of an annual report) that has materially affected, or is reasonably likely to materially affect, the registrant’s internal control over financial reporting; and</w:t>
      </w:r>
    </w:p>
    <w:p>
      <w:pPr>
        <w:spacing w:after="0" w:line="170" w:lineRule="exact"/>
        <w:rPr>
          <w:sz w:val="20"/>
          <w:szCs w:val="20"/>
          <w:color w:val="auto"/>
        </w:rPr>
      </w:pPr>
    </w:p>
    <w:p>
      <w:pPr>
        <w:ind w:right="100" w:firstLine="8"/>
        <w:spacing w:after="0" w:line="357" w:lineRule="auto"/>
        <w:tabs>
          <w:tab w:leader="none" w:pos="545"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Arial" w:cs="Arial" w:eastAsia="Arial" w:hAnsi="Arial"/>
          <w:sz w:val="17"/>
          <w:szCs w:val="17"/>
          <w:color w:val="auto"/>
        </w:rPr>
      </w:pPr>
    </w:p>
    <w:p>
      <w:pPr>
        <w:ind w:right="140" w:firstLine="494"/>
        <w:spacing w:after="0" w:line="324" w:lineRule="auto"/>
        <w:tabs>
          <w:tab w:leader="none" w:pos="1014" w:val="left"/>
        </w:tabs>
        <w:numPr>
          <w:ilvl w:val="1"/>
          <w:numId w:val="2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9" w:lineRule="exact"/>
        <w:rPr>
          <w:rFonts w:ascii="Arial" w:cs="Arial" w:eastAsia="Arial" w:hAnsi="Arial"/>
          <w:sz w:val="18"/>
          <w:szCs w:val="18"/>
          <w:color w:val="auto"/>
        </w:rPr>
      </w:pPr>
    </w:p>
    <w:p>
      <w:pPr>
        <w:ind w:right="80" w:firstLine="494"/>
        <w:spacing w:after="0" w:line="324" w:lineRule="auto"/>
        <w:tabs>
          <w:tab w:leader="none" w:pos="1025"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92"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6, 2016</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LAWRENCE E. MCALEE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421068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21068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Lawrence E. McAlee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Senior Vice President and Chief Financial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580" w:right="239" w:bottom="1440" w:gutter="0" w:footer="0" w:header="0"/>
        </w:sectPr>
      </w:pPr>
    </w:p>
    <w:bookmarkStart w:id="45" w:name="page46"/>
    <w:bookmarkEnd w:id="45"/>
    <w:p>
      <w:pPr>
        <w:ind w:left="10480"/>
        <w:spacing w:after="0"/>
        <w:rPr>
          <w:sz w:val="20"/>
          <w:szCs w:val="20"/>
          <w:color w:val="auto"/>
        </w:rPr>
      </w:pPr>
      <w:r>
        <w:rPr>
          <w:rFonts w:ascii="Arial" w:cs="Arial" w:eastAsia="Arial" w:hAnsi="Arial"/>
          <w:sz w:val="16"/>
          <w:szCs w:val="16"/>
          <w:b w:val="1"/>
          <w:bCs w:val="1"/>
          <w:color w:val="auto"/>
        </w:rPr>
        <w:t>Exhibit 32.1</w:t>
      </w:r>
    </w:p>
    <w:p>
      <w:pPr>
        <w:spacing w:after="0" w:line="248"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CERTIFICATION OF CHIEF EXECUTIVE OFFICER AND CHIEF FINANCIAL OFFICER PURSUANT TO 18 U.S.C. SECTION 1350, AS ADOPTED PURSUANT TO SECTION 906 OF THE SARBANES-OXLEY ACT OF 2002</w:t>
      </w:r>
    </w:p>
    <w:p>
      <w:pPr>
        <w:spacing w:after="0" w:line="166"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undersigned, Mark A. Casale, President, Chief Executive Officer and Chairman of Essent Group Ltd. (the “Company”), and Lawrence E. McAlee, Senior Vice President and Chief Financial Officer of the Company, each hereby certify, pursuant to 18 U.S. C. Section 1350 as adopted pursuant to Section 906 of the Sarbanes-Oxley Act of 2002, that to the best of his knowledge:</w:t>
      </w:r>
    </w:p>
    <w:p>
      <w:pPr>
        <w:spacing w:after="0" w:line="181" w:lineRule="exact"/>
        <w:rPr>
          <w:sz w:val="20"/>
          <w:szCs w:val="20"/>
          <w:color w:val="auto"/>
        </w:rPr>
      </w:pPr>
    </w:p>
    <w:p>
      <w:pPr>
        <w:ind w:right="240" w:firstLine="8"/>
        <w:spacing w:after="0" w:line="324" w:lineRule="auto"/>
        <w:tabs>
          <w:tab w:leader="none" w:pos="687"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March 31, 2016 (the “Report”) fully complies with the requirements of Section 13(a) or 15(d) of the Securities Exchange Act of 1934; and</w:t>
      </w:r>
    </w:p>
    <w:p>
      <w:pPr>
        <w:spacing w:after="0" w:line="129" w:lineRule="exact"/>
        <w:rPr>
          <w:rFonts w:ascii="Arial" w:cs="Arial" w:eastAsia="Arial" w:hAnsi="Arial"/>
          <w:sz w:val="18"/>
          <w:szCs w:val="18"/>
          <w:color w:val="auto"/>
        </w:rPr>
      </w:pPr>
    </w:p>
    <w:p>
      <w:pPr>
        <w:ind w:right="340" w:firstLine="8"/>
        <w:spacing w:after="0" w:line="575" w:lineRule="auto"/>
        <w:tabs>
          <w:tab w:leader="none" w:pos="687"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May 6, 2016</w:t>
      </w:r>
    </w:p>
    <w:p>
      <w:pPr>
        <w:spacing w:after="0" w:line="7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MARK A. CASALE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Mark A. Casale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Chief Executive Officer and Chairman</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LAWRENCE E. MCALEE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Lawrence E. McAlee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Senior Vice President and Chief Financial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o"/>
      <w:numFmt w:val="bullet"/>
      <w:start w:val="1"/>
    </w:lvl>
  </w:abstractNum>
  <w:abstractNum w:abstractNumId="2">
    <w:nsid w:val="4E6AFB66"/>
    <w:multiLevelType w:val="hybridMultilevel"/>
    <w:lvl w:ilvl="0">
      <w:lvlJc w:val="left"/>
      <w:lvlText w:val="•"/>
      <w:numFmt w:val="bullet"/>
      <w:start w:val="1"/>
    </w:lvl>
  </w:abstractNum>
  <w:abstractNum w:abstractNumId="3">
    <w:nsid w:val="25E45D32"/>
    <w:multiLevelType w:val="hybridMultilevel"/>
    <w:lvl w:ilvl="0">
      <w:lvlJc w:val="left"/>
      <w:lvlText w:val="•"/>
      <w:numFmt w:val="bullet"/>
      <w:start w:val="1"/>
    </w:lvl>
  </w:abstractNum>
  <w:abstractNum w:abstractNumId="4">
    <w:nsid w:val="519B500D"/>
    <w:multiLevelType w:val="hybridMultilevel"/>
    <w:lvl w:ilvl="0">
      <w:lvlJc w:val="left"/>
      <w:lvlText w:val="•"/>
      <w:numFmt w:val="bullet"/>
      <w:start w:val="1"/>
    </w:lvl>
  </w:abstractNum>
  <w:abstractNum w:abstractNumId="5">
    <w:nsid w:val="431BD7B7"/>
    <w:multiLevelType w:val="hybridMultilevel"/>
    <w:lvl w:ilvl="0">
      <w:lvlJc w:val="left"/>
      <w:lvlText w:val="•"/>
      <w:numFmt w:val="bullet"/>
      <w:start w:val="1"/>
    </w:lvl>
  </w:abstractNum>
  <w:abstractNum w:abstractNumId="6">
    <w:nsid w:val="3F2DBA31"/>
    <w:multiLevelType w:val="hybridMultilevel"/>
    <w:lvl w:ilvl="0">
      <w:lvlJc w:val="left"/>
      <w:lvlText w:val="•"/>
      <w:numFmt w:val="bullet"/>
      <w:start w:val="1"/>
    </w:lvl>
  </w:abstractNum>
  <w:abstractNum w:abstractNumId="7">
    <w:nsid w:val="7C83E458"/>
    <w:multiLevelType w:val="hybridMultilevel"/>
    <w:lvl w:ilvl="0">
      <w:lvlJc w:val="left"/>
      <w:lvlText w:val="•"/>
      <w:numFmt w:val="bullet"/>
      <w:start w:val="1"/>
    </w:lvl>
  </w:abstractNum>
  <w:abstractNum w:abstractNumId="8">
    <w:nsid w:val="257130A3"/>
    <w:multiLevelType w:val="hybridMultilevel"/>
    <w:lvl w:ilvl="0">
      <w:lvlJc w:val="left"/>
      <w:lvlText w:val="•"/>
      <w:numFmt w:val="bullet"/>
      <w:start w:val="1"/>
    </w:lvl>
  </w:abstractNum>
  <w:abstractNum w:abstractNumId="9">
    <w:nsid w:val="62BBD95A"/>
    <w:multiLevelType w:val="hybridMultilevel"/>
    <w:lvl w:ilvl="0">
      <w:lvlJc w:val="left"/>
      <w:lvlText w:val="•"/>
      <w:numFmt w:val="bullet"/>
      <w:start w:val="1"/>
    </w:lvl>
  </w:abstractNum>
  <w:abstractNum w:abstractNumId="10">
    <w:nsid w:val="436C6125"/>
    <w:multiLevelType w:val="hybridMultilevel"/>
    <w:lvl w:ilvl="0">
      <w:lvlJc w:val="left"/>
      <w:lvlText w:val="•"/>
      <w:numFmt w:val="bullet"/>
      <w:start w:val="1"/>
    </w:lvl>
  </w:abstractNum>
  <w:abstractNum w:abstractNumId="11">
    <w:nsid w:val="628C895D"/>
    <w:multiLevelType w:val="hybridMultilevel"/>
    <w:lvl w:ilvl="0">
      <w:lvlJc w:val="left"/>
      <w:lvlText w:val="•"/>
      <w:numFmt w:val="bullet"/>
      <w:start w:val="1"/>
    </w:lvl>
  </w:abstractNum>
  <w:abstractNum w:abstractNumId="12">
    <w:nsid w:val="333AB105"/>
    <w:multiLevelType w:val="hybridMultilevel"/>
    <w:lvl w:ilvl="0">
      <w:lvlJc w:val="left"/>
      <w:lvlText w:val="(%1)"/>
      <w:numFmt w:val="decimal"/>
      <w:start w:val="1"/>
    </w:lvl>
  </w:abstractNum>
  <w:abstractNum w:abstractNumId="13">
    <w:nsid w:val="721DA317"/>
    <w:multiLevelType w:val="hybridMultilevel"/>
    <w:lvl w:ilvl="0">
      <w:lvlJc w:val="left"/>
      <w:lvlText w:val="(%1)"/>
      <w:numFmt w:val="decimal"/>
      <w:start w:val="1"/>
    </w:lvl>
  </w:abstractNum>
  <w:abstractNum w:abstractNumId="14">
    <w:nsid w:val="2443A858"/>
    <w:multiLevelType w:val="hybridMultilevel"/>
    <w:lvl w:ilvl="0">
      <w:lvlJc w:val="left"/>
      <w:lvlText w:val="(%1)"/>
      <w:numFmt w:val="decimal"/>
      <w:start w:val="1"/>
    </w:lvl>
  </w:abstractNum>
  <w:abstractNum w:abstractNumId="15">
    <w:nsid w:val="2D1D5AE9"/>
    <w:multiLevelType w:val="hybridMultilevel"/>
    <w:lvl w:ilvl="0">
      <w:lvlJc w:val="left"/>
      <w:lvlText w:val="•"/>
      <w:numFmt w:val="bullet"/>
      <w:start w:val="1"/>
    </w:lvl>
  </w:abstractNum>
  <w:abstractNum w:abstractNumId="16">
    <w:nsid w:val="6763845E"/>
    <w:multiLevelType w:val="hybridMultilevel"/>
    <w:lvl w:ilvl="0">
      <w:lvlJc w:val="left"/>
      <w:lvlText w:val="(%1)"/>
      <w:numFmt w:val="lowerLetter"/>
      <w:start w:val="1"/>
    </w:lvl>
  </w:abstractNum>
  <w:abstractNum w:abstractNumId="17">
    <w:nsid w:val="75A2A8D4"/>
    <w:multiLevelType w:val="hybridMultilevel"/>
    <w:lvl w:ilvl="0">
      <w:lvlJc w:val="left"/>
      <w:lvlText w:val="%1."/>
      <w:numFmt w:val="decimal"/>
      <w:start w:val="1"/>
    </w:lvl>
  </w:abstractNum>
  <w:abstractNum w:abstractNumId="18">
    <w:nsid w:val="8EDBDAB"/>
    <w:multiLevelType w:val="hybridMultilevel"/>
    <w:lvl w:ilvl="0">
      <w:lvlJc w:val="left"/>
      <w:lvlText w:val="%1."/>
      <w:numFmt w:val="decimal"/>
      <w:start w:val="3"/>
    </w:lvl>
  </w:abstractNum>
  <w:abstractNum w:abstractNumId="19">
    <w:nsid w:val="79838CB2"/>
    <w:multiLevelType w:val="hybridMultilevel"/>
    <w:lvl w:ilvl="0">
      <w:lvlJc w:val="left"/>
      <w:lvlText w:val="(%1)"/>
      <w:numFmt w:val="lowerLetter"/>
      <w:start w:val="1"/>
    </w:lvl>
  </w:abstractNum>
  <w:abstractNum w:abstractNumId="20">
    <w:nsid w:val="4353D0CD"/>
    <w:multiLevelType w:val="hybridMultilevel"/>
    <w:lvl w:ilvl="0">
      <w:lvlJc w:val="left"/>
      <w:lvlText w:val="(%1)"/>
      <w:numFmt w:val="lowerLetter"/>
      <w:start w:val="2"/>
    </w:lvl>
  </w:abstractNum>
  <w:abstractNum w:abstractNumId="21">
    <w:nsid w:val="B03E0C6"/>
    <w:multiLevelType w:val="hybridMultilevel"/>
    <w:lvl w:ilvl="0">
      <w:lvlJc w:val="left"/>
      <w:lvlText w:val="(%1)"/>
      <w:numFmt w:val="lowerLetter"/>
      <w:start w:val="3"/>
    </w:lvl>
  </w:abstractNum>
  <w:abstractNum w:abstractNumId="22">
    <w:nsid w:val="189A769B"/>
    <w:multiLevelType w:val="hybridMultilevel"/>
    <w:lvl w:ilvl="0">
      <w:lvlJc w:val="left"/>
      <w:lvlText w:val="%1."/>
      <w:numFmt w:val="decimal"/>
      <w:start w:val="5"/>
    </w:lvl>
    <w:lvl w:ilvl="1">
      <w:lvlJc w:val="left"/>
      <w:lvlText w:val="(%2)"/>
      <w:numFmt w:val="lowerLetter"/>
      <w:start w:val="1"/>
    </w:lvl>
  </w:abstractNum>
  <w:abstractNum w:abstractNumId="23">
    <w:nsid w:val="54E49EB4"/>
    <w:multiLevelType w:val="hybridMultilevel"/>
    <w:lvl w:ilvl="0">
      <w:lvlJc w:val="left"/>
      <w:lvlText w:val="%1."/>
      <w:numFmt w:val="decimal"/>
      <w:start w:val="1"/>
    </w:lvl>
  </w:abstractNum>
  <w:abstractNum w:abstractNumId="24">
    <w:nsid w:val="71F32454"/>
    <w:multiLevelType w:val="hybridMultilevel"/>
    <w:lvl w:ilvl="0">
      <w:lvlJc w:val="left"/>
      <w:lvlText w:val="%1."/>
      <w:numFmt w:val="decimal"/>
      <w:start w:val="3"/>
    </w:lvl>
  </w:abstractNum>
  <w:abstractNum w:abstractNumId="25">
    <w:nsid w:val="2CA88611"/>
    <w:multiLevelType w:val="hybridMultilevel"/>
    <w:lvl w:ilvl="0">
      <w:lvlJc w:val="left"/>
      <w:lvlText w:val="(%1)"/>
      <w:numFmt w:val="lowerLetter"/>
      <w:start w:val="1"/>
    </w:lvl>
  </w:abstractNum>
  <w:abstractNum w:abstractNumId="26">
    <w:nsid w:val="836C40E"/>
    <w:multiLevelType w:val="hybridMultilevel"/>
    <w:lvl w:ilvl="0">
      <w:lvlJc w:val="left"/>
      <w:lvlText w:val="(%1)"/>
      <w:numFmt w:val="lowerLetter"/>
      <w:start w:val="2"/>
    </w:lvl>
  </w:abstractNum>
  <w:abstractNum w:abstractNumId="27">
    <w:nsid w:val="2901D82"/>
    <w:multiLevelType w:val="hybridMultilevel"/>
    <w:lvl w:ilvl="0">
      <w:lvlJc w:val="left"/>
      <w:lvlText w:val="(%1)"/>
      <w:numFmt w:val="lowerLetter"/>
      <w:start w:val="3"/>
    </w:lvl>
  </w:abstractNum>
  <w:abstractNum w:abstractNumId="28">
    <w:nsid w:val="3A95F874"/>
    <w:multiLevelType w:val="hybridMultilevel"/>
    <w:lvl w:ilvl="0">
      <w:lvlJc w:val="left"/>
      <w:lvlText w:val="%1."/>
      <w:numFmt w:val="decimal"/>
      <w:start w:val="5"/>
    </w:lvl>
    <w:lvl w:ilvl="1">
      <w:lvlJc w:val="left"/>
      <w:lvlText w:val="(%2)"/>
      <w:numFmt w:val="lowerLetter"/>
      <w:start w:val="1"/>
    </w:lvl>
  </w:abstractNum>
  <w:abstractNum w:abstractNumId="29">
    <w:nsid w:val="813864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2020-01-20T10:32:30Z</dcterms:created>
  <dcterms:modified xsi:type="dcterms:W3CDTF">2020-01-20T10:32:30Z</dcterms:modified>
</cp:coreProperties>
</file>